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8A6F1DC">
      <w:pPr>
        <w:spacing w:before="156" w:beforeLines="50" w:after="156" w:afterLines="50" w:line="400" w:lineRule="exact"/>
        <w:rPr>
          <w:rFonts w:hint="eastAsia" w:ascii="TimesNewRoman" w:hAnsi="TimesNewRoman"/>
          <w:sz w:val="24"/>
        </w:rPr>
      </w:pPr>
      <w:r>
        <w:rPr>
          <w:rFonts w:hint="eastAsia" w:ascii="TimesNewRoman" w:hAnsi="宋体"/>
          <w:sz w:val="24"/>
        </w:rPr>
        <w:t>证券代码：</w:t>
      </w:r>
      <w:r>
        <w:rPr>
          <w:rFonts w:ascii="TimesNewRoman" w:hAnsi="TimesNewRoman"/>
          <w:sz w:val="24"/>
        </w:rPr>
        <w:t>688097</w:t>
      </w:r>
      <w:r>
        <w:rPr>
          <w:rFonts w:hint="eastAsia" w:ascii="TimesNewRoman" w:hAnsi="TimesNewRoman"/>
          <w:sz w:val="24"/>
        </w:rPr>
        <w:t xml:space="preserve">                                </w:t>
      </w:r>
      <w:r>
        <w:rPr>
          <w:rFonts w:hint="eastAsia" w:ascii="TimesNewRoman" w:hAnsi="宋体"/>
          <w:sz w:val="24"/>
        </w:rPr>
        <w:t>证券简称：博众精工</w:t>
      </w:r>
    </w:p>
    <w:p w14:paraId="2C1CA893">
      <w:pPr>
        <w:spacing w:before="312" w:beforeLines="100" w:after="312" w:afterLines="100" w:line="400" w:lineRule="exact"/>
        <w:jc w:val="center"/>
        <w:rPr>
          <w:rFonts w:ascii="TimesNewRoman" w:hAnsi="宋体"/>
          <w:b/>
          <w:sz w:val="32"/>
          <w:szCs w:val="32"/>
        </w:rPr>
      </w:pPr>
      <w:r>
        <w:rPr>
          <w:rFonts w:hint="eastAsia" w:ascii="TimesNewRoman" w:hAnsi="宋体"/>
          <w:b/>
          <w:sz w:val="32"/>
          <w:szCs w:val="32"/>
        </w:rPr>
        <w:t>博众精工科技股份有限公司</w:t>
      </w:r>
    </w:p>
    <w:p w14:paraId="2DF1FDBE">
      <w:pPr>
        <w:spacing w:before="312" w:beforeLines="100" w:after="312" w:afterLines="100" w:line="400" w:lineRule="exact"/>
        <w:jc w:val="center"/>
        <w:rPr>
          <w:rFonts w:hint="eastAsia" w:ascii="TimesNewRoman" w:hAnsi="TimesNewRoman"/>
          <w:b/>
          <w:sz w:val="32"/>
          <w:szCs w:val="32"/>
        </w:rPr>
      </w:pPr>
      <w:r>
        <w:rPr>
          <w:rFonts w:hint="eastAsia" w:ascii="TimesNewRoman" w:hAnsi="宋体"/>
          <w:b/>
          <w:sz w:val="32"/>
          <w:szCs w:val="32"/>
        </w:rPr>
        <w:t>投资者关系活动记录表</w:t>
      </w:r>
    </w:p>
    <w:p w14:paraId="6142793D">
      <w:pPr>
        <w:spacing w:line="400" w:lineRule="exact"/>
        <w:rPr>
          <w:rFonts w:hint="eastAsia" w:ascii="TimesNewRoman" w:hAnsi="TimesNewRoman" w:eastAsia="宋体"/>
          <w:sz w:val="24"/>
          <w:lang w:eastAsia="zh-CN"/>
        </w:rPr>
      </w:pPr>
      <w:r>
        <w:rPr>
          <w:rFonts w:hint="eastAsia" w:ascii="TimesNewRoman" w:hAnsi="TimesNewRoman"/>
          <w:sz w:val="24"/>
        </w:rPr>
        <w:t xml:space="preserve">                                                     </w:t>
      </w:r>
      <w:r>
        <w:rPr>
          <w:rFonts w:ascii="TimesNewRoman" w:hAnsi="TimesNewRoman"/>
          <w:sz w:val="24"/>
        </w:rPr>
        <w:t xml:space="preserve">  </w:t>
      </w:r>
      <w:r>
        <w:rPr>
          <w:rFonts w:hint="eastAsia" w:ascii="TimesNewRoman" w:hAnsi="TimesNewRoman"/>
          <w:sz w:val="24"/>
        </w:rPr>
        <w:t xml:space="preserve"> </w:t>
      </w:r>
      <w:r>
        <w:rPr>
          <w:rFonts w:hint="eastAsia" w:ascii="TimesNewRoman" w:hAnsi="宋体"/>
          <w:sz w:val="24"/>
        </w:rPr>
        <w:t>编号：</w:t>
      </w:r>
      <w:r>
        <w:rPr>
          <w:rFonts w:ascii="TimesNewRoman" w:hAnsi="TimesNewRoman"/>
          <w:sz w:val="24"/>
        </w:rPr>
        <w:t>202</w:t>
      </w:r>
      <w:r>
        <w:rPr>
          <w:rFonts w:hint="eastAsia" w:ascii="TimesNewRoman" w:hAnsi="TimesNewRoman"/>
          <w:sz w:val="24"/>
          <w:lang w:val="en-US" w:eastAsia="zh-CN"/>
        </w:rPr>
        <w:t>6</w:t>
      </w:r>
      <w:r>
        <w:rPr>
          <w:rFonts w:hint="eastAsia" w:ascii="TimesNewRoman" w:hAnsi="TimesNewRoman"/>
          <w:sz w:val="24"/>
        </w:rPr>
        <w:t>-</w:t>
      </w:r>
      <w:r>
        <w:rPr>
          <w:rFonts w:ascii="TimesNewRoman" w:hAnsi="TimesNewRoman"/>
          <w:sz w:val="24"/>
        </w:rPr>
        <w:t>00</w:t>
      </w:r>
      <w:r>
        <w:rPr>
          <w:rFonts w:hint="eastAsia" w:ascii="TimesNewRoman" w:hAnsi="TimesNewRoman"/>
          <w:sz w:val="24"/>
          <w:lang w:val="en-US" w:eastAsia="zh-CN"/>
        </w:rPr>
        <w:t>4</w:t>
      </w:r>
    </w:p>
    <w:tbl>
      <w:tblPr>
        <w:tblStyle w:val="8"/>
        <w:tblW w:w="906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81"/>
        <w:gridCol w:w="7286"/>
      </w:tblGrid>
      <w:tr w14:paraId="3D5154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5" w:hRule="atLeast"/>
          <w:jc w:val="center"/>
        </w:trPr>
        <w:tc>
          <w:tcPr>
            <w:tcW w:w="1781" w:type="dxa"/>
            <w:vAlign w:val="center"/>
          </w:tcPr>
          <w:p w14:paraId="1F50DCDC">
            <w:pPr>
              <w:spacing w:line="480" w:lineRule="atLeast"/>
              <w:jc w:val="both"/>
              <w:rPr>
                <w:rFonts w:hint="eastAsia" w:ascii="TimesNewRoman" w:hAnsi="TimesNewRoman"/>
                <w:b/>
                <w:sz w:val="24"/>
              </w:rPr>
            </w:pPr>
            <w:r>
              <w:rPr>
                <w:rFonts w:hint="eastAsia" w:ascii="TimesNewRoman" w:hAnsi="宋体"/>
                <w:b/>
                <w:sz w:val="24"/>
              </w:rPr>
              <w:t>投资者关系活动类别</w:t>
            </w:r>
          </w:p>
        </w:tc>
        <w:tc>
          <w:tcPr>
            <w:tcW w:w="7286" w:type="dxa"/>
            <w:tcBorders>
              <w:bottom w:val="single" w:color="auto" w:sz="4" w:space="0"/>
            </w:tcBorders>
          </w:tcPr>
          <w:p w14:paraId="343102EB">
            <w:pPr>
              <w:spacing w:line="480" w:lineRule="atLeast"/>
              <w:rPr>
                <w:rFonts w:hint="eastAsia" w:ascii="TimesNewRoman" w:hAnsi="TimesNewRoman"/>
                <w:sz w:val="24"/>
              </w:rPr>
            </w:pPr>
            <w:r>
              <w:rPr>
                <w:rFonts w:hint="eastAsia" w:ascii="TimesNewRoman" w:hAnsi="TimesNewRoman"/>
                <w:sz w:val="24"/>
              </w:rPr>
              <w:t>□</w:t>
            </w:r>
            <w:r>
              <w:rPr>
                <w:rFonts w:hint="eastAsia" w:ascii="TimesNewRoman" w:hAnsi="宋体"/>
                <w:sz w:val="24"/>
              </w:rPr>
              <w:t>特定对象调研</w:t>
            </w:r>
            <w:r>
              <w:rPr>
                <w:rFonts w:hint="eastAsia" w:ascii="TimesNewRoman" w:hAnsi="TimesNewRoman"/>
                <w:sz w:val="24"/>
              </w:rPr>
              <w:t xml:space="preserve">        □</w:t>
            </w:r>
            <w:r>
              <w:rPr>
                <w:rFonts w:hint="eastAsia" w:ascii="TimesNewRoman" w:hAnsi="宋体"/>
                <w:sz w:val="24"/>
              </w:rPr>
              <w:t>分析师会议</w:t>
            </w:r>
          </w:p>
          <w:p w14:paraId="1ED52EC5">
            <w:pPr>
              <w:spacing w:line="480" w:lineRule="atLeast"/>
              <w:rPr>
                <w:rFonts w:hint="eastAsia" w:ascii="TimesNewRoman" w:hAnsi="TimesNewRoman"/>
                <w:sz w:val="24"/>
              </w:rPr>
            </w:pPr>
            <w:r>
              <w:rPr>
                <w:rFonts w:hint="eastAsia" w:ascii="TimesNewRoman" w:hAnsi="TimesNewRoman"/>
                <w:sz w:val="24"/>
              </w:rPr>
              <w:t>□</w:t>
            </w:r>
            <w:r>
              <w:rPr>
                <w:rFonts w:hint="eastAsia" w:ascii="TimesNewRoman" w:hAnsi="宋体"/>
                <w:sz w:val="24"/>
              </w:rPr>
              <w:t>媒体采访</w:t>
            </w:r>
            <w:r>
              <w:rPr>
                <w:rFonts w:hint="eastAsia" w:ascii="TimesNewRoman" w:hAnsi="TimesNewRoman"/>
                <w:sz w:val="24"/>
              </w:rPr>
              <w:t xml:space="preserve">            □</w:t>
            </w:r>
            <w:r>
              <w:rPr>
                <w:rFonts w:hint="eastAsia" w:ascii="TimesNewRoman" w:hAnsi="宋体"/>
                <w:sz w:val="24"/>
              </w:rPr>
              <w:t>利润说明会</w:t>
            </w:r>
          </w:p>
          <w:p w14:paraId="21B0800A">
            <w:pPr>
              <w:spacing w:line="480" w:lineRule="atLeast"/>
              <w:rPr>
                <w:rFonts w:hint="eastAsia" w:ascii="TimesNewRoman" w:hAnsi="TimesNewRoman"/>
                <w:sz w:val="24"/>
              </w:rPr>
            </w:pPr>
            <w:bookmarkStart w:id="0" w:name="OLE_LINK1"/>
            <w:r>
              <w:rPr>
                <w:rFonts w:hint="eastAsia" w:ascii="TimesNewRoman" w:hAnsi="TimesNewRoman"/>
                <w:sz w:val="24"/>
                <w:lang w:eastAsia="zh-CN"/>
              </w:rPr>
              <w:t>□</w:t>
            </w:r>
            <w:bookmarkEnd w:id="0"/>
            <w:r>
              <w:rPr>
                <w:rFonts w:hint="eastAsia" w:ascii="TimesNewRoman" w:hAnsi="宋体"/>
                <w:sz w:val="24"/>
              </w:rPr>
              <w:t>新闻发布会</w:t>
            </w:r>
            <w:r>
              <w:rPr>
                <w:rFonts w:hint="eastAsia" w:ascii="TimesNewRoman" w:hAnsi="TimesNewRoman"/>
                <w:sz w:val="24"/>
              </w:rPr>
              <w:t xml:space="preserve">          □</w:t>
            </w:r>
            <w:r>
              <w:rPr>
                <w:rFonts w:hint="eastAsia" w:ascii="TimesNewRoman" w:hAnsi="宋体"/>
                <w:sz w:val="24"/>
              </w:rPr>
              <w:t>路演活动</w:t>
            </w:r>
          </w:p>
          <w:p w14:paraId="064692B8">
            <w:pPr>
              <w:tabs>
                <w:tab w:val="left" w:pos="3045"/>
                <w:tab w:val="center" w:pos="3199"/>
              </w:tabs>
              <w:spacing w:line="480" w:lineRule="atLeast"/>
              <w:rPr>
                <w:rFonts w:hint="default" w:ascii="TimesNewRoman" w:hAnsi="TimesNewRoman" w:eastAsia="宋体"/>
                <w:sz w:val="24"/>
                <w:lang w:val="en-US" w:eastAsia="zh-CN"/>
              </w:rPr>
            </w:pPr>
            <w:r>
              <w:rPr>
                <w:rFonts w:hint="eastAsia" w:ascii="TimesNewRoman" w:hAnsi="TimesNewRoman"/>
                <w:sz w:val="24"/>
              </w:rPr>
              <w:fldChar w:fldCharType="begin"/>
            </w:r>
            <w:r>
              <w:instrText xml:space="preserve"> LINK Word.Document.12 "E:\\4. 投资者关系\\1.调研\\2026-004 投资者关系活动记录表--业绩说明会.docx" "OLE_LINK1" \h \a </w:instrText>
            </w:r>
            <w:r>
              <w:rPr>
                <w:rFonts w:hint="eastAsia" w:ascii="TimesNewRoman" w:hAnsi="TimesNewRoman"/>
                <w:sz w:val="24"/>
              </w:rPr>
              <w:fldChar w:fldCharType="separate"/>
            </w:r>
            <w:r>
              <w:rPr>
                <w:rFonts w:hint="eastAsia" w:ascii="宋体" w:hAnsi="宋体" w:eastAsia="宋体" w:cs="宋体"/>
                <w:kern w:val="2"/>
                <w:sz w:val="24"/>
                <w:szCs w:val="24"/>
              </w:rPr>
              <w:t>□</w:t>
            </w:r>
            <w:r>
              <w:rPr>
                <w:rFonts w:hint="eastAsia" w:ascii="TimesNewRoman" w:hAnsi="TimesNewRoman"/>
                <w:sz w:val="24"/>
              </w:rPr>
              <w:fldChar w:fldCharType="end"/>
            </w:r>
            <w:r>
              <w:rPr>
                <w:rFonts w:hint="eastAsia" w:ascii="TimesNewRoman" w:hAnsi="宋体"/>
                <w:sz w:val="24"/>
              </w:rPr>
              <w:t>现场参观</w:t>
            </w:r>
            <w:r>
              <w:rPr>
                <w:rFonts w:hint="eastAsia" w:ascii="TimesNewRoman" w:hAnsi="宋体"/>
                <w:sz w:val="24"/>
                <w:lang w:val="en-US" w:eastAsia="zh-CN"/>
              </w:rPr>
              <w:t xml:space="preserve">            </w:t>
            </w:r>
            <w:r>
              <w:rPr>
                <w:rFonts w:ascii="TimesNewRoman" w:hAnsi="TimesNewRoman"/>
                <w:sz w:val="24"/>
              </w:rPr>
              <w:fldChar w:fldCharType="begin"/>
            </w:r>
            <w:r>
              <w:instrText xml:space="preserve"> LINK Word.Document.12 "E:\\4. 投资者关系\\1.调研\\2026-004 投资者关系活动记录表--业绩说明会.docx" "OLE_LINK1" \h \a </w:instrText>
            </w:r>
            <w:r>
              <w:rPr>
                <w:rFonts w:ascii="TimesNewRoman" w:hAnsi="TimesNewRoman"/>
                <w:sz w:val="24"/>
              </w:rPr>
              <w:fldChar w:fldCharType="separate"/>
            </w:r>
            <w:r>
              <w:rPr>
                <w:rFonts w:hint="eastAsia" w:ascii="宋体" w:hAnsi="宋体" w:cs="宋体"/>
                <w:kern w:val="2"/>
                <w:sz w:val="24"/>
                <w:szCs w:val="24"/>
                <w:lang w:eastAsia="zh-CN"/>
              </w:rPr>
              <w:t>☑</w:t>
            </w:r>
            <w:r>
              <w:rPr>
                <w:rFonts w:ascii="TimesNewRoman" w:hAnsi="TimesNewRoman"/>
                <w:sz w:val="24"/>
              </w:rPr>
              <w:fldChar w:fldCharType="end"/>
            </w:r>
            <w:r>
              <w:rPr>
                <w:rFonts w:hint="eastAsia" w:ascii="TimesNewRoman" w:hAnsi="TimesNewRoman"/>
                <w:sz w:val="24"/>
                <w:lang w:val="en-US" w:eastAsia="zh-CN"/>
              </w:rPr>
              <w:t>业绩说明会</w:t>
            </w:r>
          </w:p>
          <w:p w14:paraId="027B8749">
            <w:pPr>
              <w:tabs>
                <w:tab w:val="left" w:pos="3045"/>
                <w:tab w:val="center" w:pos="3199"/>
              </w:tabs>
              <w:spacing w:line="480" w:lineRule="atLeast"/>
              <w:rPr>
                <w:rFonts w:hint="eastAsia" w:ascii="TimesNewRoman" w:hAnsi="TimesNewRoman"/>
                <w:sz w:val="24"/>
              </w:rPr>
            </w:pPr>
            <w:r>
              <w:rPr>
                <w:rFonts w:hint="eastAsia" w:ascii="TimesNewRoman" w:hAnsi="TimesNewRoman"/>
                <w:sz w:val="24"/>
              </w:rPr>
              <w:fldChar w:fldCharType="begin"/>
            </w:r>
            <w:r>
              <w:instrText xml:space="preserve"> LINK Word.Document.12 "E:\\4. 投资者关系\\1.调研\\2026-004 投资者关系活动记录表--业绩说明会.docx" "OLE_LINK1" \h \a </w:instrText>
            </w:r>
            <w:r>
              <w:rPr>
                <w:rFonts w:hint="eastAsia" w:ascii="TimesNewRoman" w:hAnsi="TimesNewRoman"/>
                <w:sz w:val="24"/>
              </w:rPr>
              <w:fldChar w:fldCharType="separate"/>
            </w:r>
            <w:r>
              <w:rPr>
                <w:rFonts w:hint="eastAsia" w:ascii="宋体" w:hAnsi="宋体" w:eastAsia="宋体" w:cs="宋体"/>
                <w:kern w:val="2"/>
                <w:sz w:val="24"/>
                <w:szCs w:val="24"/>
              </w:rPr>
              <w:t>□</w:t>
            </w:r>
            <w:r>
              <w:rPr>
                <w:rFonts w:hint="eastAsia" w:ascii="TimesNewRoman" w:hAnsi="TimesNewRoman"/>
                <w:sz w:val="24"/>
              </w:rPr>
              <w:fldChar w:fldCharType="end"/>
            </w:r>
            <w:r>
              <w:rPr>
                <w:rFonts w:hint="eastAsia" w:ascii="TimesNewRoman" w:hAnsi="TimesNewRoman"/>
                <w:sz w:val="24"/>
              </w:rPr>
              <w:t>其他</w:t>
            </w:r>
          </w:p>
        </w:tc>
      </w:tr>
      <w:tr w14:paraId="714432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jc w:val="center"/>
        </w:trPr>
        <w:tc>
          <w:tcPr>
            <w:tcW w:w="1781" w:type="dxa"/>
          </w:tcPr>
          <w:p w14:paraId="40CA9ABB">
            <w:pPr>
              <w:spacing w:line="480" w:lineRule="atLeast"/>
              <w:rPr>
                <w:rFonts w:hint="eastAsia" w:ascii="TimesNewRoman" w:hAnsi="TimesNewRoman"/>
                <w:b/>
                <w:sz w:val="24"/>
              </w:rPr>
            </w:pPr>
            <w:r>
              <w:rPr>
                <w:rFonts w:hint="eastAsia" w:ascii="TimesNewRoman" w:hAnsi="宋体"/>
                <w:b/>
                <w:sz w:val="24"/>
              </w:rPr>
              <w:t>参与单位名称</w:t>
            </w:r>
          </w:p>
        </w:tc>
        <w:tc>
          <w:tcPr>
            <w:tcW w:w="7286" w:type="dxa"/>
          </w:tcPr>
          <w:p w14:paraId="6B93D454">
            <w:pPr>
              <w:spacing w:line="480" w:lineRule="atLeast"/>
              <w:rPr>
                <w:rFonts w:hint="default" w:ascii="TimesNewRoman" w:hAnsi="TimesNewRoman" w:cs="Arial" w:eastAsiaTheme="minorEastAsia"/>
                <w:color w:val="000000"/>
                <w:kern w:val="0"/>
                <w:sz w:val="24"/>
                <w:szCs w:val="24"/>
                <w:lang w:val="en-US" w:eastAsia="zh-CN"/>
              </w:rPr>
            </w:pPr>
            <w:r>
              <w:rPr>
                <w:rFonts w:hint="eastAsia" w:ascii="TimesNewRoman" w:hAnsi="TimesNewRoman" w:cs="Arial" w:eastAsiaTheme="minorEastAsia"/>
                <w:color w:val="000000"/>
                <w:kern w:val="0"/>
                <w:sz w:val="24"/>
                <w:szCs w:val="24"/>
                <w:lang w:val="en-US" w:eastAsia="zh-CN"/>
              </w:rPr>
              <w:t>参与博众精工2026年半年度业绩说明会的广大投资者</w:t>
            </w:r>
          </w:p>
        </w:tc>
      </w:tr>
      <w:tr w14:paraId="423DF7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81" w:type="dxa"/>
          </w:tcPr>
          <w:p w14:paraId="4B40156E">
            <w:pPr>
              <w:spacing w:line="480" w:lineRule="atLeast"/>
              <w:rPr>
                <w:rFonts w:hint="eastAsia" w:ascii="TimesNewRoman" w:hAnsi="TimesNewRoman"/>
                <w:b/>
                <w:sz w:val="24"/>
              </w:rPr>
            </w:pPr>
            <w:r>
              <w:rPr>
                <w:rFonts w:hint="eastAsia" w:ascii="TimesNewRoman" w:hAnsi="宋体"/>
                <w:b/>
                <w:sz w:val="24"/>
              </w:rPr>
              <w:t>时间</w:t>
            </w:r>
          </w:p>
        </w:tc>
        <w:tc>
          <w:tcPr>
            <w:tcW w:w="7286" w:type="dxa"/>
            <w:vAlign w:val="center"/>
          </w:tcPr>
          <w:p w14:paraId="19DE4B1E">
            <w:pPr>
              <w:spacing w:line="480" w:lineRule="atLeast"/>
              <w:rPr>
                <w:rFonts w:hint="eastAsia" w:ascii="TimesNewRoman" w:hAnsi="TimesNewRoman"/>
                <w:sz w:val="24"/>
              </w:rPr>
            </w:pPr>
            <w:r>
              <w:rPr>
                <w:rFonts w:hint="eastAsia" w:ascii="TimesNewRoman" w:hAnsi="TimesNewRoman"/>
                <w:sz w:val="24"/>
              </w:rPr>
              <w:t>2</w:t>
            </w:r>
            <w:r>
              <w:rPr>
                <w:rFonts w:ascii="TimesNewRoman" w:hAnsi="TimesNewRoman"/>
                <w:sz w:val="24"/>
              </w:rPr>
              <w:t>02</w:t>
            </w:r>
            <w:r>
              <w:rPr>
                <w:rFonts w:hint="eastAsia" w:ascii="TimesNewRoman" w:hAnsi="TimesNewRoman"/>
                <w:sz w:val="24"/>
                <w:lang w:val="en-US" w:eastAsia="zh-CN"/>
              </w:rPr>
              <w:t>6</w:t>
            </w:r>
            <w:r>
              <w:rPr>
                <w:rFonts w:hint="eastAsia" w:ascii="TimesNewRoman" w:hAnsi="TimesNewRoman"/>
                <w:sz w:val="24"/>
              </w:rPr>
              <w:t>年</w:t>
            </w:r>
            <w:r>
              <w:rPr>
                <w:rFonts w:ascii="TimesNewRoman" w:hAnsi="TimesNewRoman"/>
                <w:sz w:val="24"/>
              </w:rPr>
              <w:t>9</w:t>
            </w:r>
            <w:r>
              <w:rPr>
                <w:rFonts w:hint="eastAsia" w:ascii="TimesNewRoman" w:hAnsi="TimesNewRoman"/>
                <w:sz w:val="24"/>
              </w:rPr>
              <w:t>月</w:t>
            </w:r>
            <w:r>
              <w:rPr>
                <w:rFonts w:hint="eastAsia" w:ascii="TimesNewRoman" w:hAnsi="TimesNewRoman"/>
                <w:sz w:val="24"/>
                <w:lang w:val="en-US" w:eastAsia="zh-CN"/>
              </w:rPr>
              <w:t>3</w:t>
            </w:r>
            <w:r>
              <w:rPr>
                <w:rFonts w:hint="eastAsia" w:ascii="TimesNewRoman" w:hAnsi="TimesNewRoman"/>
                <w:sz w:val="24"/>
              </w:rPr>
              <w:t>日</w:t>
            </w:r>
            <w:r>
              <w:rPr>
                <w:rFonts w:hint="eastAsia" w:ascii="TimesNewRoman" w:hAnsi="TimesNewRoman"/>
                <w:sz w:val="24"/>
                <w:lang w:val="en-US" w:eastAsia="zh-CN"/>
              </w:rPr>
              <w:t>15:00-16:00</w:t>
            </w:r>
          </w:p>
        </w:tc>
      </w:tr>
      <w:tr w14:paraId="73EDDD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0" w:hRule="atLeast"/>
          <w:jc w:val="center"/>
        </w:trPr>
        <w:tc>
          <w:tcPr>
            <w:tcW w:w="1781" w:type="dxa"/>
          </w:tcPr>
          <w:p w14:paraId="10EFC266">
            <w:pPr>
              <w:spacing w:line="480" w:lineRule="atLeast"/>
              <w:rPr>
                <w:rFonts w:hint="eastAsia" w:ascii="TimesNewRoman" w:hAnsi="TimesNewRoman"/>
                <w:b/>
                <w:sz w:val="24"/>
              </w:rPr>
            </w:pPr>
            <w:r>
              <w:rPr>
                <w:rFonts w:hint="eastAsia" w:ascii="TimesNewRoman" w:hAnsi="宋体"/>
                <w:b/>
                <w:sz w:val="24"/>
              </w:rPr>
              <w:t>地点</w:t>
            </w:r>
          </w:p>
        </w:tc>
        <w:tc>
          <w:tcPr>
            <w:tcW w:w="7286" w:type="dxa"/>
            <w:vAlign w:val="center"/>
          </w:tcPr>
          <w:p w14:paraId="6E13C1DF">
            <w:pPr>
              <w:spacing w:line="480" w:lineRule="atLeast"/>
              <w:rPr>
                <w:rFonts w:hint="eastAsia" w:ascii="TimesNewRoman" w:hAnsi="TimesNewRoman"/>
                <w:sz w:val="24"/>
              </w:rPr>
            </w:pPr>
            <w:r>
              <w:rPr>
                <w:rFonts w:hint="eastAsia" w:ascii="TimesNewRoman" w:hAnsi="TimesNewRoman"/>
                <w:sz w:val="24"/>
                <w:lang w:val="en-US" w:eastAsia="zh-CN"/>
              </w:rPr>
              <w:t>上海证券报·中国证券网路演中心：https://roadshow.cnstock.com/</w:t>
            </w:r>
          </w:p>
        </w:tc>
      </w:tr>
      <w:tr w14:paraId="267310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81" w:type="dxa"/>
          </w:tcPr>
          <w:p w14:paraId="62895F95">
            <w:pPr>
              <w:spacing w:line="480" w:lineRule="atLeast"/>
              <w:rPr>
                <w:rFonts w:hint="eastAsia" w:ascii="TimesNewRoman" w:hAnsi="TimesNewRoman"/>
                <w:b/>
                <w:sz w:val="24"/>
              </w:rPr>
            </w:pPr>
            <w:r>
              <w:rPr>
                <w:rFonts w:hint="eastAsia" w:ascii="TimesNewRoman" w:hAnsi="宋体"/>
                <w:b/>
                <w:sz w:val="24"/>
              </w:rPr>
              <w:t>上市公司接待人员姓名</w:t>
            </w:r>
          </w:p>
        </w:tc>
        <w:tc>
          <w:tcPr>
            <w:tcW w:w="7286" w:type="dxa"/>
            <w:vAlign w:val="center"/>
          </w:tcPr>
          <w:p w14:paraId="715E18A2">
            <w:pPr>
              <w:spacing w:line="480" w:lineRule="atLeast"/>
              <w:rPr>
                <w:rFonts w:hint="default" w:ascii="TimesNewRoman" w:hAnsi="宋体"/>
                <w:sz w:val="24"/>
                <w:lang w:val="en-US"/>
              </w:rPr>
            </w:pPr>
            <w:r>
              <w:rPr>
                <w:rFonts w:hint="eastAsia" w:ascii="TimesNewRoman" w:hAnsi="TimesNewRoman" w:cs="Arial" w:eastAsiaTheme="minorEastAsia"/>
                <w:color w:val="000000"/>
                <w:kern w:val="0"/>
                <w:sz w:val="24"/>
                <w:szCs w:val="24"/>
                <w:lang w:val="en-US" w:eastAsia="zh-CN"/>
              </w:rPr>
              <w:t>董事长、总经理吕绍林先生；董事会秘书余军先生；财务总监黄良之先生；独立董事秦非女士</w:t>
            </w:r>
          </w:p>
        </w:tc>
      </w:tr>
      <w:tr w14:paraId="59C6C7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9" w:hRule="atLeast"/>
          <w:jc w:val="center"/>
        </w:trPr>
        <w:tc>
          <w:tcPr>
            <w:tcW w:w="1781" w:type="dxa"/>
            <w:vAlign w:val="center"/>
          </w:tcPr>
          <w:p w14:paraId="512F39EA">
            <w:pPr>
              <w:spacing w:line="480" w:lineRule="atLeast"/>
              <w:rPr>
                <w:rFonts w:hint="eastAsia" w:ascii="TimesNewRoman" w:hAnsi="TimesNewRoman"/>
                <w:b/>
                <w:sz w:val="24"/>
              </w:rPr>
            </w:pPr>
            <w:r>
              <w:rPr>
                <w:rFonts w:hint="eastAsia" w:ascii="TimesNewRoman" w:hAnsi="宋体"/>
                <w:b/>
                <w:sz w:val="24"/>
              </w:rPr>
              <w:t>投资者关系活动主要内容介绍</w:t>
            </w:r>
          </w:p>
        </w:tc>
        <w:tc>
          <w:tcPr>
            <w:tcW w:w="7286" w:type="dxa"/>
            <w:vAlign w:val="center"/>
          </w:tcPr>
          <w:p w14:paraId="4B657E82">
            <w:pPr>
              <w:autoSpaceDE w:val="0"/>
              <w:autoSpaceDN w:val="0"/>
              <w:adjustRightInd w:val="0"/>
              <w:spacing w:line="360" w:lineRule="auto"/>
              <w:jc w:val="left"/>
              <w:rPr>
                <w:rFonts w:hint="eastAsia" w:ascii="宋体" w:hAnsi="宋体"/>
                <w:color w:val="000000" w:themeColor="text1"/>
                <w:sz w:val="24"/>
                <w:szCs w:val="24"/>
                <w:shd w:val="clear" w:color="auto" w:fill="FFFFFF"/>
                <w14:textFill>
                  <w14:solidFill>
                    <w14:schemeClr w14:val="tx1"/>
                  </w14:solidFill>
                </w14:textFill>
              </w:rPr>
            </w:pPr>
            <w:r>
              <w:rPr>
                <w:rFonts w:hint="eastAsia" w:ascii="宋体" w:hAnsi="宋体"/>
                <w:color w:val="000000" w:themeColor="text1"/>
                <w:sz w:val="24"/>
                <w:szCs w:val="24"/>
                <w:shd w:val="clear" w:color="auto" w:fill="FFFFFF"/>
                <w14:textFill>
                  <w14:solidFill>
                    <w14:schemeClr w14:val="tx1"/>
                  </w14:solidFill>
                </w14:textFill>
              </w:rPr>
              <w:t>1.请问上半年公司新能源业务有什么突破？</w:t>
            </w:r>
          </w:p>
          <w:p w14:paraId="786C09B1">
            <w:pPr>
              <w:autoSpaceDE w:val="0"/>
              <w:autoSpaceDN w:val="0"/>
              <w:adjustRightInd w:val="0"/>
              <w:spacing w:line="360" w:lineRule="auto"/>
              <w:jc w:val="left"/>
              <w:rPr>
                <w:rFonts w:hint="eastAsia" w:ascii="宋体" w:hAnsi="宋体"/>
                <w:color w:val="000000" w:themeColor="text1"/>
                <w:sz w:val="24"/>
                <w:szCs w:val="24"/>
                <w:shd w:val="clear" w:color="auto" w:fill="FFFFFF"/>
                <w14:textFill>
                  <w14:solidFill>
                    <w14:schemeClr w14:val="tx1"/>
                  </w14:solidFill>
                </w14:textFill>
              </w:rPr>
            </w:pPr>
            <w:r>
              <w:rPr>
                <w:rFonts w:hint="eastAsia" w:ascii="宋体" w:hAnsi="宋体"/>
                <w:color w:val="000000" w:themeColor="text1"/>
                <w:sz w:val="24"/>
                <w:szCs w:val="24"/>
                <w:shd w:val="clear" w:color="auto" w:fill="FFFFFF"/>
                <w14:textFill>
                  <w14:solidFill>
                    <w14:schemeClr w14:val="tx1"/>
                  </w14:solidFill>
                </w14:textFill>
              </w:rPr>
              <w:t>答：您好！今年上半年新能源业务实现营收17.05亿元，占总营收的52.68%。公司核心产品方腔注液机、圆柱电池注液机、转盘注液机市场认可度持续提升，锂电核心设备出货量大幅增长，行业市场份额稳步提升。新能源业务已成长为公司的核心增长引擎。截至2026年半年度末，公司新能源行业在手订单48.25亿元，同比增长99.71%，业务增长确定性较强。谢谢！</w:t>
            </w:r>
          </w:p>
          <w:p w14:paraId="5DCE0B1B">
            <w:pPr>
              <w:autoSpaceDE w:val="0"/>
              <w:autoSpaceDN w:val="0"/>
              <w:adjustRightInd w:val="0"/>
              <w:spacing w:line="360" w:lineRule="auto"/>
              <w:jc w:val="left"/>
              <w:rPr>
                <w:rFonts w:hint="eastAsia" w:ascii="宋体" w:hAnsi="宋体"/>
                <w:color w:val="000000" w:themeColor="text1"/>
                <w:sz w:val="24"/>
                <w:szCs w:val="24"/>
                <w:shd w:val="clear" w:color="auto" w:fill="FFFFFF"/>
                <w14:textFill>
                  <w14:solidFill>
                    <w14:schemeClr w14:val="tx1"/>
                  </w14:solidFill>
                </w14:textFill>
              </w:rPr>
            </w:pPr>
          </w:p>
          <w:p w14:paraId="6EBB27AE">
            <w:pPr>
              <w:autoSpaceDE w:val="0"/>
              <w:autoSpaceDN w:val="0"/>
              <w:adjustRightInd w:val="0"/>
              <w:spacing w:line="360" w:lineRule="auto"/>
              <w:jc w:val="left"/>
              <w:rPr>
                <w:rFonts w:hint="eastAsia" w:ascii="宋体" w:hAnsi="宋体"/>
                <w:color w:val="000000" w:themeColor="text1"/>
                <w:sz w:val="24"/>
                <w:szCs w:val="24"/>
                <w:shd w:val="clear" w:color="auto" w:fill="FFFFFF"/>
                <w14:textFill>
                  <w14:solidFill>
                    <w14:schemeClr w14:val="tx1"/>
                  </w14:solidFill>
                </w14:textFill>
              </w:rPr>
            </w:pPr>
            <w:r>
              <w:rPr>
                <w:rFonts w:hint="eastAsia" w:ascii="宋体" w:hAnsi="宋体"/>
                <w:color w:val="000000" w:themeColor="text1"/>
                <w:sz w:val="24"/>
                <w:szCs w:val="24"/>
                <w:shd w:val="clear" w:color="auto" w:fill="FFFFFF"/>
                <w14:textFill>
                  <w14:solidFill>
                    <w14:schemeClr w14:val="tx1"/>
                  </w14:solidFill>
                </w14:textFill>
              </w:rPr>
              <w:t>2.董秘你好，公司2026年全球化布局方面有哪些进展？</w:t>
            </w:r>
          </w:p>
          <w:p w14:paraId="334A6B3D">
            <w:pPr>
              <w:autoSpaceDE w:val="0"/>
              <w:autoSpaceDN w:val="0"/>
              <w:adjustRightInd w:val="0"/>
              <w:spacing w:line="360" w:lineRule="auto"/>
              <w:jc w:val="left"/>
              <w:rPr>
                <w:rFonts w:hint="eastAsia" w:ascii="宋体" w:hAnsi="宋体"/>
                <w:color w:val="000000" w:themeColor="text1"/>
                <w:sz w:val="24"/>
                <w:szCs w:val="24"/>
                <w:shd w:val="clear" w:color="auto" w:fill="FFFFFF"/>
                <w14:textFill>
                  <w14:solidFill>
                    <w14:schemeClr w14:val="tx1"/>
                  </w14:solidFill>
                </w14:textFill>
              </w:rPr>
            </w:pPr>
            <w:r>
              <w:rPr>
                <w:rFonts w:hint="eastAsia" w:ascii="宋体" w:hAnsi="宋体"/>
                <w:color w:val="000000" w:themeColor="text1"/>
                <w:sz w:val="24"/>
                <w:szCs w:val="24"/>
                <w:shd w:val="clear" w:color="auto" w:fill="FFFFFF"/>
                <w14:textFill>
                  <w14:solidFill>
                    <w14:schemeClr w14:val="tx1"/>
                  </w14:solidFill>
                </w14:textFill>
              </w:rPr>
              <w:t>答：您好！公司坚持“国内深耕、海外突破”双轮驱动战略。公司已在新加坡、美国、越南、匈牙利等地设立分子公司，搭建起覆盖东南亚、北美、欧洲的全球化服务体系。消费电子领域，公司与三星等国际品牌合作取得实质性进展，部分设备完成打样并进入测试阶段。汽车自动化领域，上海沃典海外订单占比稳步提升，市场覆盖欧洲、美洲、东南亚、中东、非洲等地区。新能源业务领域，公司换电站、注液机等核心产品已批量供应宁德时代等客户。2025年11月，公司首条北美新能源电池物流线成功出海，全面符合北美技术规范。2026年6月，公司拟为三家境外子公司合计新增5.5亿元担保额度，持续加大海外业务资源倾斜。谢谢！</w:t>
            </w:r>
          </w:p>
          <w:p w14:paraId="1282B8A8">
            <w:pPr>
              <w:autoSpaceDE w:val="0"/>
              <w:autoSpaceDN w:val="0"/>
              <w:adjustRightInd w:val="0"/>
              <w:spacing w:line="360" w:lineRule="auto"/>
              <w:jc w:val="left"/>
              <w:rPr>
                <w:rFonts w:hint="eastAsia" w:ascii="宋体" w:hAnsi="宋体"/>
                <w:color w:val="000000" w:themeColor="text1"/>
                <w:sz w:val="24"/>
                <w:szCs w:val="24"/>
                <w:shd w:val="clear" w:color="auto" w:fill="FFFFFF"/>
                <w14:textFill>
                  <w14:solidFill>
                    <w14:schemeClr w14:val="tx1"/>
                  </w14:solidFill>
                </w14:textFill>
              </w:rPr>
            </w:pPr>
          </w:p>
          <w:p w14:paraId="4C3F7C86">
            <w:pPr>
              <w:autoSpaceDE w:val="0"/>
              <w:autoSpaceDN w:val="0"/>
              <w:adjustRightInd w:val="0"/>
              <w:spacing w:line="360" w:lineRule="auto"/>
              <w:jc w:val="left"/>
              <w:rPr>
                <w:rFonts w:hint="eastAsia" w:ascii="宋体" w:hAnsi="宋体"/>
                <w:color w:val="000000" w:themeColor="text1"/>
                <w:sz w:val="24"/>
                <w:szCs w:val="24"/>
                <w:shd w:val="clear" w:color="auto" w:fill="FFFFFF"/>
                <w14:textFill>
                  <w14:solidFill>
                    <w14:schemeClr w14:val="tx1"/>
                  </w14:solidFill>
                </w14:textFill>
              </w:rPr>
            </w:pPr>
            <w:r>
              <w:rPr>
                <w:rFonts w:hint="eastAsia" w:ascii="宋体" w:hAnsi="宋体"/>
                <w:color w:val="000000" w:themeColor="text1"/>
                <w:sz w:val="24"/>
                <w:szCs w:val="24"/>
                <w:shd w:val="clear" w:color="auto" w:fill="FFFFFF"/>
                <w14:textFill>
                  <w14:solidFill>
                    <w14:schemeClr w14:val="tx1"/>
                  </w14:solidFill>
                </w14:textFill>
              </w:rPr>
              <w:t>3.财务总监：您好！看到上半年公司经营活动现金流为负，请问原因是什么？</w:t>
            </w:r>
          </w:p>
          <w:p w14:paraId="250BD15E">
            <w:pPr>
              <w:autoSpaceDE w:val="0"/>
              <w:autoSpaceDN w:val="0"/>
              <w:adjustRightInd w:val="0"/>
              <w:spacing w:line="360" w:lineRule="auto"/>
              <w:jc w:val="left"/>
              <w:rPr>
                <w:rFonts w:hint="eastAsia" w:ascii="宋体" w:hAnsi="宋体"/>
                <w:color w:val="000000" w:themeColor="text1"/>
                <w:sz w:val="24"/>
                <w:szCs w:val="24"/>
                <w:shd w:val="clear" w:color="auto" w:fill="FFFFFF"/>
                <w14:textFill>
                  <w14:solidFill>
                    <w14:schemeClr w14:val="tx1"/>
                  </w14:solidFill>
                </w14:textFill>
              </w:rPr>
            </w:pPr>
            <w:r>
              <w:rPr>
                <w:rFonts w:hint="eastAsia" w:ascii="宋体" w:hAnsi="宋体"/>
                <w:color w:val="000000" w:themeColor="text1"/>
                <w:sz w:val="24"/>
                <w:szCs w:val="24"/>
                <w:shd w:val="clear" w:color="auto" w:fill="FFFFFF"/>
                <w14:textFill>
                  <w14:solidFill>
                    <w14:schemeClr w14:val="tx1"/>
                  </w14:solidFill>
                </w14:textFill>
              </w:rPr>
              <w:t>答：您好！2026年上半年，公司经营活动产生的现金流量净额为-5.90亿元，而上年同期为2.98亿元。主要系报告期内公司订单规模持续扩大，业务扩张带来采购付款及各项运营费用前期投入增加所致。随着在手订单逐步交付验收，相关现金流将逐步回流。谢谢！</w:t>
            </w:r>
          </w:p>
          <w:p w14:paraId="4AAB886A">
            <w:pPr>
              <w:autoSpaceDE w:val="0"/>
              <w:autoSpaceDN w:val="0"/>
              <w:adjustRightInd w:val="0"/>
              <w:spacing w:line="360" w:lineRule="auto"/>
              <w:jc w:val="left"/>
              <w:rPr>
                <w:rFonts w:hint="eastAsia" w:ascii="宋体" w:hAnsi="宋体"/>
                <w:color w:val="000000" w:themeColor="text1"/>
                <w:sz w:val="24"/>
                <w:szCs w:val="24"/>
                <w:shd w:val="clear" w:color="auto" w:fill="FFFFFF"/>
                <w14:textFill>
                  <w14:solidFill>
                    <w14:schemeClr w14:val="tx1"/>
                  </w14:solidFill>
                </w14:textFill>
              </w:rPr>
            </w:pPr>
          </w:p>
          <w:p w14:paraId="4EB7B551">
            <w:pPr>
              <w:autoSpaceDE w:val="0"/>
              <w:autoSpaceDN w:val="0"/>
              <w:adjustRightInd w:val="0"/>
              <w:spacing w:line="360" w:lineRule="auto"/>
              <w:jc w:val="left"/>
              <w:rPr>
                <w:rFonts w:hint="eastAsia" w:ascii="宋体" w:hAnsi="宋体"/>
                <w:color w:val="000000" w:themeColor="text1"/>
                <w:sz w:val="24"/>
                <w:szCs w:val="24"/>
                <w:shd w:val="clear" w:color="auto" w:fill="FFFFFF"/>
                <w14:textFill>
                  <w14:solidFill>
                    <w14:schemeClr w14:val="tx1"/>
                  </w14:solidFill>
                </w14:textFill>
              </w:rPr>
            </w:pPr>
            <w:r>
              <w:rPr>
                <w:rFonts w:hint="eastAsia" w:ascii="宋体" w:hAnsi="宋体"/>
                <w:color w:val="000000" w:themeColor="text1"/>
                <w:sz w:val="24"/>
                <w:szCs w:val="24"/>
                <w:shd w:val="clear" w:color="auto" w:fill="FFFFFF"/>
                <w14:textFill>
                  <w14:solidFill>
                    <w14:schemeClr w14:val="tx1"/>
                  </w14:solidFill>
                </w14:textFill>
              </w:rPr>
              <w:t>4.请问光通信和半导体封装设备行业的发展前景如何？</w:t>
            </w:r>
          </w:p>
          <w:p w14:paraId="298EF923">
            <w:pPr>
              <w:autoSpaceDE w:val="0"/>
              <w:autoSpaceDN w:val="0"/>
              <w:adjustRightInd w:val="0"/>
              <w:spacing w:line="360" w:lineRule="auto"/>
              <w:jc w:val="left"/>
              <w:rPr>
                <w:rFonts w:hint="eastAsia" w:ascii="宋体" w:hAnsi="宋体"/>
                <w:color w:val="000000" w:themeColor="text1"/>
                <w:sz w:val="24"/>
                <w:szCs w:val="24"/>
                <w:shd w:val="clear" w:color="auto" w:fill="FFFFFF"/>
                <w14:textFill>
                  <w14:solidFill>
                    <w14:schemeClr w14:val="tx1"/>
                  </w14:solidFill>
                </w14:textFill>
              </w:rPr>
            </w:pPr>
            <w:r>
              <w:rPr>
                <w:rFonts w:hint="eastAsia" w:ascii="宋体" w:hAnsi="宋体"/>
                <w:color w:val="000000" w:themeColor="text1"/>
                <w:sz w:val="24"/>
                <w:szCs w:val="24"/>
                <w:shd w:val="clear" w:color="auto" w:fill="FFFFFF"/>
                <w14:textFill>
                  <w14:solidFill>
                    <w14:schemeClr w14:val="tx1"/>
                  </w14:solidFill>
                </w14:textFill>
              </w:rPr>
              <w:t>答：您好！当前全球算力产业高速迭代，AI算力中心、通用大模型、高阶自动驾驶产业快速发展，推动高速光互联体系持续升级，光模块成为算力基础设施核心刚需器件。2026年全球光模块行业进入800G规模化普及、1.6T商用落地的关键周期，下游头部厂商持续扩产、海外建厂，带动上游光通信封装设备行业迎来高速发展窗口期。在半导体领域，国内半导体特气输送系统核心设备国产化率不足30%，进口替代空间广阔。公司在光通信和半导体封装设备领域已形成“共晶贴片+光学耦合+自动化测试+智能装配”全工艺链路，具备从单机设备到系统级解决方案的完整能力。谢谢！</w:t>
            </w:r>
          </w:p>
          <w:p w14:paraId="19517E55">
            <w:pPr>
              <w:autoSpaceDE w:val="0"/>
              <w:autoSpaceDN w:val="0"/>
              <w:adjustRightInd w:val="0"/>
              <w:spacing w:line="360" w:lineRule="auto"/>
              <w:jc w:val="left"/>
              <w:rPr>
                <w:rFonts w:hint="eastAsia" w:ascii="宋体" w:hAnsi="宋体"/>
                <w:color w:val="000000" w:themeColor="text1"/>
                <w:sz w:val="24"/>
                <w:szCs w:val="24"/>
                <w:shd w:val="clear" w:color="auto" w:fill="FFFFFF"/>
                <w14:textFill>
                  <w14:solidFill>
                    <w14:schemeClr w14:val="tx1"/>
                  </w14:solidFill>
                </w14:textFill>
              </w:rPr>
            </w:pPr>
          </w:p>
          <w:p w14:paraId="4A56490C">
            <w:pPr>
              <w:autoSpaceDE w:val="0"/>
              <w:autoSpaceDN w:val="0"/>
              <w:adjustRightInd w:val="0"/>
              <w:spacing w:line="360" w:lineRule="auto"/>
              <w:jc w:val="left"/>
              <w:rPr>
                <w:rFonts w:hint="eastAsia" w:ascii="宋体" w:hAnsi="宋体"/>
                <w:color w:val="000000" w:themeColor="text1"/>
                <w:sz w:val="24"/>
                <w:szCs w:val="24"/>
                <w:shd w:val="clear" w:color="auto" w:fill="FFFFFF"/>
                <w14:textFill>
                  <w14:solidFill>
                    <w14:schemeClr w14:val="tx1"/>
                  </w14:solidFill>
                </w14:textFill>
              </w:rPr>
            </w:pPr>
            <w:r>
              <w:rPr>
                <w:rFonts w:hint="eastAsia" w:ascii="宋体" w:hAnsi="宋体"/>
                <w:color w:val="000000" w:themeColor="text1"/>
                <w:sz w:val="24"/>
                <w:szCs w:val="24"/>
                <w:shd w:val="clear" w:color="auto" w:fill="FFFFFF"/>
                <w14:textFill>
                  <w14:solidFill>
                    <w14:schemeClr w14:val="tx1"/>
                  </w14:solidFill>
                </w14:textFill>
              </w:rPr>
              <w:t>5.致财务总监：请问截至2026年6月末，公司在手订单情况如何？</w:t>
            </w:r>
          </w:p>
          <w:p w14:paraId="1C5AA7C2">
            <w:pPr>
              <w:autoSpaceDE w:val="0"/>
              <w:autoSpaceDN w:val="0"/>
              <w:adjustRightInd w:val="0"/>
              <w:spacing w:line="360" w:lineRule="auto"/>
              <w:jc w:val="left"/>
              <w:rPr>
                <w:rFonts w:hint="eastAsia" w:ascii="宋体" w:hAnsi="宋体"/>
                <w:color w:val="000000" w:themeColor="text1"/>
                <w:sz w:val="24"/>
                <w:szCs w:val="24"/>
                <w:shd w:val="clear" w:color="auto" w:fill="FFFFFF"/>
                <w14:textFill>
                  <w14:solidFill>
                    <w14:schemeClr w14:val="tx1"/>
                  </w14:solidFill>
                </w14:textFill>
              </w:rPr>
            </w:pPr>
            <w:r>
              <w:rPr>
                <w:rFonts w:hint="eastAsia" w:ascii="宋体" w:hAnsi="宋体"/>
                <w:color w:val="000000" w:themeColor="text1"/>
                <w:sz w:val="24"/>
                <w:szCs w:val="24"/>
                <w:shd w:val="clear" w:color="auto" w:fill="FFFFFF"/>
                <w14:textFill>
                  <w14:solidFill>
                    <w14:schemeClr w14:val="tx1"/>
                  </w14:solidFill>
                </w14:textFill>
              </w:rPr>
              <w:t>答：您好！截至2026年6月末，公司在手订单金额95.68亿元，同比增长147.3%，约为2025年全年收入的1.5倍。其中消费电子行业在手订单32.94亿元，同比增长140%；新能源行业在手订单48.25亿元，同比增长99.71%；半导体业务在手订单6.76亿元。充裕的在手订单为全年业绩稳健增长筑牢了基本盘。谢谢！</w:t>
            </w:r>
          </w:p>
          <w:p w14:paraId="7C955642">
            <w:pPr>
              <w:autoSpaceDE w:val="0"/>
              <w:autoSpaceDN w:val="0"/>
              <w:adjustRightInd w:val="0"/>
              <w:spacing w:line="360" w:lineRule="auto"/>
              <w:jc w:val="left"/>
              <w:rPr>
                <w:rFonts w:hint="eastAsia" w:ascii="宋体" w:hAnsi="宋体"/>
                <w:color w:val="000000" w:themeColor="text1"/>
                <w:sz w:val="24"/>
                <w:szCs w:val="24"/>
                <w:shd w:val="clear" w:color="auto" w:fill="FFFFFF"/>
                <w14:textFill>
                  <w14:solidFill>
                    <w14:schemeClr w14:val="tx1"/>
                  </w14:solidFill>
                </w14:textFill>
              </w:rPr>
            </w:pPr>
          </w:p>
          <w:p w14:paraId="6388738F">
            <w:pPr>
              <w:autoSpaceDE w:val="0"/>
              <w:autoSpaceDN w:val="0"/>
              <w:adjustRightInd w:val="0"/>
              <w:spacing w:line="360" w:lineRule="auto"/>
              <w:jc w:val="left"/>
              <w:rPr>
                <w:rFonts w:hint="eastAsia" w:ascii="宋体" w:hAnsi="宋体"/>
                <w:color w:val="000000" w:themeColor="text1"/>
                <w:sz w:val="24"/>
                <w:szCs w:val="24"/>
                <w:shd w:val="clear" w:color="auto" w:fill="FFFFFF"/>
                <w14:textFill>
                  <w14:solidFill>
                    <w14:schemeClr w14:val="tx1"/>
                  </w14:solidFill>
                </w14:textFill>
              </w:rPr>
            </w:pPr>
            <w:r>
              <w:rPr>
                <w:rFonts w:hint="eastAsia" w:ascii="宋体" w:hAnsi="宋体"/>
                <w:color w:val="000000" w:themeColor="text1"/>
                <w:sz w:val="24"/>
                <w:szCs w:val="24"/>
                <w:shd w:val="clear" w:color="auto" w:fill="FFFFFF"/>
                <w14:textFill>
                  <w14:solidFill>
                    <w14:schemeClr w14:val="tx1"/>
                  </w14:solidFill>
                </w14:textFill>
              </w:rPr>
              <w:t>6.请问公司有没有第二增长曲线？下一个能为公司挣钱的业务是什么？</w:t>
            </w:r>
          </w:p>
          <w:p w14:paraId="2CC316D6">
            <w:pPr>
              <w:autoSpaceDE w:val="0"/>
              <w:autoSpaceDN w:val="0"/>
              <w:adjustRightInd w:val="0"/>
              <w:spacing w:line="360" w:lineRule="auto"/>
              <w:jc w:val="left"/>
              <w:rPr>
                <w:rFonts w:hint="eastAsia" w:ascii="宋体" w:hAnsi="宋体"/>
                <w:color w:val="000000" w:themeColor="text1"/>
                <w:sz w:val="24"/>
                <w:szCs w:val="24"/>
                <w:shd w:val="clear" w:color="auto" w:fill="FFFFFF"/>
                <w14:textFill>
                  <w14:solidFill>
                    <w14:schemeClr w14:val="tx1"/>
                  </w14:solidFill>
                </w14:textFill>
              </w:rPr>
            </w:pPr>
            <w:r>
              <w:rPr>
                <w:rFonts w:hint="eastAsia" w:ascii="宋体" w:hAnsi="宋体"/>
                <w:color w:val="000000" w:themeColor="text1"/>
                <w:sz w:val="24"/>
                <w:szCs w:val="24"/>
                <w:shd w:val="clear" w:color="auto" w:fill="FFFFFF"/>
                <w14:textFill>
                  <w14:solidFill>
                    <w14:schemeClr w14:val="tx1"/>
                  </w14:solidFill>
                </w14:textFill>
              </w:rPr>
              <w:t>答：您好！公司作为平台型智能制造装备企业，产品主要落地应用于消费电子、新能源、汽车自动化、半导体（含光通信）四大核心下游领域。当前消费电子、新能源为公司两大主力业务板块，营收贡献占比高，业务基础扎实，是现阶段业绩的核心压舱石。</w:t>
            </w:r>
          </w:p>
          <w:p w14:paraId="0C89B37D">
            <w:pPr>
              <w:autoSpaceDE w:val="0"/>
              <w:autoSpaceDN w:val="0"/>
              <w:adjustRightInd w:val="0"/>
              <w:spacing w:line="360" w:lineRule="auto"/>
              <w:jc w:val="left"/>
              <w:rPr>
                <w:rFonts w:hint="eastAsia" w:ascii="宋体" w:hAnsi="宋体"/>
                <w:color w:val="000000" w:themeColor="text1"/>
                <w:sz w:val="24"/>
                <w:szCs w:val="24"/>
                <w:shd w:val="clear" w:color="auto" w:fill="FFFFFF"/>
                <w14:textFill>
                  <w14:solidFill>
                    <w14:schemeClr w14:val="tx1"/>
                  </w14:solidFill>
                </w14:textFill>
              </w:rPr>
            </w:pPr>
            <w:r>
              <w:rPr>
                <w:rFonts w:hint="eastAsia" w:ascii="宋体" w:hAnsi="宋体"/>
                <w:color w:val="000000" w:themeColor="text1"/>
                <w:sz w:val="24"/>
                <w:szCs w:val="24"/>
                <w:shd w:val="clear" w:color="auto" w:fill="FFFFFF"/>
                <w14:textFill>
                  <w14:solidFill>
                    <w14:schemeClr w14:val="tx1"/>
                  </w14:solidFill>
                </w14:textFill>
              </w:rPr>
              <w:t>其中汽车自动化、半导体及光通信属于公司重点战略培育板块，依托公司自动化底层通用技术能力持续拓展产品与客户，随着产品迭代、客户验证落地与订单释放，未来有望逐步成长为和消费电子、新能源板块相当，支撑公司中长期发展战略的重要主营业务。谢谢！</w:t>
            </w:r>
          </w:p>
          <w:p w14:paraId="34FADD1D">
            <w:pPr>
              <w:autoSpaceDE w:val="0"/>
              <w:autoSpaceDN w:val="0"/>
              <w:adjustRightInd w:val="0"/>
              <w:spacing w:line="360" w:lineRule="auto"/>
              <w:jc w:val="left"/>
              <w:rPr>
                <w:rFonts w:hint="eastAsia" w:ascii="宋体" w:hAnsi="宋体"/>
                <w:color w:val="000000" w:themeColor="text1"/>
                <w:sz w:val="24"/>
                <w:szCs w:val="24"/>
                <w:shd w:val="clear" w:color="auto" w:fill="FFFFFF"/>
                <w14:textFill>
                  <w14:solidFill>
                    <w14:schemeClr w14:val="tx1"/>
                  </w14:solidFill>
                </w14:textFill>
              </w:rPr>
            </w:pPr>
          </w:p>
          <w:p w14:paraId="3D8D8F04">
            <w:pPr>
              <w:autoSpaceDE w:val="0"/>
              <w:autoSpaceDN w:val="0"/>
              <w:adjustRightInd w:val="0"/>
              <w:spacing w:line="360" w:lineRule="auto"/>
              <w:jc w:val="left"/>
              <w:rPr>
                <w:rFonts w:hint="eastAsia" w:ascii="宋体" w:hAnsi="宋体"/>
                <w:color w:val="000000" w:themeColor="text1"/>
                <w:sz w:val="24"/>
                <w:szCs w:val="24"/>
                <w:shd w:val="clear" w:color="auto" w:fill="FFFFFF"/>
                <w14:textFill>
                  <w14:solidFill>
                    <w14:schemeClr w14:val="tx1"/>
                  </w14:solidFill>
                </w14:textFill>
              </w:rPr>
            </w:pPr>
            <w:r>
              <w:rPr>
                <w:rFonts w:hint="eastAsia" w:ascii="宋体" w:hAnsi="宋体"/>
                <w:color w:val="000000" w:themeColor="text1"/>
                <w:sz w:val="24"/>
                <w:szCs w:val="24"/>
                <w:shd w:val="clear" w:color="auto" w:fill="FFFFFF"/>
                <w14:textFill>
                  <w14:solidFill>
                    <w14:schemeClr w14:val="tx1"/>
                  </w14:solidFill>
                </w14:textFill>
              </w:rPr>
              <w:t>7.您好，黄总，2026年上半年公司期间费用率变化情况如何？</w:t>
            </w:r>
          </w:p>
          <w:p w14:paraId="6F122838">
            <w:pPr>
              <w:autoSpaceDE w:val="0"/>
              <w:autoSpaceDN w:val="0"/>
              <w:adjustRightInd w:val="0"/>
              <w:spacing w:line="360" w:lineRule="auto"/>
              <w:jc w:val="left"/>
              <w:rPr>
                <w:rFonts w:hint="eastAsia" w:ascii="宋体" w:hAnsi="宋体"/>
                <w:color w:val="000000" w:themeColor="text1"/>
                <w:sz w:val="24"/>
                <w:szCs w:val="24"/>
                <w:shd w:val="clear" w:color="auto" w:fill="FFFFFF"/>
                <w14:textFill>
                  <w14:solidFill>
                    <w14:schemeClr w14:val="tx1"/>
                  </w14:solidFill>
                </w14:textFill>
              </w:rPr>
            </w:pPr>
            <w:r>
              <w:rPr>
                <w:rFonts w:hint="eastAsia" w:ascii="宋体" w:hAnsi="宋体"/>
                <w:color w:val="000000" w:themeColor="text1"/>
                <w:sz w:val="24"/>
                <w:szCs w:val="24"/>
                <w:shd w:val="clear" w:color="auto" w:fill="FFFFFF"/>
                <w14:textFill>
                  <w14:solidFill>
                    <w14:schemeClr w14:val="tx1"/>
                  </w14:solidFill>
                </w14:textFill>
              </w:rPr>
              <w:t>答：您好！2026年上半年公司期间费用率为25.5%，同比下降3.7个百分点，规模效应摊低期间费用率。其中销售费用率7.7%，同比下降1.5个百分点；管理费用率4.9%，同比下降1.0个百分点；研发费用率10.0%，同比下降2.6个百分点；财务费用率3.0%，同比上升1.4个百分点，主要系汇率波动影响，汇兑损失增加所致。谢谢！</w:t>
            </w:r>
          </w:p>
          <w:p w14:paraId="1043824C">
            <w:pPr>
              <w:autoSpaceDE w:val="0"/>
              <w:autoSpaceDN w:val="0"/>
              <w:adjustRightInd w:val="0"/>
              <w:spacing w:line="360" w:lineRule="auto"/>
              <w:jc w:val="left"/>
              <w:rPr>
                <w:rFonts w:hint="eastAsia" w:ascii="宋体" w:hAnsi="宋体"/>
                <w:color w:val="000000" w:themeColor="text1"/>
                <w:sz w:val="24"/>
                <w:szCs w:val="24"/>
                <w:shd w:val="clear" w:color="auto" w:fill="FFFFFF"/>
                <w14:textFill>
                  <w14:solidFill>
                    <w14:schemeClr w14:val="tx1"/>
                  </w14:solidFill>
                </w14:textFill>
              </w:rPr>
            </w:pPr>
          </w:p>
          <w:p w14:paraId="67F7722B">
            <w:pPr>
              <w:autoSpaceDE w:val="0"/>
              <w:autoSpaceDN w:val="0"/>
              <w:adjustRightInd w:val="0"/>
              <w:spacing w:line="360" w:lineRule="auto"/>
              <w:jc w:val="left"/>
              <w:rPr>
                <w:rFonts w:hint="eastAsia" w:ascii="宋体" w:hAnsi="宋体"/>
                <w:color w:val="000000" w:themeColor="text1"/>
                <w:sz w:val="24"/>
                <w:szCs w:val="24"/>
                <w:shd w:val="clear" w:color="auto" w:fill="FFFFFF"/>
                <w14:textFill>
                  <w14:solidFill>
                    <w14:schemeClr w14:val="tx1"/>
                  </w14:solidFill>
                </w14:textFill>
              </w:rPr>
            </w:pPr>
            <w:r>
              <w:rPr>
                <w:rFonts w:hint="eastAsia" w:ascii="宋体" w:hAnsi="宋体"/>
                <w:color w:val="000000" w:themeColor="text1"/>
                <w:sz w:val="24"/>
                <w:szCs w:val="24"/>
                <w:shd w:val="clear" w:color="auto" w:fill="FFFFFF"/>
                <w14:textFill>
                  <w14:solidFill>
                    <w14:schemeClr w14:val="tx1"/>
                  </w14:solidFill>
                </w14:textFill>
              </w:rPr>
              <w:t>8.请问上半年半导体业务是否有什么实质性进展？</w:t>
            </w:r>
          </w:p>
          <w:p w14:paraId="3D68D3D8">
            <w:pPr>
              <w:autoSpaceDE w:val="0"/>
              <w:autoSpaceDN w:val="0"/>
              <w:adjustRightInd w:val="0"/>
              <w:spacing w:line="360" w:lineRule="auto"/>
              <w:jc w:val="left"/>
              <w:rPr>
                <w:rFonts w:hint="eastAsia" w:ascii="宋体" w:hAnsi="宋体"/>
                <w:color w:val="000000" w:themeColor="text1"/>
                <w:sz w:val="24"/>
                <w:szCs w:val="24"/>
                <w:shd w:val="clear" w:color="auto" w:fill="FFFFFF"/>
                <w14:textFill>
                  <w14:solidFill>
                    <w14:schemeClr w14:val="tx1"/>
                  </w14:solidFill>
                </w14:textFill>
              </w:rPr>
            </w:pPr>
            <w:r>
              <w:rPr>
                <w:rFonts w:hint="eastAsia" w:ascii="宋体" w:hAnsi="宋体"/>
                <w:color w:val="000000" w:themeColor="text1"/>
                <w:sz w:val="24"/>
                <w:szCs w:val="24"/>
                <w:shd w:val="clear" w:color="auto" w:fill="FFFFFF"/>
                <w14:textFill>
                  <w14:solidFill>
                    <w14:schemeClr w14:val="tx1"/>
                  </w14:solidFill>
                </w14:textFill>
              </w:rPr>
              <w:t>答：您好！2026年半年度，公司半导体业务实现营收2.22亿元，同比增长519.45%。核心产品高精度共晶贴片机已获得行业全球领军企业400G/800G/1.6T批量订单。同时紧跟行业技术演进趋势，全面启动3.2T、CPO下一代核心设备研发，持续构筑技术领先优势。AOI光学检测设备已完成全球头部封测厂送样，报告期内持续验证中。谢谢！</w:t>
            </w:r>
          </w:p>
          <w:p w14:paraId="7325CFF2">
            <w:pPr>
              <w:autoSpaceDE w:val="0"/>
              <w:autoSpaceDN w:val="0"/>
              <w:adjustRightInd w:val="0"/>
              <w:spacing w:line="360" w:lineRule="auto"/>
              <w:jc w:val="left"/>
              <w:rPr>
                <w:rFonts w:hint="eastAsia" w:ascii="宋体" w:hAnsi="宋体"/>
                <w:color w:val="000000" w:themeColor="text1"/>
                <w:sz w:val="24"/>
                <w:szCs w:val="24"/>
                <w:shd w:val="clear" w:color="auto" w:fill="FFFFFF"/>
                <w14:textFill>
                  <w14:solidFill>
                    <w14:schemeClr w14:val="tx1"/>
                  </w14:solidFill>
                </w14:textFill>
              </w:rPr>
            </w:pPr>
          </w:p>
          <w:p w14:paraId="61D7BDA4">
            <w:pPr>
              <w:autoSpaceDE w:val="0"/>
              <w:autoSpaceDN w:val="0"/>
              <w:adjustRightInd w:val="0"/>
              <w:spacing w:line="360" w:lineRule="auto"/>
              <w:jc w:val="left"/>
              <w:rPr>
                <w:rFonts w:hint="eastAsia" w:ascii="宋体" w:hAnsi="宋体"/>
                <w:color w:val="000000" w:themeColor="text1"/>
                <w:sz w:val="24"/>
                <w:szCs w:val="24"/>
                <w:shd w:val="clear" w:color="auto" w:fill="FFFFFF"/>
                <w14:textFill>
                  <w14:solidFill>
                    <w14:schemeClr w14:val="tx1"/>
                  </w14:solidFill>
                </w14:textFill>
              </w:rPr>
            </w:pPr>
            <w:r>
              <w:rPr>
                <w:rFonts w:hint="eastAsia" w:ascii="宋体" w:hAnsi="宋体"/>
                <w:color w:val="000000" w:themeColor="text1"/>
                <w:sz w:val="24"/>
                <w:szCs w:val="24"/>
                <w:shd w:val="clear" w:color="auto" w:fill="FFFFFF"/>
                <w14:textFill>
                  <w14:solidFill>
                    <w14:schemeClr w14:val="tx1"/>
                  </w14:solidFill>
                </w14:textFill>
              </w:rPr>
              <w:t>9.余总，您好！请问公司近期采取了哪些措施以提升投资者对公司的了解？</w:t>
            </w:r>
          </w:p>
          <w:p w14:paraId="2D173C94">
            <w:pPr>
              <w:autoSpaceDE w:val="0"/>
              <w:autoSpaceDN w:val="0"/>
              <w:adjustRightInd w:val="0"/>
              <w:spacing w:line="360" w:lineRule="auto"/>
              <w:jc w:val="left"/>
              <w:rPr>
                <w:rFonts w:hint="eastAsia" w:ascii="宋体" w:hAnsi="宋体"/>
                <w:color w:val="000000" w:themeColor="text1"/>
                <w:sz w:val="24"/>
                <w:szCs w:val="24"/>
                <w:shd w:val="clear" w:color="auto" w:fill="FFFFFF"/>
                <w14:textFill>
                  <w14:solidFill>
                    <w14:schemeClr w14:val="tx1"/>
                  </w14:solidFill>
                </w14:textFill>
              </w:rPr>
            </w:pPr>
            <w:r>
              <w:rPr>
                <w:rFonts w:hint="eastAsia" w:ascii="宋体" w:hAnsi="宋体"/>
                <w:color w:val="000000" w:themeColor="text1"/>
                <w:sz w:val="24"/>
                <w:szCs w:val="24"/>
                <w:shd w:val="clear" w:color="auto" w:fill="FFFFFF"/>
                <w14:textFill>
                  <w14:solidFill>
                    <w14:schemeClr w14:val="tx1"/>
                  </w14:solidFill>
                </w14:textFill>
              </w:rPr>
              <w:t>答：您好!2026年上半年，公司积极搭建多元化投资者沟通平台，常态化开展业绩说明会、路演交流活动。2026年5月，公司召开一季度业绩说明会，董事长、总经理、财务总监、董事会秘书及独立董事等核心管理层全员出席；同月，公司参与“十五五·未来产业”智能制造行业集体业绩说明会。公司严格遵守监管规则，持续提升信息披露规范性、及时性与透明度，同时依托上证e互动、投资者热线等渠道，高效回应投资者咨询与诉求。未来，公司将持续优化信息披露质量与投资者沟通机制，精准传递公司战略价值、技术优势与成长逻辑。谢谢！</w:t>
            </w:r>
          </w:p>
          <w:p w14:paraId="6DC525B8">
            <w:pPr>
              <w:autoSpaceDE w:val="0"/>
              <w:autoSpaceDN w:val="0"/>
              <w:adjustRightInd w:val="0"/>
              <w:spacing w:line="360" w:lineRule="auto"/>
              <w:jc w:val="left"/>
              <w:rPr>
                <w:rFonts w:hint="eastAsia" w:ascii="宋体" w:hAnsi="宋体"/>
                <w:color w:val="000000" w:themeColor="text1"/>
                <w:sz w:val="24"/>
                <w:szCs w:val="24"/>
                <w:shd w:val="clear" w:color="auto" w:fill="FFFFFF"/>
                <w14:textFill>
                  <w14:solidFill>
                    <w14:schemeClr w14:val="tx1"/>
                  </w14:solidFill>
                </w14:textFill>
              </w:rPr>
            </w:pPr>
          </w:p>
          <w:p w14:paraId="221A7FA5">
            <w:pPr>
              <w:autoSpaceDE w:val="0"/>
              <w:autoSpaceDN w:val="0"/>
              <w:adjustRightInd w:val="0"/>
              <w:spacing w:line="360" w:lineRule="auto"/>
              <w:jc w:val="left"/>
              <w:rPr>
                <w:rFonts w:hint="eastAsia" w:ascii="宋体" w:hAnsi="宋体"/>
                <w:color w:val="000000" w:themeColor="text1"/>
                <w:sz w:val="24"/>
                <w:szCs w:val="24"/>
                <w:shd w:val="clear" w:color="auto" w:fill="FFFFFF"/>
                <w14:textFill>
                  <w14:solidFill>
                    <w14:schemeClr w14:val="tx1"/>
                  </w14:solidFill>
                </w14:textFill>
              </w:rPr>
            </w:pPr>
            <w:r>
              <w:rPr>
                <w:rFonts w:hint="eastAsia" w:ascii="宋体" w:hAnsi="宋体"/>
                <w:color w:val="000000" w:themeColor="text1"/>
                <w:sz w:val="24"/>
                <w:szCs w:val="24"/>
                <w:shd w:val="clear" w:color="auto" w:fill="FFFFFF"/>
                <w14:textFill>
                  <w14:solidFill>
                    <w14:schemeClr w14:val="tx1"/>
                  </w14:solidFill>
                </w14:textFill>
              </w:rPr>
              <w:t>10.董秘你好，请问公司收购中南鸿思后产生了哪些协同效应？</w:t>
            </w:r>
          </w:p>
          <w:p w14:paraId="565BBE97">
            <w:pPr>
              <w:autoSpaceDE w:val="0"/>
              <w:autoSpaceDN w:val="0"/>
              <w:adjustRightInd w:val="0"/>
              <w:spacing w:line="360" w:lineRule="auto"/>
              <w:jc w:val="left"/>
              <w:rPr>
                <w:rFonts w:hint="eastAsia" w:ascii="宋体" w:hAnsi="宋体"/>
                <w:color w:val="000000" w:themeColor="text1"/>
                <w:sz w:val="24"/>
                <w:szCs w:val="24"/>
                <w:shd w:val="clear" w:color="auto" w:fill="FFFFFF"/>
                <w14:textFill>
                  <w14:solidFill>
                    <w14:schemeClr w14:val="tx1"/>
                  </w14:solidFill>
                </w14:textFill>
              </w:rPr>
            </w:pPr>
            <w:r>
              <w:rPr>
                <w:rFonts w:hint="eastAsia" w:ascii="宋体" w:hAnsi="宋体"/>
                <w:color w:val="000000" w:themeColor="text1"/>
                <w:sz w:val="24"/>
                <w:szCs w:val="24"/>
                <w:shd w:val="clear" w:color="auto" w:fill="FFFFFF"/>
                <w14:textFill>
                  <w14:solidFill>
                    <w14:schemeClr w14:val="tx1"/>
                  </w14:solidFill>
                </w14:textFill>
              </w:rPr>
              <w:t>答：您好！中南鸿思成立于2015年，核心创始团队源自中南大学高性能复杂制造国家重点实验室博士团队，是国家级专精特新“小巨人”企业。中南鸿思深耕光模块FA自动耦合机等核心设备研发制造十余年，拥有授权发明专利13项、软件著作权20余项，产品覆盖400G至1.6T全系列光模块耦合设备共计30余款，累计设备交付量超2,000台/套。整合落地后，公司半导体板块的精密贴装、整线集成能力与中南鸿思光学耦合核心技术深度互补，成功构建起“共晶贴片+光学耦合+自动化测试+自动化装配”的完整工艺链路。2026年5月，博众半导体携手中南鸿思联合参展第二十一届“中国光谷”国际光电子博览会，集中展示光模块自动化全链路解决方案。目前，中南鸿思第二交付中心已正式投产，在交付周期、供应链成本、人才梯队、全球服务四大维度实现系统性跃升。谢谢！</w:t>
            </w:r>
          </w:p>
          <w:p w14:paraId="6E82441C">
            <w:pPr>
              <w:autoSpaceDE w:val="0"/>
              <w:autoSpaceDN w:val="0"/>
              <w:adjustRightInd w:val="0"/>
              <w:spacing w:line="360" w:lineRule="auto"/>
              <w:jc w:val="left"/>
              <w:rPr>
                <w:rFonts w:hint="eastAsia" w:ascii="宋体" w:hAnsi="宋体"/>
                <w:color w:val="000000" w:themeColor="text1"/>
                <w:sz w:val="24"/>
                <w:szCs w:val="24"/>
                <w:shd w:val="clear" w:color="auto" w:fill="FFFFFF"/>
                <w14:textFill>
                  <w14:solidFill>
                    <w14:schemeClr w14:val="tx1"/>
                  </w14:solidFill>
                </w14:textFill>
              </w:rPr>
            </w:pPr>
          </w:p>
          <w:p w14:paraId="10D20FFA">
            <w:pPr>
              <w:autoSpaceDE w:val="0"/>
              <w:autoSpaceDN w:val="0"/>
              <w:adjustRightInd w:val="0"/>
              <w:spacing w:line="360" w:lineRule="auto"/>
              <w:jc w:val="left"/>
              <w:rPr>
                <w:rFonts w:hint="eastAsia" w:ascii="宋体" w:hAnsi="宋体"/>
                <w:color w:val="000000" w:themeColor="text1"/>
                <w:sz w:val="24"/>
                <w:szCs w:val="24"/>
                <w:shd w:val="clear" w:color="auto" w:fill="FFFFFF"/>
                <w14:textFill>
                  <w14:solidFill>
                    <w14:schemeClr w14:val="tx1"/>
                  </w14:solidFill>
                </w14:textFill>
              </w:rPr>
            </w:pPr>
            <w:r>
              <w:rPr>
                <w:rFonts w:hint="eastAsia" w:ascii="宋体" w:hAnsi="宋体"/>
                <w:color w:val="000000" w:themeColor="text1"/>
                <w:sz w:val="24"/>
                <w:szCs w:val="24"/>
                <w:shd w:val="clear" w:color="auto" w:fill="FFFFFF"/>
                <w14:textFill>
                  <w14:solidFill>
                    <w14:schemeClr w14:val="tx1"/>
                  </w14:solidFill>
                </w14:textFill>
              </w:rPr>
              <w:t>11.您好，请问公司2026年在汽车自动化领域的业务拓展情况如何？</w:t>
            </w:r>
          </w:p>
          <w:p w14:paraId="521FE082">
            <w:pPr>
              <w:autoSpaceDE w:val="0"/>
              <w:autoSpaceDN w:val="0"/>
              <w:adjustRightInd w:val="0"/>
              <w:spacing w:line="360" w:lineRule="auto"/>
              <w:jc w:val="left"/>
              <w:rPr>
                <w:rFonts w:hint="eastAsia" w:ascii="宋体" w:hAnsi="宋体"/>
                <w:color w:val="000000" w:themeColor="text1"/>
                <w:sz w:val="24"/>
                <w:szCs w:val="24"/>
                <w:shd w:val="clear" w:color="auto" w:fill="FFFFFF"/>
                <w14:textFill>
                  <w14:solidFill>
                    <w14:schemeClr w14:val="tx1"/>
                  </w14:solidFill>
                </w14:textFill>
              </w:rPr>
            </w:pPr>
            <w:r>
              <w:rPr>
                <w:rFonts w:hint="eastAsia" w:ascii="宋体" w:hAnsi="宋体"/>
                <w:color w:val="000000" w:themeColor="text1"/>
                <w:sz w:val="24"/>
                <w:szCs w:val="24"/>
                <w:shd w:val="clear" w:color="auto" w:fill="FFFFFF"/>
                <w14:textFill>
                  <w14:solidFill>
                    <w14:schemeClr w14:val="tx1"/>
                  </w14:solidFill>
                </w14:textFill>
              </w:rPr>
              <w:t>答：您好！公司通过上海沃典有效补足了自身在汽车焊装、涂装、总装及电池工厂等制造自动化领域的业务短板，快速切入汽车智能装备市场。上海沃典已与奔驰、大众、沃尔沃、小米、吉利、路特斯、小鹏、理想、上汽、奇瑞等国内外知名汽车企业建立了稳固合作关系。在博众精工的战略赋能下，上海沃典海外市场覆盖范围进一步扩展至欧洲、美洲、东南亚、中东、非洲等多个地区，新签国际项目数量同比显著增长，海外收入占比稳步提升。汽车自动化已成为公司继消费电子、新能源之后的又一核心板块。谢谢！</w:t>
            </w:r>
          </w:p>
          <w:p w14:paraId="1DBEEB08">
            <w:pPr>
              <w:autoSpaceDE w:val="0"/>
              <w:autoSpaceDN w:val="0"/>
              <w:adjustRightInd w:val="0"/>
              <w:spacing w:line="360" w:lineRule="auto"/>
              <w:jc w:val="left"/>
              <w:rPr>
                <w:rFonts w:hint="eastAsia" w:ascii="宋体" w:hAnsi="宋体"/>
                <w:color w:val="000000" w:themeColor="text1"/>
                <w:sz w:val="24"/>
                <w:szCs w:val="24"/>
                <w:shd w:val="clear" w:color="auto" w:fill="FFFFFF"/>
                <w14:textFill>
                  <w14:solidFill>
                    <w14:schemeClr w14:val="tx1"/>
                  </w14:solidFill>
                </w14:textFill>
              </w:rPr>
            </w:pPr>
          </w:p>
          <w:p w14:paraId="4CCDAD35">
            <w:pPr>
              <w:autoSpaceDE w:val="0"/>
              <w:autoSpaceDN w:val="0"/>
              <w:adjustRightInd w:val="0"/>
              <w:spacing w:line="360" w:lineRule="auto"/>
              <w:jc w:val="left"/>
              <w:rPr>
                <w:rFonts w:hint="eastAsia" w:ascii="宋体" w:hAnsi="宋体"/>
                <w:color w:val="000000" w:themeColor="text1"/>
                <w:sz w:val="24"/>
                <w:szCs w:val="24"/>
                <w:shd w:val="clear" w:color="auto" w:fill="FFFFFF"/>
                <w14:textFill>
                  <w14:solidFill>
                    <w14:schemeClr w14:val="tx1"/>
                  </w14:solidFill>
                </w14:textFill>
              </w:rPr>
            </w:pPr>
            <w:r>
              <w:rPr>
                <w:rFonts w:hint="eastAsia" w:ascii="宋体" w:hAnsi="宋体"/>
                <w:color w:val="000000" w:themeColor="text1"/>
                <w:sz w:val="24"/>
                <w:szCs w:val="24"/>
                <w:shd w:val="clear" w:color="auto" w:fill="FFFFFF"/>
                <w14:textFill>
                  <w14:solidFill>
                    <w14:schemeClr w14:val="tx1"/>
                  </w14:solidFill>
                </w14:textFill>
              </w:rPr>
              <w:t>12.黄总您好，请问公司2026年上半年营收大幅增长的原因是什么呢？</w:t>
            </w:r>
          </w:p>
          <w:p w14:paraId="646E4961">
            <w:pPr>
              <w:autoSpaceDE w:val="0"/>
              <w:autoSpaceDN w:val="0"/>
              <w:adjustRightInd w:val="0"/>
              <w:spacing w:line="360" w:lineRule="auto"/>
              <w:jc w:val="left"/>
              <w:rPr>
                <w:rFonts w:hint="eastAsia" w:ascii="宋体" w:hAnsi="宋体"/>
                <w:color w:val="000000" w:themeColor="text1"/>
                <w:sz w:val="24"/>
                <w:szCs w:val="24"/>
                <w:shd w:val="clear" w:color="auto" w:fill="FFFFFF"/>
                <w14:textFill>
                  <w14:solidFill>
                    <w14:schemeClr w14:val="tx1"/>
                  </w14:solidFill>
                </w14:textFill>
              </w:rPr>
            </w:pPr>
            <w:r>
              <w:rPr>
                <w:rFonts w:hint="eastAsia" w:ascii="宋体" w:hAnsi="宋体"/>
                <w:color w:val="000000" w:themeColor="text1"/>
                <w:sz w:val="24"/>
                <w:szCs w:val="24"/>
                <w:shd w:val="clear" w:color="auto" w:fill="FFFFFF"/>
                <w14:textFill>
                  <w14:solidFill>
                    <w14:schemeClr w14:val="tx1"/>
                  </w14:solidFill>
                </w14:textFill>
              </w:rPr>
              <w:t>答：您好！2026年上半年公司实现营业收入32.36亿元，同比增长72.44%。主要系得益于公司持续深化与新能源、3C领域优质客户的业务合作，订单规模快速增长，带动整体销售规模稳步提升。分业务看，新能源业务同比增长199.30%，半导体业务同比增长519.45%，成为增长核心驱动力。谢谢！</w:t>
            </w:r>
          </w:p>
          <w:p w14:paraId="7B8C9FFE">
            <w:pPr>
              <w:autoSpaceDE w:val="0"/>
              <w:autoSpaceDN w:val="0"/>
              <w:adjustRightInd w:val="0"/>
              <w:spacing w:line="360" w:lineRule="auto"/>
              <w:jc w:val="left"/>
              <w:rPr>
                <w:rFonts w:hint="eastAsia" w:ascii="宋体" w:hAnsi="宋体"/>
                <w:color w:val="000000" w:themeColor="text1"/>
                <w:sz w:val="24"/>
                <w:szCs w:val="24"/>
                <w:shd w:val="clear" w:color="auto" w:fill="FFFFFF"/>
                <w14:textFill>
                  <w14:solidFill>
                    <w14:schemeClr w14:val="tx1"/>
                  </w14:solidFill>
                </w14:textFill>
              </w:rPr>
            </w:pPr>
          </w:p>
          <w:p w14:paraId="40EE8208">
            <w:pPr>
              <w:autoSpaceDE w:val="0"/>
              <w:autoSpaceDN w:val="0"/>
              <w:adjustRightInd w:val="0"/>
              <w:spacing w:line="360" w:lineRule="auto"/>
              <w:jc w:val="left"/>
              <w:rPr>
                <w:rFonts w:hint="eastAsia" w:ascii="宋体" w:hAnsi="宋体"/>
                <w:color w:val="000000" w:themeColor="text1"/>
                <w:sz w:val="24"/>
                <w:szCs w:val="24"/>
                <w:shd w:val="clear" w:color="auto" w:fill="FFFFFF"/>
                <w14:textFill>
                  <w14:solidFill>
                    <w14:schemeClr w14:val="tx1"/>
                  </w14:solidFill>
                </w14:textFill>
              </w:rPr>
            </w:pPr>
            <w:r>
              <w:rPr>
                <w:rFonts w:hint="eastAsia" w:ascii="宋体" w:hAnsi="宋体"/>
                <w:color w:val="000000" w:themeColor="text1"/>
                <w:sz w:val="24"/>
                <w:szCs w:val="24"/>
                <w:shd w:val="clear" w:color="auto" w:fill="FFFFFF"/>
                <w14:textFill>
                  <w14:solidFill>
                    <w14:schemeClr w14:val="tx1"/>
                  </w14:solidFill>
                </w14:textFill>
              </w:rPr>
              <w:t>13.请问公司2026年半导体领域的布局和进展如何？</w:t>
            </w:r>
          </w:p>
          <w:p w14:paraId="7054D452">
            <w:pPr>
              <w:autoSpaceDE w:val="0"/>
              <w:autoSpaceDN w:val="0"/>
              <w:adjustRightInd w:val="0"/>
              <w:spacing w:line="360" w:lineRule="auto"/>
              <w:jc w:val="left"/>
              <w:rPr>
                <w:rFonts w:hint="eastAsia" w:ascii="宋体" w:hAnsi="宋体"/>
                <w:color w:val="000000" w:themeColor="text1"/>
                <w:sz w:val="24"/>
                <w:szCs w:val="24"/>
                <w:shd w:val="clear" w:color="auto" w:fill="FFFFFF"/>
                <w14:textFill>
                  <w14:solidFill>
                    <w14:schemeClr w14:val="tx1"/>
                  </w14:solidFill>
                </w14:textFill>
              </w:rPr>
            </w:pPr>
            <w:r>
              <w:rPr>
                <w:rFonts w:hint="eastAsia" w:ascii="宋体" w:hAnsi="宋体"/>
                <w:color w:val="000000" w:themeColor="text1"/>
                <w:sz w:val="24"/>
                <w:szCs w:val="24"/>
                <w:shd w:val="clear" w:color="auto" w:fill="FFFFFF"/>
                <w14:textFill>
                  <w14:solidFill>
                    <w14:schemeClr w14:val="tx1"/>
                  </w14:solidFill>
                </w14:textFill>
              </w:rPr>
              <w:t>答：您好！公司在半导体领域重点布局先进封装、光通信、AI算力等方向。高精度共晶贴片机产品已获得行业全球领军企业400G/800G/1.6T批量订单，同时全面启动3.2T、CPO下一代核心设备研发。AOI光学检测设备已完成全球头部封测厂送样。DU系列高速固晶贴片机取得数家批量订单。产业布局方面，公司2026年完成对国家级专精特新“小巨人”企业中南鸿思的收购，补齐光学耦合核心工艺短板，成功构建“共晶贴片+光学耦合+自动化测试+智能装配”全工艺链路。此外，上海栎智二期工厂已于2026年1月在上海松江正式投产，聚焦特气输送、化学品供应等五大类核心产品。谢谢！</w:t>
            </w:r>
          </w:p>
          <w:p w14:paraId="68C14C0A">
            <w:pPr>
              <w:autoSpaceDE w:val="0"/>
              <w:autoSpaceDN w:val="0"/>
              <w:adjustRightInd w:val="0"/>
              <w:spacing w:line="360" w:lineRule="auto"/>
              <w:jc w:val="left"/>
              <w:rPr>
                <w:rFonts w:hint="eastAsia" w:ascii="宋体" w:hAnsi="宋体"/>
                <w:color w:val="000000" w:themeColor="text1"/>
                <w:sz w:val="24"/>
                <w:szCs w:val="24"/>
                <w:shd w:val="clear" w:color="auto" w:fill="FFFFFF"/>
                <w14:textFill>
                  <w14:solidFill>
                    <w14:schemeClr w14:val="tx1"/>
                  </w14:solidFill>
                </w14:textFill>
              </w:rPr>
            </w:pPr>
          </w:p>
          <w:p w14:paraId="33C7B20B">
            <w:pPr>
              <w:autoSpaceDE w:val="0"/>
              <w:autoSpaceDN w:val="0"/>
              <w:adjustRightInd w:val="0"/>
              <w:spacing w:line="360" w:lineRule="auto"/>
              <w:jc w:val="left"/>
              <w:rPr>
                <w:rFonts w:hint="eastAsia" w:ascii="宋体" w:hAnsi="宋体"/>
                <w:color w:val="000000" w:themeColor="text1"/>
                <w:sz w:val="24"/>
                <w:szCs w:val="24"/>
                <w:shd w:val="clear" w:color="auto" w:fill="FFFFFF"/>
                <w14:textFill>
                  <w14:solidFill>
                    <w14:schemeClr w14:val="tx1"/>
                  </w14:solidFill>
                </w14:textFill>
              </w:rPr>
            </w:pPr>
            <w:r>
              <w:rPr>
                <w:rFonts w:hint="eastAsia" w:ascii="宋体" w:hAnsi="宋体"/>
                <w:color w:val="000000" w:themeColor="text1"/>
                <w:sz w:val="24"/>
                <w:szCs w:val="24"/>
                <w:shd w:val="clear" w:color="auto" w:fill="FFFFFF"/>
                <w14:textFill>
                  <w14:solidFill>
                    <w14:schemeClr w14:val="tx1"/>
                  </w14:solidFill>
                </w14:textFill>
              </w:rPr>
              <w:t>14.你好，目前工业自动化设备行业的发展趋势如何？</w:t>
            </w:r>
          </w:p>
          <w:p w14:paraId="2907BCE0">
            <w:pPr>
              <w:autoSpaceDE w:val="0"/>
              <w:autoSpaceDN w:val="0"/>
              <w:adjustRightInd w:val="0"/>
              <w:spacing w:line="360" w:lineRule="auto"/>
              <w:jc w:val="left"/>
              <w:rPr>
                <w:rFonts w:hint="eastAsia" w:ascii="宋体" w:hAnsi="宋体"/>
                <w:color w:val="000000" w:themeColor="text1"/>
                <w:sz w:val="24"/>
                <w:szCs w:val="24"/>
                <w:shd w:val="clear" w:color="auto" w:fill="FFFFFF"/>
                <w14:textFill>
                  <w14:solidFill>
                    <w14:schemeClr w14:val="tx1"/>
                  </w14:solidFill>
                </w14:textFill>
              </w:rPr>
            </w:pPr>
            <w:r>
              <w:rPr>
                <w:rFonts w:hint="eastAsia" w:ascii="宋体" w:hAnsi="宋体"/>
                <w:color w:val="000000" w:themeColor="text1"/>
                <w:sz w:val="24"/>
                <w:szCs w:val="24"/>
                <w:shd w:val="clear" w:color="auto" w:fill="FFFFFF"/>
                <w14:textFill>
                  <w14:solidFill>
                    <w14:schemeClr w14:val="tx1"/>
                  </w14:solidFill>
                </w14:textFill>
              </w:rPr>
              <w:t>答：您好！全球制造业转型升级趋势下，工业自动化设备行业快速增长。根据思瀚产业研究院数据，2029年全球工业自动化市场预计达7.247亿美元，2024年至2029年期间年复合增长率为7.3%。中国工业自动化市场增速高于全球平均水平，2029年中国市场规模预计达833亿美元，2024年至2029年年复合增长率为12.7%。行业发展趋势主要表现为：一是工业自动化设备需求持续增长；二是设备趋向高精度化、高集成化；三是技术实力成为自动化设备企业的核心竞争力。谢谢！</w:t>
            </w:r>
          </w:p>
          <w:p w14:paraId="348EAEA8">
            <w:pPr>
              <w:autoSpaceDE w:val="0"/>
              <w:autoSpaceDN w:val="0"/>
              <w:adjustRightInd w:val="0"/>
              <w:spacing w:line="360" w:lineRule="auto"/>
              <w:jc w:val="left"/>
              <w:rPr>
                <w:rFonts w:hint="eastAsia" w:ascii="宋体" w:hAnsi="宋体"/>
                <w:color w:val="000000" w:themeColor="text1"/>
                <w:sz w:val="24"/>
                <w:szCs w:val="24"/>
                <w:shd w:val="clear" w:color="auto" w:fill="FFFFFF"/>
                <w14:textFill>
                  <w14:solidFill>
                    <w14:schemeClr w14:val="tx1"/>
                  </w14:solidFill>
                </w14:textFill>
              </w:rPr>
            </w:pPr>
          </w:p>
          <w:p w14:paraId="68195DF8">
            <w:pPr>
              <w:autoSpaceDE w:val="0"/>
              <w:autoSpaceDN w:val="0"/>
              <w:adjustRightInd w:val="0"/>
              <w:spacing w:line="360" w:lineRule="auto"/>
              <w:jc w:val="left"/>
              <w:rPr>
                <w:rFonts w:hint="eastAsia" w:ascii="宋体" w:hAnsi="宋体"/>
                <w:color w:val="000000" w:themeColor="text1"/>
                <w:sz w:val="24"/>
                <w:szCs w:val="24"/>
                <w:shd w:val="clear" w:color="auto" w:fill="FFFFFF"/>
                <w14:textFill>
                  <w14:solidFill>
                    <w14:schemeClr w14:val="tx1"/>
                  </w14:solidFill>
                </w14:textFill>
              </w:rPr>
            </w:pPr>
            <w:r>
              <w:rPr>
                <w:rFonts w:hint="eastAsia" w:ascii="宋体" w:hAnsi="宋体"/>
                <w:color w:val="000000" w:themeColor="text1"/>
                <w:sz w:val="24"/>
                <w:szCs w:val="24"/>
                <w:shd w:val="clear" w:color="auto" w:fill="FFFFFF"/>
                <w14:textFill>
                  <w14:solidFill>
                    <w14:schemeClr w14:val="tx1"/>
                  </w14:solidFill>
                </w14:textFill>
              </w:rPr>
              <w:t>15.董秘您好，请问公司各个业务板块之间是否具备技术协同与业务关联</w:t>
            </w:r>
          </w:p>
          <w:p w14:paraId="22CAC8B8">
            <w:pPr>
              <w:autoSpaceDE w:val="0"/>
              <w:autoSpaceDN w:val="0"/>
              <w:adjustRightInd w:val="0"/>
              <w:spacing w:line="360" w:lineRule="auto"/>
              <w:jc w:val="left"/>
              <w:rPr>
                <w:rFonts w:hint="eastAsia" w:ascii="宋体" w:hAnsi="宋体"/>
                <w:color w:val="000000" w:themeColor="text1"/>
                <w:sz w:val="24"/>
                <w:szCs w:val="24"/>
                <w:shd w:val="clear" w:color="auto" w:fill="FFFFFF"/>
                <w14:textFill>
                  <w14:solidFill>
                    <w14:schemeClr w14:val="tx1"/>
                  </w14:solidFill>
                </w14:textFill>
              </w:rPr>
            </w:pPr>
            <w:r>
              <w:rPr>
                <w:rFonts w:hint="eastAsia" w:ascii="宋体" w:hAnsi="宋体"/>
                <w:color w:val="000000" w:themeColor="text1"/>
                <w:sz w:val="24"/>
                <w:szCs w:val="24"/>
                <w:shd w:val="clear" w:color="auto" w:fill="FFFFFF"/>
                <w14:textFill>
                  <w14:solidFill>
                    <w14:schemeClr w14:val="tx1"/>
                  </w14:solidFill>
                </w14:textFill>
              </w:rPr>
              <w:t>答：您好！博众精工是一家专注于研发和创新的技术驱动型企业，自创立以来，深耕智能制造装备领域，主要从事自动化设备、自动化柔性生产线以及工装夹（治）具等产品的研发、设计、生产、销售及技术服务。作为一家技术平台型企业，公司基于自动化底层的通用技术（用自动化设备替代人的手和眼睛，去完成终端产品组装、检测、量测的工艺），公司一方面持续巩固在消费电子领域的优势，深度绑定大客户；另一方面积极发展新能源（锂电标准设备、新能源汽车换电站、智慧仓储物流）、汽车自动化及半导体等领域，并取得了积极成果。目前，公司营收大部分来源于消费电子和新能源行业。长远来看，公司规划形成 “消费电子 + 新能源 + 汽车自动化 + 半导体” 多轮驱动的业务结构，向跨行业的工业自动化解决方案领军者迈进，为未来长期增长奠定坚实基础。谢谢！</w:t>
            </w:r>
          </w:p>
          <w:p w14:paraId="0D2C6165">
            <w:pPr>
              <w:autoSpaceDE w:val="0"/>
              <w:autoSpaceDN w:val="0"/>
              <w:adjustRightInd w:val="0"/>
              <w:spacing w:line="360" w:lineRule="auto"/>
              <w:jc w:val="left"/>
              <w:rPr>
                <w:rFonts w:hint="eastAsia" w:ascii="宋体" w:hAnsi="宋体"/>
                <w:color w:val="000000" w:themeColor="text1"/>
                <w:sz w:val="24"/>
                <w:szCs w:val="24"/>
                <w:shd w:val="clear" w:color="auto" w:fill="FFFFFF"/>
                <w14:textFill>
                  <w14:solidFill>
                    <w14:schemeClr w14:val="tx1"/>
                  </w14:solidFill>
                </w14:textFill>
              </w:rPr>
            </w:pPr>
          </w:p>
          <w:p w14:paraId="3916D9FF">
            <w:pPr>
              <w:autoSpaceDE w:val="0"/>
              <w:autoSpaceDN w:val="0"/>
              <w:adjustRightInd w:val="0"/>
              <w:spacing w:line="360" w:lineRule="auto"/>
              <w:jc w:val="left"/>
              <w:rPr>
                <w:rFonts w:hint="eastAsia" w:ascii="宋体" w:hAnsi="宋体"/>
                <w:color w:val="000000" w:themeColor="text1"/>
                <w:sz w:val="24"/>
                <w:szCs w:val="24"/>
                <w:shd w:val="clear" w:color="auto" w:fill="FFFFFF"/>
                <w14:textFill>
                  <w14:solidFill>
                    <w14:schemeClr w14:val="tx1"/>
                  </w14:solidFill>
                </w14:textFill>
              </w:rPr>
            </w:pPr>
            <w:r>
              <w:rPr>
                <w:rFonts w:hint="eastAsia" w:ascii="宋体" w:hAnsi="宋体"/>
                <w:color w:val="000000" w:themeColor="text1"/>
                <w:sz w:val="24"/>
                <w:szCs w:val="24"/>
                <w:shd w:val="clear" w:color="auto" w:fill="FFFFFF"/>
                <w14:textFill>
                  <w14:solidFill>
                    <w14:schemeClr w14:val="tx1"/>
                  </w14:solidFill>
                </w14:textFill>
              </w:rPr>
              <w:t>16.现金流3季度能改善嘛？</w:t>
            </w:r>
          </w:p>
          <w:p w14:paraId="583AD8B1">
            <w:pPr>
              <w:autoSpaceDE w:val="0"/>
              <w:autoSpaceDN w:val="0"/>
              <w:adjustRightInd w:val="0"/>
              <w:spacing w:line="360" w:lineRule="auto"/>
              <w:jc w:val="left"/>
              <w:rPr>
                <w:rFonts w:hint="eastAsia" w:ascii="宋体" w:hAnsi="宋体"/>
                <w:color w:val="000000" w:themeColor="text1"/>
                <w:sz w:val="24"/>
                <w:szCs w:val="24"/>
                <w:shd w:val="clear" w:color="auto" w:fill="FFFFFF"/>
                <w14:textFill>
                  <w14:solidFill>
                    <w14:schemeClr w14:val="tx1"/>
                  </w14:solidFill>
                </w14:textFill>
              </w:rPr>
            </w:pPr>
            <w:r>
              <w:rPr>
                <w:rFonts w:hint="eastAsia" w:ascii="宋体" w:hAnsi="宋体"/>
                <w:color w:val="000000" w:themeColor="text1"/>
                <w:sz w:val="24"/>
                <w:szCs w:val="24"/>
                <w:shd w:val="clear" w:color="auto" w:fill="FFFFFF"/>
                <w14:textFill>
                  <w14:solidFill>
                    <w14:schemeClr w14:val="tx1"/>
                  </w14:solidFill>
                </w14:textFill>
              </w:rPr>
              <w:t>答：您好，感谢您的提问。经营活动现金流受订单交付节奏、存货备货、客户回款周期、供应商付款安排等多重内外部因素影响，报告期内公司经营现金流阶段性承压，主要系业务规模扩张带来前期备货、采购投入增加所致。后续公司将持续强化应收账款回收管理，优化存货及排产管理，争取加以改善。三季度相关财务数据请以公司后续披露的三季度报告为准。感谢关注。</w:t>
            </w:r>
          </w:p>
          <w:p w14:paraId="1F0FC874">
            <w:pPr>
              <w:autoSpaceDE w:val="0"/>
              <w:autoSpaceDN w:val="0"/>
              <w:adjustRightInd w:val="0"/>
              <w:spacing w:line="360" w:lineRule="auto"/>
              <w:jc w:val="left"/>
              <w:rPr>
                <w:rFonts w:hint="eastAsia" w:ascii="宋体" w:hAnsi="宋体"/>
                <w:color w:val="000000" w:themeColor="text1"/>
                <w:sz w:val="24"/>
                <w:szCs w:val="24"/>
                <w:shd w:val="clear" w:color="auto" w:fill="FFFFFF"/>
                <w14:textFill>
                  <w14:solidFill>
                    <w14:schemeClr w14:val="tx1"/>
                  </w14:solidFill>
                </w14:textFill>
              </w:rPr>
            </w:pPr>
          </w:p>
          <w:p w14:paraId="23583B11">
            <w:pPr>
              <w:autoSpaceDE w:val="0"/>
              <w:autoSpaceDN w:val="0"/>
              <w:adjustRightInd w:val="0"/>
              <w:spacing w:line="360" w:lineRule="auto"/>
              <w:jc w:val="left"/>
              <w:rPr>
                <w:rFonts w:hint="eastAsia" w:ascii="宋体" w:hAnsi="宋体"/>
                <w:color w:val="000000" w:themeColor="text1"/>
                <w:sz w:val="24"/>
                <w:szCs w:val="24"/>
                <w:shd w:val="clear" w:color="auto" w:fill="FFFFFF"/>
                <w14:textFill>
                  <w14:solidFill>
                    <w14:schemeClr w14:val="tx1"/>
                  </w14:solidFill>
                </w14:textFill>
              </w:rPr>
            </w:pPr>
            <w:r>
              <w:rPr>
                <w:rFonts w:hint="eastAsia" w:ascii="宋体" w:hAnsi="宋体"/>
                <w:color w:val="000000" w:themeColor="text1"/>
                <w:sz w:val="24"/>
                <w:szCs w:val="24"/>
                <w:shd w:val="clear" w:color="auto" w:fill="FFFFFF"/>
                <w14:textFill>
                  <w14:solidFill>
                    <w14:schemeClr w14:val="tx1"/>
                  </w14:solidFill>
                </w14:textFill>
              </w:rPr>
              <w:t>17.上半年消费电子业务表现怎么样？</w:t>
            </w:r>
          </w:p>
          <w:p w14:paraId="41FA50AD">
            <w:pPr>
              <w:autoSpaceDE w:val="0"/>
              <w:autoSpaceDN w:val="0"/>
              <w:adjustRightInd w:val="0"/>
              <w:spacing w:line="360" w:lineRule="auto"/>
              <w:jc w:val="left"/>
              <w:rPr>
                <w:rFonts w:hint="eastAsia" w:ascii="宋体" w:hAnsi="宋体"/>
                <w:color w:val="000000" w:themeColor="text1"/>
                <w:sz w:val="24"/>
                <w:szCs w:val="24"/>
                <w:shd w:val="clear" w:color="auto" w:fill="FFFFFF"/>
                <w14:textFill>
                  <w14:solidFill>
                    <w14:schemeClr w14:val="tx1"/>
                  </w14:solidFill>
                </w14:textFill>
              </w:rPr>
            </w:pPr>
            <w:r>
              <w:rPr>
                <w:rFonts w:hint="eastAsia" w:ascii="宋体" w:hAnsi="宋体"/>
                <w:color w:val="000000" w:themeColor="text1"/>
                <w:sz w:val="24"/>
                <w:szCs w:val="24"/>
                <w:shd w:val="clear" w:color="auto" w:fill="FFFFFF"/>
                <w14:textFill>
                  <w14:solidFill>
                    <w14:schemeClr w14:val="tx1"/>
                  </w14:solidFill>
                </w14:textFill>
              </w:rPr>
              <w:t>答：您好！消费电子业务作为公司的核心营收基本盘，2026年半年度实现营业收入11.33亿元，占总营收的 35.01%。报告期内，公司紧跟头部终端客户技术迭代节奏，深度参与下一代智能终端产品制程前置研发，顺利完成多款新品制程设备的开发、调试与客户验证工作，持续巩固在消费电子领域的核心竞争优势。谢谢！</w:t>
            </w:r>
          </w:p>
          <w:p w14:paraId="42F1B0F0">
            <w:pPr>
              <w:autoSpaceDE w:val="0"/>
              <w:autoSpaceDN w:val="0"/>
              <w:adjustRightInd w:val="0"/>
              <w:spacing w:line="360" w:lineRule="auto"/>
              <w:jc w:val="left"/>
              <w:rPr>
                <w:rFonts w:hint="eastAsia" w:ascii="宋体" w:hAnsi="宋体"/>
                <w:color w:val="000000" w:themeColor="text1"/>
                <w:sz w:val="24"/>
                <w:szCs w:val="24"/>
                <w:shd w:val="clear" w:color="auto" w:fill="FFFFFF"/>
                <w14:textFill>
                  <w14:solidFill>
                    <w14:schemeClr w14:val="tx1"/>
                  </w14:solidFill>
                </w14:textFill>
              </w:rPr>
            </w:pPr>
          </w:p>
          <w:p w14:paraId="42799C17">
            <w:pPr>
              <w:autoSpaceDE w:val="0"/>
              <w:autoSpaceDN w:val="0"/>
              <w:adjustRightInd w:val="0"/>
              <w:spacing w:line="360" w:lineRule="auto"/>
              <w:jc w:val="left"/>
              <w:rPr>
                <w:rFonts w:hint="eastAsia" w:ascii="宋体" w:hAnsi="宋体"/>
                <w:color w:val="000000" w:themeColor="text1"/>
                <w:sz w:val="24"/>
                <w:szCs w:val="24"/>
                <w:shd w:val="clear" w:color="auto" w:fill="FFFFFF"/>
                <w14:textFill>
                  <w14:solidFill>
                    <w14:schemeClr w14:val="tx1"/>
                  </w14:solidFill>
                </w14:textFill>
              </w:rPr>
            </w:pPr>
            <w:r>
              <w:rPr>
                <w:rFonts w:hint="eastAsia" w:ascii="宋体" w:hAnsi="宋体"/>
                <w:color w:val="000000" w:themeColor="text1"/>
                <w:sz w:val="24"/>
                <w:szCs w:val="24"/>
                <w:shd w:val="clear" w:color="auto" w:fill="FFFFFF"/>
                <w14:textFill>
                  <w14:solidFill>
                    <w14:schemeClr w14:val="tx1"/>
                  </w14:solidFill>
                </w14:textFill>
              </w:rPr>
              <w:t>18.请问公司上半年经营状况如何？贵公司如何看待上半年经营情况？</w:t>
            </w:r>
          </w:p>
          <w:p w14:paraId="75EB7DEA">
            <w:pPr>
              <w:autoSpaceDE w:val="0"/>
              <w:autoSpaceDN w:val="0"/>
              <w:adjustRightInd w:val="0"/>
              <w:spacing w:line="360" w:lineRule="auto"/>
              <w:jc w:val="left"/>
              <w:rPr>
                <w:rFonts w:hint="eastAsia" w:ascii="宋体" w:hAnsi="宋体"/>
                <w:color w:val="000000" w:themeColor="text1"/>
                <w:sz w:val="24"/>
                <w:szCs w:val="24"/>
                <w:shd w:val="clear" w:color="auto" w:fill="FFFFFF"/>
                <w14:textFill>
                  <w14:solidFill>
                    <w14:schemeClr w14:val="tx1"/>
                  </w14:solidFill>
                </w14:textFill>
              </w:rPr>
            </w:pPr>
            <w:r>
              <w:rPr>
                <w:rFonts w:hint="eastAsia" w:ascii="宋体" w:hAnsi="宋体"/>
                <w:color w:val="000000" w:themeColor="text1"/>
                <w:sz w:val="24"/>
                <w:szCs w:val="24"/>
                <w:shd w:val="clear" w:color="auto" w:fill="FFFFFF"/>
                <w14:textFill>
                  <w14:solidFill>
                    <w14:schemeClr w14:val="tx1"/>
                  </w14:solidFill>
                </w14:textFill>
              </w:rPr>
              <w:t>答：您好！公司消费电子主业稳健夯实，新能源、半导体、汽车自动化等新兴业务持续放量，产业多元布局成效凸显，整体经营业绩实现稳步增长。2026年半年度，公司实现营业收入32.36亿元，同比增长72.44%；归属于上市公司股东的净利润2.57亿元，同比增长58.18%。截至2026年6月末，公司在手订单金额95.68亿元，为全年业绩稳健增长筑牢基本盘、积蓄新动能。总体而言，公司上半年业务拓展、技术创新、治理升级、投资者回报等各项工作有序落地。谢谢！</w:t>
            </w:r>
          </w:p>
          <w:p w14:paraId="692F6477">
            <w:pPr>
              <w:autoSpaceDE w:val="0"/>
              <w:autoSpaceDN w:val="0"/>
              <w:adjustRightInd w:val="0"/>
              <w:spacing w:line="360" w:lineRule="auto"/>
              <w:jc w:val="left"/>
              <w:rPr>
                <w:rFonts w:hint="eastAsia" w:ascii="宋体" w:hAnsi="宋体"/>
                <w:color w:val="000000" w:themeColor="text1"/>
                <w:sz w:val="24"/>
                <w:szCs w:val="24"/>
                <w:shd w:val="clear" w:color="auto" w:fill="FFFFFF"/>
                <w14:textFill>
                  <w14:solidFill>
                    <w14:schemeClr w14:val="tx1"/>
                  </w14:solidFill>
                </w14:textFill>
              </w:rPr>
            </w:pPr>
          </w:p>
          <w:p w14:paraId="354DEA5D">
            <w:pPr>
              <w:autoSpaceDE w:val="0"/>
              <w:autoSpaceDN w:val="0"/>
              <w:adjustRightInd w:val="0"/>
              <w:spacing w:line="360" w:lineRule="auto"/>
              <w:jc w:val="left"/>
              <w:rPr>
                <w:rFonts w:hint="eastAsia" w:ascii="宋体" w:hAnsi="宋体"/>
                <w:color w:val="000000" w:themeColor="text1"/>
                <w:sz w:val="24"/>
                <w:szCs w:val="24"/>
                <w:shd w:val="clear" w:color="auto" w:fill="FFFFFF"/>
                <w14:textFill>
                  <w14:solidFill>
                    <w14:schemeClr w14:val="tx1"/>
                  </w14:solidFill>
                </w14:textFill>
              </w:rPr>
            </w:pPr>
            <w:r>
              <w:rPr>
                <w:rFonts w:hint="eastAsia" w:ascii="宋体" w:hAnsi="宋体"/>
                <w:color w:val="000000" w:themeColor="text1"/>
                <w:sz w:val="24"/>
                <w:szCs w:val="24"/>
                <w:shd w:val="clear" w:color="auto" w:fill="FFFFFF"/>
                <w14:textFill>
                  <w14:solidFill>
                    <w14:schemeClr w14:val="tx1"/>
                  </w14:solidFill>
                </w14:textFill>
              </w:rPr>
              <w:t>19.作为一个以成为世界级公司为目标的公司，今天贵公司在全A股的人气排行榜中排4700多名，公司常年人气低迷，知名度只在业内有，在资本市场却是低调得太多。请问公司有无对应措施？谢谢！</w:t>
            </w:r>
          </w:p>
          <w:p w14:paraId="133B13DD">
            <w:pPr>
              <w:autoSpaceDE w:val="0"/>
              <w:autoSpaceDN w:val="0"/>
              <w:adjustRightInd w:val="0"/>
              <w:spacing w:line="360" w:lineRule="auto"/>
              <w:jc w:val="left"/>
              <w:rPr>
                <w:rFonts w:ascii="宋体" w:hAnsi="宋体"/>
                <w:b/>
                <w:color w:val="000000" w:themeColor="text1"/>
                <w:sz w:val="24"/>
                <w:szCs w:val="24"/>
                <w:shd w:val="clear" w:color="auto" w:fill="FFFFFF"/>
                <w14:textFill>
                  <w14:solidFill>
                    <w14:schemeClr w14:val="tx1"/>
                  </w14:solidFill>
                </w14:textFill>
              </w:rPr>
            </w:pPr>
            <w:r>
              <w:rPr>
                <w:rFonts w:hint="eastAsia" w:ascii="宋体" w:hAnsi="宋体"/>
                <w:color w:val="000000" w:themeColor="text1"/>
                <w:sz w:val="24"/>
                <w:szCs w:val="24"/>
                <w:shd w:val="clear" w:color="auto" w:fill="FFFFFF"/>
                <w14:textFill>
                  <w14:solidFill>
                    <w14:schemeClr w14:val="tx1"/>
                  </w14:solidFill>
                </w14:textFill>
              </w:rPr>
              <w:t>答：您好，非常感谢您长期以来对公司的认可与关心。二级市场人气、股票价格、成交额受宏观经济、行业周期、市场资金偏好、投资者风险偏好等多重外部因素共同影响，公司无法干预二级市场交易表现。公司成立二十五年来，始终坚守实业，践行 “让我们的智慧在外太空为人类服务” 的企业使命，聚焦高端非标自动化装备主业，持续深耕 3C、新能源、半导体光通信等赛道，扎实做好生产经营，夯实核心竞争力，力争以良好的经营成果回报广大投资者。感谢您的关注！</w:t>
            </w:r>
          </w:p>
        </w:tc>
      </w:tr>
      <w:tr w14:paraId="0571A7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81" w:type="dxa"/>
            <w:vAlign w:val="center"/>
          </w:tcPr>
          <w:p w14:paraId="5E6EE463">
            <w:pPr>
              <w:spacing w:line="480" w:lineRule="atLeast"/>
              <w:rPr>
                <w:rFonts w:hint="eastAsia" w:ascii="TimesNewRoman" w:hAnsi="TimesNewRoman"/>
                <w:b/>
                <w:sz w:val="24"/>
              </w:rPr>
            </w:pPr>
            <w:r>
              <w:rPr>
                <w:rFonts w:hint="eastAsia" w:ascii="TimesNewRoman" w:hAnsi="宋体"/>
                <w:b/>
                <w:sz w:val="24"/>
              </w:rPr>
              <w:t>附件清单（如有）</w:t>
            </w:r>
          </w:p>
        </w:tc>
        <w:tc>
          <w:tcPr>
            <w:tcW w:w="7286" w:type="dxa"/>
          </w:tcPr>
          <w:p w14:paraId="28305054">
            <w:pPr>
              <w:spacing w:line="480" w:lineRule="atLeast"/>
              <w:rPr>
                <w:rFonts w:hint="eastAsia" w:ascii="TimesNewRoman" w:hAnsi="TimesNewRoman"/>
                <w:sz w:val="24"/>
                <w:szCs w:val="24"/>
              </w:rPr>
            </w:pPr>
            <w:r>
              <w:rPr>
                <w:rFonts w:hint="eastAsia" w:ascii="TimesNewRoman" w:hAnsi="宋体"/>
                <w:sz w:val="24"/>
                <w:szCs w:val="24"/>
              </w:rPr>
              <w:t>无</w:t>
            </w:r>
          </w:p>
        </w:tc>
      </w:tr>
      <w:tr w14:paraId="5712B5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81" w:type="dxa"/>
            <w:vAlign w:val="center"/>
          </w:tcPr>
          <w:p w14:paraId="219F3E03">
            <w:pPr>
              <w:spacing w:line="480" w:lineRule="atLeast"/>
              <w:rPr>
                <w:rFonts w:hint="eastAsia" w:ascii="TimesNewRoman" w:hAnsi="TimesNewRoman"/>
                <w:b/>
                <w:sz w:val="24"/>
              </w:rPr>
            </w:pPr>
            <w:r>
              <w:rPr>
                <w:rFonts w:hint="eastAsia" w:ascii="TimesNewRoman" w:hAnsi="宋体"/>
                <w:b/>
                <w:sz w:val="24"/>
              </w:rPr>
              <w:t>日期</w:t>
            </w:r>
          </w:p>
        </w:tc>
        <w:tc>
          <w:tcPr>
            <w:tcW w:w="7286" w:type="dxa"/>
          </w:tcPr>
          <w:p w14:paraId="0F73B0F7">
            <w:pPr>
              <w:spacing w:line="480" w:lineRule="atLeast"/>
              <w:rPr>
                <w:rFonts w:hint="eastAsia" w:ascii="TimesNewRoman" w:hAnsi="TimesNewRoman"/>
                <w:sz w:val="24"/>
                <w:szCs w:val="24"/>
              </w:rPr>
            </w:pPr>
            <w:r>
              <w:rPr>
                <w:rFonts w:hint="eastAsia" w:ascii="TimesNewRoman" w:hAnsi="宋体"/>
                <w:sz w:val="24"/>
                <w:szCs w:val="24"/>
              </w:rPr>
              <w:t>2</w:t>
            </w:r>
            <w:r>
              <w:rPr>
                <w:rFonts w:ascii="TimesNewRoman" w:hAnsi="宋体"/>
                <w:sz w:val="24"/>
                <w:szCs w:val="24"/>
              </w:rPr>
              <w:t>02</w:t>
            </w:r>
            <w:r>
              <w:rPr>
                <w:rFonts w:hint="eastAsia" w:ascii="TimesNewRoman" w:hAnsi="宋体"/>
                <w:sz w:val="24"/>
                <w:szCs w:val="24"/>
                <w:lang w:val="en-US" w:eastAsia="zh-CN"/>
              </w:rPr>
              <w:t>6</w:t>
            </w:r>
            <w:r>
              <w:rPr>
                <w:rFonts w:hint="eastAsia" w:ascii="TimesNewRoman" w:hAnsi="宋体"/>
                <w:sz w:val="24"/>
                <w:szCs w:val="24"/>
              </w:rPr>
              <w:t xml:space="preserve">年 </w:t>
            </w:r>
            <w:r>
              <w:rPr>
                <w:rFonts w:ascii="TimesNewRoman" w:hAnsi="宋体"/>
                <w:sz w:val="24"/>
                <w:szCs w:val="24"/>
              </w:rPr>
              <w:t>9</w:t>
            </w:r>
            <w:r>
              <w:rPr>
                <w:rFonts w:hint="eastAsia" w:ascii="TimesNewRoman" w:hAnsi="宋体"/>
                <w:sz w:val="24"/>
                <w:szCs w:val="24"/>
              </w:rPr>
              <w:t>月</w:t>
            </w:r>
            <w:r>
              <w:rPr>
                <w:rFonts w:ascii="TimesNewRoman" w:hAnsi="TimesNewRoman"/>
                <w:sz w:val="24"/>
                <w:szCs w:val="24"/>
              </w:rPr>
              <w:t xml:space="preserve"> </w:t>
            </w:r>
            <w:r>
              <w:rPr>
                <w:rFonts w:hint="eastAsia" w:ascii="TimesNewRoman" w:hAnsi="TimesNewRoman"/>
                <w:sz w:val="24"/>
                <w:szCs w:val="24"/>
                <w:lang w:val="en-US" w:eastAsia="zh-CN"/>
              </w:rPr>
              <w:t>3</w:t>
            </w:r>
            <w:r>
              <w:rPr>
                <w:rFonts w:hint="eastAsia" w:ascii="TimesNewRoman" w:hAnsi="宋体"/>
                <w:sz w:val="24"/>
                <w:szCs w:val="24"/>
              </w:rPr>
              <w:t>日</w:t>
            </w:r>
          </w:p>
        </w:tc>
      </w:tr>
    </w:tbl>
    <w:p w14:paraId="27514829">
      <w:pPr>
        <w:rPr>
          <w:rFonts w:hint="eastAsia" w:ascii="TimesNewRoman" w:hAnsi="TimesNewRoman"/>
        </w:rPr>
      </w:pPr>
    </w:p>
    <w:p w14:paraId="672865D4">
      <w:pPr>
        <w:rPr>
          <w:rFonts w:hint="eastAsia" w:ascii="TimesNewRoman" w:hAnsi="TimesNewRoman"/>
        </w:rPr>
      </w:pPr>
      <w:bookmarkStart w:id="1" w:name="_GoBack"/>
      <w:bookmarkEnd w:id="1"/>
    </w:p>
    <w:sectPr>
      <w:footerReference r:id="rId3" w:type="default"/>
      <w:pgSz w:w="11906" w:h="16838"/>
      <w:pgMar w:top="1440" w:right="1797" w:bottom="1440" w:left="179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TimesNewRoman">
    <w:altName w:val="Times New Roman"/>
    <w:panose1 w:val="00000000000000000000"/>
    <w:charset w:val="00"/>
    <w:family w:val="roman"/>
    <w:pitch w:val="default"/>
    <w:sig w:usb0="00000000" w:usb1="00000000" w:usb2="00000000" w:usb3="00000000" w:csb0="00000000" w:csb1="00000000"/>
  </w:font>
  <w:font w:name="Arial">
    <w:panose1 w:val="020B0604020202020204"/>
    <w:charset w:val="00"/>
    <w:family w:val="swiss"/>
    <w:pitch w:val="default"/>
    <w:sig w:usb0="E0002EFF" w:usb1="C000785B" w:usb2="00000009" w:usb3="00000000" w:csb0="400001FF" w:csb1="FFFF0000"/>
  </w:font>
  <w:font w:name="微软雅黑">
    <w:panose1 w:val="020B0503020204020204"/>
    <w:charset w:val="86"/>
    <w:family w:val="auto"/>
    <w:pitch w:val="default"/>
    <w:sig w:usb0="80000287" w:usb1="2ACF3C50" w:usb2="00000016" w:usb3="00000000" w:csb0="0004001F" w:csb1="00000000"/>
  </w:font>
  <w:font w:name="Noto Sans SC">
    <w:panose1 w:val="020B0200000000000000"/>
    <w:charset w:val="86"/>
    <w:family w:val="auto"/>
    <w:pitch w:val="default"/>
    <w:sig w:usb0="20000083" w:usb1="2ADF3C10" w:usb2="00000016" w:usb3="00000000" w:csb0="60060107"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452555993"/>
      <w:docPartObj>
        <w:docPartGallery w:val="AutoText"/>
      </w:docPartObj>
    </w:sdtPr>
    <w:sdtContent>
      <w:p w14:paraId="5DBA01B8">
        <w:pPr>
          <w:pStyle w:val="4"/>
          <w:jc w:val="center"/>
        </w:pPr>
        <w:r>
          <w:fldChar w:fldCharType="begin"/>
        </w:r>
        <w:r>
          <w:instrText xml:space="preserve">PAGE   \* MERGEFORMAT</w:instrText>
        </w:r>
        <w:r>
          <w:fldChar w:fldCharType="separate"/>
        </w:r>
        <w:r>
          <w:rPr>
            <w:lang w:val="zh-CN"/>
          </w:rPr>
          <w:t>4</w:t>
        </w:r>
        <w:r>
          <w:fldChar w:fldCharType="end"/>
        </w:r>
      </w:p>
    </w:sdtContent>
  </w:sdt>
  <w:p w14:paraId="5FDF39CE">
    <w:pPr>
      <w:pStyle w:val="4"/>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3704D"/>
    <w:rsid w:val="000014F4"/>
    <w:rsid w:val="000019FB"/>
    <w:rsid w:val="00001F84"/>
    <w:rsid w:val="000071FE"/>
    <w:rsid w:val="00007235"/>
    <w:rsid w:val="00007E14"/>
    <w:rsid w:val="0001134B"/>
    <w:rsid w:val="0001160E"/>
    <w:rsid w:val="0001170A"/>
    <w:rsid w:val="000145C3"/>
    <w:rsid w:val="00016D7C"/>
    <w:rsid w:val="00021ECF"/>
    <w:rsid w:val="000259FC"/>
    <w:rsid w:val="00025BBB"/>
    <w:rsid w:val="00027252"/>
    <w:rsid w:val="00035521"/>
    <w:rsid w:val="0003702A"/>
    <w:rsid w:val="00041BD6"/>
    <w:rsid w:val="00043E52"/>
    <w:rsid w:val="00044D7B"/>
    <w:rsid w:val="00045697"/>
    <w:rsid w:val="00045A41"/>
    <w:rsid w:val="00046453"/>
    <w:rsid w:val="00052109"/>
    <w:rsid w:val="0005383E"/>
    <w:rsid w:val="000541F7"/>
    <w:rsid w:val="0005426F"/>
    <w:rsid w:val="000559E9"/>
    <w:rsid w:val="00056078"/>
    <w:rsid w:val="00060362"/>
    <w:rsid w:val="00061C80"/>
    <w:rsid w:val="00061F53"/>
    <w:rsid w:val="000621E4"/>
    <w:rsid w:val="000649C3"/>
    <w:rsid w:val="000659D8"/>
    <w:rsid w:val="0007110F"/>
    <w:rsid w:val="00072E7E"/>
    <w:rsid w:val="000765B4"/>
    <w:rsid w:val="000832A0"/>
    <w:rsid w:val="000846EC"/>
    <w:rsid w:val="00085F43"/>
    <w:rsid w:val="00086860"/>
    <w:rsid w:val="00086EA8"/>
    <w:rsid w:val="0009346E"/>
    <w:rsid w:val="000947FD"/>
    <w:rsid w:val="000963FF"/>
    <w:rsid w:val="00097EEC"/>
    <w:rsid w:val="000A002F"/>
    <w:rsid w:val="000A5CC2"/>
    <w:rsid w:val="000A6856"/>
    <w:rsid w:val="000A7AD7"/>
    <w:rsid w:val="000B0F4C"/>
    <w:rsid w:val="000B26DA"/>
    <w:rsid w:val="000B2D94"/>
    <w:rsid w:val="000B32A5"/>
    <w:rsid w:val="000B42A1"/>
    <w:rsid w:val="000B6B1B"/>
    <w:rsid w:val="000B7149"/>
    <w:rsid w:val="000B7A17"/>
    <w:rsid w:val="000C54D3"/>
    <w:rsid w:val="000D0E7C"/>
    <w:rsid w:val="000D3579"/>
    <w:rsid w:val="000D448C"/>
    <w:rsid w:val="000D4B1C"/>
    <w:rsid w:val="000D4FD0"/>
    <w:rsid w:val="000E3976"/>
    <w:rsid w:val="000F048E"/>
    <w:rsid w:val="000F161B"/>
    <w:rsid w:val="000F22C9"/>
    <w:rsid w:val="000F247E"/>
    <w:rsid w:val="000F5C45"/>
    <w:rsid w:val="000F63B3"/>
    <w:rsid w:val="000F6422"/>
    <w:rsid w:val="00100FB7"/>
    <w:rsid w:val="00104470"/>
    <w:rsid w:val="00111BB8"/>
    <w:rsid w:val="00111F24"/>
    <w:rsid w:val="001123B3"/>
    <w:rsid w:val="00112462"/>
    <w:rsid w:val="001129EB"/>
    <w:rsid w:val="001147DF"/>
    <w:rsid w:val="001153FF"/>
    <w:rsid w:val="00116D96"/>
    <w:rsid w:val="0011729A"/>
    <w:rsid w:val="00121617"/>
    <w:rsid w:val="001223F6"/>
    <w:rsid w:val="001254C0"/>
    <w:rsid w:val="00126E4D"/>
    <w:rsid w:val="0012735B"/>
    <w:rsid w:val="001273F2"/>
    <w:rsid w:val="00130CF7"/>
    <w:rsid w:val="00130D81"/>
    <w:rsid w:val="0013178A"/>
    <w:rsid w:val="00132274"/>
    <w:rsid w:val="00134783"/>
    <w:rsid w:val="001353EB"/>
    <w:rsid w:val="001360A8"/>
    <w:rsid w:val="00136249"/>
    <w:rsid w:val="00136A3B"/>
    <w:rsid w:val="00136AFF"/>
    <w:rsid w:val="001375BB"/>
    <w:rsid w:val="00140353"/>
    <w:rsid w:val="00140547"/>
    <w:rsid w:val="0014361E"/>
    <w:rsid w:val="00143A92"/>
    <w:rsid w:val="00143D4D"/>
    <w:rsid w:val="00145726"/>
    <w:rsid w:val="0014748C"/>
    <w:rsid w:val="00154E54"/>
    <w:rsid w:val="001603E2"/>
    <w:rsid w:val="0016378D"/>
    <w:rsid w:val="00163DDB"/>
    <w:rsid w:val="001661E6"/>
    <w:rsid w:val="001662AD"/>
    <w:rsid w:val="001672E7"/>
    <w:rsid w:val="0017273C"/>
    <w:rsid w:val="001727FA"/>
    <w:rsid w:val="00174E5B"/>
    <w:rsid w:val="00177FD5"/>
    <w:rsid w:val="0018028C"/>
    <w:rsid w:val="0018143E"/>
    <w:rsid w:val="001828EB"/>
    <w:rsid w:val="00182D94"/>
    <w:rsid w:val="001864AC"/>
    <w:rsid w:val="00186732"/>
    <w:rsid w:val="0018795F"/>
    <w:rsid w:val="00194CA3"/>
    <w:rsid w:val="0019541C"/>
    <w:rsid w:val="00195D86"/>
    <w:rsid w:val="00195EF8"/>
    <w:rsid w:val="00197A12"/>
    <w:rsid w:val="001A1292"/>
    <w:rsid w:val="001A136B"/>
    <w:rsid w:val="001A2DE6"/>
    <w:rsid w:val="001A5A36"/>
    <w:rsid w:val="001B20A4"/>
    <w:rsid w:val="001B6291"/>
    <w:rsid w:val="001B67F1"/>
    <w:rsid w:val="001C25CA"/>
    <w:rsid w:val="001C586C"/>
    <w:rsid w:val="001C6DC4"/>
    <w:rsid w:val="001D011D"/>
    <w:rsid w:val="001D1105"/>
    <w:rsid w:val="001D2C50"/>
    <w:rsid w:val="001D4FE2"/>
    <w:rsid w:val="001D5CD5"/>
    <w:rsid w:val="001D642F"/>
    <w:rsid w:val="001D6EB4"/>
    <w:rsid w:val="001E16FC"/>
    <w:rsid w:val="001E210D"/>
    <w:rsid w:val="001F0993"/>
    <w:rsid w:val="001F0F1C"/>
    <w:rsid w:val="001F11B8"/>
    <w:rsid w:val="001F4725"/>
    <w:rsid w:val="00200495"/>
    <w:rsid w:val="00201E60"/>
    <w:rsid w:val="002055EF"/>
    <w:rsid w:val="0020711D"/>
    <w:rsid w:val="00210E28"/>
    <w:rsid w:val="002137E2"/>
    <w:rsid w:val="00214FC8"/>
    <w:rsid w:val="00215042"/>
    <w:rsid w:val="00216004"/>
    <w:rsid w:val="002261E3"/>
    <w:rsid w:val="002264AA"/>
    <w:rsid w:val="00231E17"/>
    <w:rsid w:val="00232BDA"/>
    <w:rsid w:val="00233282"/>
    <w:rsid w:val="00236AE0"/>
    <w:rsid w:val="0023774F"/>
    <w:rsid w:val="00241ED6"/>
    <w:rsid w:val="00241F81"/>
    <w:rsid w:val="00241FFA"/>
    <w:rsid w:val="00246516"/>
    <w:rsid w:val="00247F54"/>
    <w:rsid w:val="00252051"/>
    <w:rsid w:val="00256CBC"/>
    <w:rsid w:val="00260CB0"/>
    <w:rsid w:val="002633B7"/>
    <w:rsid w:val="002713D9"/>
    <w:rsid w:val="00275528"/>
    <w:rsid w:val="00275F31"/>
    <w:rsid w:val="00281179"/>
    <w:rsid w:val="0028178B"/>
    <w:rsid w:val="00281C82"/>
    <w:rsid w:val="00285C6B"/>
    <w:rsid w:val="002910E9"/>
    <w:rsid w:val="0029119E"/>
    <w:rsid w:val="002932A1"/>
    <w:rsid w:val="002933DD"/>
    <w:rsid w:val="002941F4"/>
    <w:rsid w:val="002975D6"/>
    <w:rsid w:val="002A4BF6"/>
    <w:rsid w:val="002A5EDA"/>
    <w:rsid w:val="002B3688"/>
    <w:rsid w:val="002B3C37"/>
    <w:rsid w:val="002B6224"/>
    <w:rsid w:val="002B6BB0"/>
    <w:rsid w:val="002C1896"/>
    <w:rsid w:val="002C249C"/>
    <w:rsid w:val="002C3697"/>
    <w:rsid w:val="002C6557"/>
    <w:rsid w:val="002C7AD3"/>
    <w:rsid w:val="002C7D54"/>
    <w:rsid w:val="002D162B"/>
    <w:rsid w:val="002D433A"/>
    <w:rsid w:val="002D60DE"/>
    <w:rsid w:val="002D753E"/>
    <w:rsid w:val="002D7A18"/>
    <w:rsid w:val="002E129F"/>
    <w:rsid w:val="002E1E66"/>
    <w:rsid w:val="002E6D00"/>
    <w:rsid w:val="002E72E1"/>
    <w:rsid w:val="002E786A"/>
    <w:rsid w:val="002F248B"/>
    <w:rsid w:val="002F56E8"/>
    <w:rsid w:val="0030271F"/>
    <w:rsid w:val="0030503E"/>
    <w:rsid w:val="00305CAC"/>
    <w:rsid w:val="0031213A"/>
    <w:rsid w:val="00312DBF"/>
    <w:rsid w:val="00316A4E"/>
    <w:rsid w:val="003220F2"/>
    <w:rsid w:val="00323470"/>
    <w:rsid w:val="00323B8A"/>
    <w:rsid w:val="003244E6"/>
    <w:rsid w:val="00326834"/>
    <w:rsid w:val="00337761"/>
    <w:rsid w:val="0034079A"/>
    <w:rsid w:val="003411E6"/>
    <w:rsid w:val="003428AA"/>
    <w:rsid w:val="00343AC4"/>
    <w:rsid w:val="00350008"/>
    <w:rsid w:val="003502B1"/>
    <w:rsid w:val="003574DF"/>
    <w:rsid w:val="0036268A"/>
    <w:rsid w:val="00363F33"/>
    <w:rsid w:val="003666BA"/>
    <w:rsid w:val="00366C01"/>
    <w:rsid w:val="00366D14"/>
    <w:rsid w:val="00366D2F"/>
    <w:rsid w:val="00370EE6"/>
    <w:rsid w:val="003719C4"/>
    <w:rsid w:val="00373077"/>
    <w:rsid w:val="00373484"/>
    <w:rsid w:val="00373D35"/>
    <w:rsid w:val="0037587E"/>
    <w:rsid w:val="00375960"/>
    <w:rsid w:val="003760A3"/>
    <w:rsid w:val="003778AA"/>
    <w:rsid w:val="003800DB"/>
    <w:rsid w:val="00382B23"/>
    <w:rsid w:val="00386CE1"/>
    <w:rsid w:val="00391F0C"/>
    <w:rsid w:val="00394988"/>
    <w:rsid w:val="003A36C2"/>
    <w:rsid w:val="003A47C2"/>
    <w:rsid w:val="003A649F"/>
    <w:rsid w:val="003B1370"/>
    <w:rsid w:val="003B4A87"/>
    <w:rsid w:val="003B5F62"/>
    <w:rsid w:val="003B678A"/>
    <w:rsid w:val="003B7EC4"/>
    <w:rsid w:val="003C23EA"/>
    <w:rsid w:val="003C7806"/>
    <w:rsid w:val="003D0B0D"/>
    <w:rsid w:val="003D19B0"/>
    <w:rsid w:val="003D25B0"/>
    <w:rsid w:val="003D293E"/>
    <w:rsid w:val="003D559E"/>
    <w:rsid w:val="003D7451"/>
    <w:rsid w:val="003E0037"/>
    <w:rsid w:val="003E3C70"/>
    <w:rsid w:val="003E605A"/>
    <w:rsid w:val="003E6864"/>
    <w:rsid w:val="003E6CF9"/>
    <w:rsid w:val="003F018A"/>
    <w:rsid w:val="003F1AE1"/>
    <w:rsid w:val="003F3A63"/>
    <w:rsid w:val="0040111D"/>
    <w:rsid w:val="00402152"/>
    <w:rsid w:val="00402CC2"/>
    <w:rsid w:val="004078A4"/>
    <w:rsid w:val="0041361E"/>
    <w:rsid w:val="00416724"/>
    <w:rsid w:val="00421CAC"/>
    <w:rsid w:val="00422D27"/>
    <w:rsid w:val="00431D99"/>
    <w:rsid w:val="00432FEB"/>
    <w:rsid w:val="004376DC"/>
    <w:rsid w:val="004377A5"/>
    <w:rsid w:val="004401A3"/>
    <w:rsid w:val="00440633"/>
    <w:rsid w:val="004422C1"/>
    <w:rsid w:val="00442C69"/>
    <w:rsid w:val="0044371A"/>
    <w:rsid w:val="0044659F"/>
    <w:rsid w:val="0044774A"/>
    <w:rsid w:val="004511AD"/>
    <w:rsid w:val="0045276D"/>
    <w:rsid w:val="0046364D"/>
    <w:rsid w:val="00463C5F"/>
    <w:rsid w:val="00463EFC"/>
    <w:rsid w:val="00464CD4"/>
    <w:rsid w:val="00467575"/>
    <w:rsid w:val="00470A68"/>
    <w:rsid w:val="004710A2"/>
    <w:rsid w:val="00472E37"/>
    <w:rsid w:val="00474CEB"/>
    <w:rsid w:val="00475437"/>
    <w:rsid w:val="00475EAD"/>
    <w:rsid w:val="00477DDB"/>
    <w:rsid w:val="00482AAE"/>
    <w:rsid w:val="00486BAD"/>
    <w:rsid w:val="004914A0"/>
    <w:rsid w:val="00493A75"/>
    <w:rsid w:val="004949D7"/>
    <w:rsid w:val="004963AA"/>
    <w:rsid w:val="0049739A"/>
    <w:rsid w:val="004A0EBC"/>
    <w:rsid w:val="004A199E"/>
    <w:rsid w:val="004A2166"/>
    <w:rsid w:val="004A5D9A"/>
    <w:rsid w:val="004A6744"/>
    <w:rsid w:val="004A6F04"/>
    <w:rsid w:val="004B1B32"/>
    <w:rsid w:val="004B3A50"/>
    <w:rsid w:val="004B4E57"/>
    <w:rsid w:val="004C336E"/>
    <w:rsid w:val="004C4519"/>
    <w:rsid w:val="004C4573"/>
    <w:rsid w:val="004C4B30"/>
    <w:rsid w:val="004C59ED"/>
    <w:rsid w:val="004C5AC5"/>
    <w:rsid w:val="004E1E72"/>
    <w:rsid w:val="004E4069"/>
    <w:rsid w:val="004E55A8"/>
    <w:rsid w:val="004E7029"/>
    <w:rsid w:val="004F3751"/>
    <w:rsid w:val="005025D3"/>
    <w:rsid w:val="00502D46"/>
    <w:rsid w:val="00503BC3"/>
    <w:rsid w:val="00507C81"/>
    <w:rsid w:val="00510325"/>
    <w:rsid w:val="00511DA7"/>
    <w:rsid w:val="00512BE0"/>
    <w:rsid w:val="00517035"/>
    <w:rsid w:val="00527602"/>
    <w:rsid w:val="00530C76"/>
    <w:rsid w:val="00530C94"/>
    <w:rsid w:val="00532440"/>
    <w:rsid w:val="00533AE1"/>
    <w:rsid w:val="005341CB"/>
    <w:rsid w:val="00535FFF"/>
    <w:rsid w:val="00536DB0"/>
    <w:rsid w:val="005436FD"/>
    <w:rsid w:val="0055050B"/>
    <w:rsid w:val="00550615"/>
    <w:rsid w:val="005555BF"/>
    <w:rsid w:val="005576F0"/>
    <w:rsid w:val="00562493"/>
    <w:rsid w:val="00562B79"/>
    <w:rsid w:val="00563A0C"/>
    <w:rsid w:val="0057073A"/>
    <w:rsid w:val="00570D33"/>
    <w:rsid w:val="00572979"/>
    <w:rsid w:val="0057750F"/>
    <w:rsid w:val="005857FF"/>
    <w:rsid w:val="005862D0"/>
    <w:rsid w:val="00590261"/>
    <w:rsid w:val="00594430"/>
    <w:rsid w:val="0059653B"/>
    <w:rsid w:val="005A4790"/>
    <w:rsid w:val="005A5C94"/>
    <w:rsid w:val="005B2970"/>
    <w:rsid w:val="005B5582"/>
    <w:rsid w:val="005B592C"/>
    <w:rsid w:val="005B5AFE"/>
    <w:rsid w:val="005C1B38"/>
    <w:rsid w:val="005C1F2D"/>
    <w:rsid w:val="005C7F55"/>
    <w:rsid w:val="005D196E"/>
    <w:rsid w:val="005D2161"/>
    <w:rsid w:val="005D25B4"/>
    <w:rsid w:val="005D5FB8"/>
    <w:rsid w:val="005D6475"/>
    <w:rsid w:val="005D6E3B"/>
    <w:rsid w:val="005D79E7"/>
    <w:rsid w:val="005E11B8"/>
    <w:rsid w:val="005E241E"/>
    <w:rsid w:val="005E506E"/>
    <w:rsid w:val="005F45C0"/>
    <w:rsid w:val="005F4A68"/>
    <w:rsid w:val="005F4BB7"/>
    <w:rsid w:val="0060097D"/>
    <w:rsid w:val="00601EB3"/>
    <w:rsid w:val="00602A61"/>
    <w:rsid w:val="00604B31"/>
    <w:rsid w:val="006109F7"/>
    <w:rsid w:val="00610F53"/>
    <w:rsid w:val="006113DF"/>
    <w:rsid w:val="00611650"/>
    <w:rsid w:val="00614839"/>
    <w:rsid w:val="0061537A"/>
    <w:rsid w:val="006226AC"/>
    <w:rsid w:val="006306D8"/>
    <w:rsid w:val="006318D9"/>
    <w:rsid w:val="00632242"/>
    <w:rsid w:val="00632677"/>
    <w:rsid w:val="0063403F"/>
    <w:rsid w:val="00634412"/>
    <w:rsid w:val="00635DBE"/>
    <w:rsid w:val="00652FA8"/>
    <w:rsid w:val="00653F40"/>
    <w:rsid w:val="00656FB0"/>
    <w:rsid w:val="006612AA"/>
    <w:rsid w:val="00664EBC"/>
    <w:rsid w:val="00665E13"/>
    <w:rsid w:val="006673EF"/>
    <w:rsid w:val="00675B80"/>
    <w:rsid w:val="00680F21"/>
    <w:rsid w:val="006830DD"/>
    <w:rsid w:val="00685206"/>
    <w:rsid w:val="00685D9B"/>
    <w:rsid w:val="0069062E"/>
    <w:rsid w:val="0069129F"/>
    <w:rsid w:val="00691AD0"/>
    <w:rsid w:val="0069620A"/>
    <w:rsid w:val="006A1BBA"/>
    <w:rsid w:val="006A2E2C"/>
    <w:rsid w:val="006A30FD"/>
    <w:rsid w:val="006A4332"/>
    <w:rsid w:val="006B30B9"/>
    <w:rsid w:val="006B4B3D"/>
    <w:rsid w:val="006B5791"/>
    <w:rsid w:val="006B59C0"/>
    <w:rsid w:val="006B7FA4"/>
    <w:rsid w:val="006C568A"/>
    <w:rsid w:val="006C6A3C"/>
    <w:rsid w:val="006C71D5"/>
    <w:rsid w:val="006D42A9"/>
    <w:rsid w:val="006D506C"/>
    <w:rsid w:val="006D5172"/>
    <w:rsid w:val="006D59F1"/>
    <w:rsid w:val="006D70EF"/>
    <w:rsid w:val="006D7EA1"/>
    <w:rsid w:val="006E18AA"/>
    <w:rsid w:val="006E7907"/>
    <w:rsid w:val="006F05CE"/>
    <w:rsid w:val="006F2584"/>
    <w:rsid w:val="006F3FA6"/>
    <w:rsid w:val="006F5874"/>
    <w:rsid w:val="006F5E58"/>
    <w:rsid w:val="006F6A22"/>
    <w:rsid w:val="006F6AE5"/>
    <w:rsid w:val="0070033E"/>
    <w:rsid w:val="007048C5"/>
    <w:rsid w:val="007126AD"/>
    <w:rsid w:val="007169A1"/>
    <w:rsid w:val="00717633"/>
    <w:rsid w:val="00724495"/>
    <w:rsid w:val="00727C04"/>
    <w:rsid w:val="00731723"/>
    <w:rsid w:val="0073344B"/>
    <w:rsid w:val="00734298"/>
    <w:rsid w:val="00734F80"/>
    <w:rsid w:val="0073572A"/>
    <w:rsid w:val="00741158"/>
    <w:rsid w:val="007455B6"/>
    <w:rsid w:val="00746AA1"/>
    <w:rsid w:val="007527D0"/>
    <w:rsid w:val="007547CD"/>
    <w:rsid w:val="00756212"/>
    <w:rsid w:val="00756BB4"/>
    <w:rsid w:val="00760B1D"/>
    <w:rsid w:val="007638C8"/>
    <w:rsid w:val="0076447D"/>
    <w:rsid w:val="007706E6"/>
    <w:rsid w:val="0077302A"/>
    <w:rsid w:val="00773D4F"/>
    <w:rsid w:val="007821B2"/>
    <w:rsid w:val="007858CA"/>
    <w:rsid w:val="00785B3E"/>
    <w:rsid w:val="007911F3"/>
    <w:rsid w:val="007923DA"/>
    <w:rsid w:val="007933A1"/>
    <w:rsid w:val="00794BC0"/>
    <w:rsid w:val="007973F5"/>
    <w:rsid w:val="007A1DF2"/>
    <w:rsid w:val="007A50CC"/>
    <w:rsid w:val="007A61DD"/>
    <w:rsid w:val="007A6EE8"/>
    <w:rsid w:val="007A701D"/>
    <w:rsid w:val="007B0414"/>
    <w:rsid w:val="007B5BE8"/>
    <w:rsid w:val="007B73F8"/>
    <w:rsid w:val="007B76EC"/>
    <w:rsid w:val="007B7E15"/>
    <w:rsid w:val="007C03C8"/>
    <w:rsid w:val="007C0DD1"/>
    <w:rsid w:val="007C536A"/>
    <w:rsid w:val="007C5FED"/>
    <w:rsid w:val="007E17CE"/>
    <w:rsid w:val="007E185B"/>
    <w:rsid w:val="007E49F6"/>
    <w:rsid w:val="007F19EB"/>
    <w:rsid w:val="007F2CA9"/>
    <w:rsid w:val="007F494F"/>
    <w:rsid w:val="007F6718"/>
    <w:rsid w:val="00801B17"/>
    <w:rsid w:val="008034E4"/>
    <w:rsid w:val="00803995"/>
    <w:rsid w:val="00812B86"/>
    <w:rsid w:val="00816AFD"/>
    <w:rsid w:val="00820510"/>
    <w:rsid w:val="00820CBF"/>
    <w:rsid w:val="00822259"/>
    <w:rsid w:val="00825D5E"/>
    <w:rsid w:val="00827F59"/>
    <w:rsid w:val="00833143"/>
    <w:rsid w:val="008336FC"/>
    <w:rsid w:val="00841AD7"/>
    <w:rsid w:val="008465D6"/>
    <w:rsid w:val="00846655"/>
    <w:rsid w:val="00847AFF"/>
    <w:rsid w:val="00847C3F"/>
    <w:rsid w:val="008553E9"/>
    <w:rsid w:val="008556DF"/>
    <w:rsid w:val="00857D12"/>
    <w:rsid w:val="00871A26"/>
    <w:rsid w:val="00881FD2"/>
    <w:rsid w:val="00882E45"/>
    <w:rsid w:val="00882E5C"/>
    <w:rsid w:val="008836E0"/>
    <w:rsid w:val="00883D42"/>
    <w:rsid w:val="00885888"/>
    <w:rsid w:val="0088601F"/>
    <w:rsid w:val="008868C2"/>
    <w:rsid w:val="00887652"/>
    <w:rsid w:val="008904F5"/>
    <w:rsid w:val="00890876"/>
    <w:rsid w:val="008938B1"/>
    <w:rsid w:val="008948CD"/>
    <w:rsid w:val="00894B5A"/>
    <w:rsid w:val="00895909"/>
    <w:rsid w:val="008A0184"/>
    <w:rsid w:val="008A13EF"/>
    <w:rsid w:val="008A7363"/>
    <w:rsid w:val="008A7BEB"/>
    <w:rsid w:val="008B2E10"/>
    <w:rsid w:val="008B3D16"/>
    <w:rsid w:val="008B437D"/>
    <w:rsid w:val="008B460B"/>
    <w:rsid w:val="008C175B"/>
    <w:rsid w:val="008C22C0"/>
    <w:rsid w:val="008C49B9"/>
    <w:rsid w:val="008C6F14"/>
    <w:rsid w:val="008D0241"/>
    <w:rsid w:val="008D13C7"/>
    <w:rsid w:val="008D48E2"/>
    <w:rsid w:val="008D70F4"/>
    <w:rsid w:val="008D7130"/>
    <w:rsid w:val="008D7237"/>
    <w:rsid w:val="008D7B94"/>
    <w:rsid w:val="008E1538"/>
    <w:rsid w:val="008E188B"/>
    <w:rsid w:val="008E1C45"/>
    <w:rsid w:val="008E246B"/>
    <w:rsid w:val="008E2BFB"/>
    <w:rsid w:val="008E4346"/>
    <w:rsid w:val="008E76FF"/>
    <w:rsid w:val="008E7940"/>
    <w:rsid w:val="008F1924"/>
    <w:rsid w:val="008F21D9"/>
    <w:rsid w:val="008F245E"/>
    <w:rsid w:val="008F70F5"/>
    <w:rsid w:val="008F7B85"/>
    <w:rsid w:val="009001ED"/>
    <w:rsid w:val="00901A65"/>
    <w:rsid w:val="009027BF"/>
    <w:rsid w:val="00903763"/>
    <w:rsid w:val="0091507D"/>
    <w:rsid w:val="00917DD2"/>
    <w:rsid w:val="00923151"/>
    <w:rsid w:val="00923A78"/>
    <w:rsid w:val="00924D44"/>
    <w:rsid w:val="00925BDB"/>
    <w:rsid w:val="00932A6C"/>
    <w:rsid w:val="0093356E"/>
    <w:rsid w:val="00933A2E"/>
    <w:rsid w:val="009366FC"/>
    <w:rsid w:val="0093783F"/>
    <w:rsid w:val="00941380"/>
    <w:rsid w:val="00943D37"/>
    <w:rsid w:val="00943E94"/>
    <w:rsid w:val="009471D8"/>
    <w:rsid w:val="009524C0"/>
    <w:rsid w:val="00953783"/>
    <w:rsid w:val="009569AD"/>
    <w:rsid w:val="0095733F"/>
    <w:rsid w:val="00957F37"/>
    <w:rsid w:val="00960C9A"/>
    <w:rsid w:val="009674F0"/>
    <w:rsid w:val="009675DE"/>
    <w:rsid w:val="00972433"/>
    <w:rsid w:val="00972BBD"/>
    <w:rsid w:val="009734A6"/>
    <w:rsid w:val="00974572"/>
    <w:rsid w:val="00977154"/>
    <w:rsid w:val="00977739"/>
    <w:rsid w:val="00984FE6"/>
    <w:rsid w:val="009852FA"/>
    <w:rsid w:val="00986394"/>
    <w:rsid w:val="009937D8"/>
    <w:rsid w:val="0099512B"/>
    <w:rsid w:val="00995B9D"/>
    <w:rsid w:val="00996253"/>
    <w:rsid w:val="009968A8"/>
    <w:rsid w:val="009A1381"/>
    <w:rsid w:val="009A2BDB"/>
    <w:rsid w:val="009A64A5"/>
    <w:rsid w:val="009A69FC"/>
    <w:rsid w:val="009A7806"/>
    <w:rsid w:val="009A7EDA"/>
    <w:rsid w:val="009B1061"/>
    <w:rsid w:val="009B3023"/>
    <w:rsid w:val="009B3A2F"/>
    <w:rsid w:val="009C048F"/>
    <w:rsid w:val="009C0B5A"/>
    <w:rsid w:val="009C0CBE"/>
    <w:rsid w:val="009C3286"/>
    <w:rsid w:val="009C50BB"/>
    <w:rsid w:val="009C58D8"/>
    <w:rsid w:val="009C6070"/>
    <w:rsid w:val="009D0B5E"/>
    <w:rsid w:val="009D11B8"/>
    <w:rsid w:val="009D13ED"/>
    <w:rsid w:val="009D2D7D"/>
    <w:rsid w:val="009D5F85"/>
    <w:rsid w:val="009D666E"/>
    <w:rsid w:val="009E1DF1"/>
    <w:rsid w:val="009E235D"/>
    <w:rsid w:val="009F432D"/>
    <w:rsid w:val="009F5411"/>
    <w:rsid w:val="009F68B1"/>
    <w:rsid w:val="00A00035"/>
    <w:rsid w:val="00A02A37"/>
    <w:rsid w:val="00A05011"/>
    <w:rsid w:val="00A064E0"/>
    <w:rsid w:val="00A07400"/>
    <w:rsid w:val="00A11C23"/>
    <w:rsid w:val="00A12338"/>
    <w:rsid w:val="00A14B5A"/>
    <w:rsid w:val="00A20297"/>
    <w:rsid w:val="00A21381"/>
    <w:rsid w:val="00A2288B"/>
    <w:rsid w:val="00A2354A"/>
    <w:rsid w:val="00A24F08"/>
    <w:rsid w:val="00A30CC8"/>
    <w:rsid w:val="00A324C8"/>
    <w:rsid w:val="00A33AAD"/>
    <w:rsid w:val="00A35F50"/>
    <w:rsid w:val="00A41447"/>
    <w:rsid w:val="00A4217C"/>
    <w:rsid w:val="00A466E2"/>
    <w:rsid w:val="00A51B3A"/>
    <w:rsid w:val="00A536E2"/>
    <w:rsid w:val="00A54327"/>
    <w:rsid w:val="00A55124"/>
    <w:rsid w:val="00A56A26"/>
    <w:rsid w:val="00A60105"/>
    <w:rsid w:val="00A633A3"/>
    <w:rsid w:val="00A63B6C"/>
    <w:rsid w:val="00A63B9F"/>
    <w:rsid w:val="00A6406F"/>
    <w:rsid w:val="00A7338C"/>
    <w:rsid w:val="00A7584E"/>
    <w:rsid w:val="00A76103"/>
    <w:rsid w:val="00A76437"/>
    <w:rsid w:val="00A80688"/>
    <w:rsid w:val="00A80E7E"/>
    <w:rsid w:val="00A82249"/>
    <w:rsid w:val="00A92AD4"/>
    <w:rsid w:val="00A95077"/>
    <w:rsid w:val="00A97239"/>
    <w:rsid w:val="00AB08EB"/>
    <w:rsid w:val="00AB09D7"/>
    <w:rsid w:val="00AB3A18"/>
    <w:rsid w:val="00AB55D9"/>
    <w:rsid w:val="00AB6086"/>
    <w:rsid w:val="00AC309C"/>
    <w:rsid w:val="00AC547C"/>
    <w:rsid w:val="00AD11F3"/>
    <w:rsid w:val="00AD4C75"/>
    <w:rsid w:val="00AE411B"/>
    <w:rsid w:val="00AE7FF6"/>
    <w:rsid w:val="00AF582D"/>
    <w:rsid w:val="00AF6F58"/>
    <w:rsid w:val="00B00CDE"/>
    <w:rsid w:val="00B03313"/>
    <w:rsid w:val="00B07C7E"/>
    <w:rsid w:val="00B11A28"/>
    <w:rsid w:val="00B15A7A"/>
    <w:rsid w:val="00B171B7"/>
    <w:rsid w:val="00B17BF1"/>
    <w:rsid w:val="00B246C1"/>
    <w:rsid w:val="00B25E21"/>
    <w:rsid w:val="00B27167"/>
    <w:rsid w:val="00B30319"/>
    <w:rsid w:val="00B3038F"/>
    <w:rsid w:val="00B318E1"/>
    <w:rsid w:val="00B36363"/>
    <w:rsid w:val="00B37BD0"/>
    <w:rsid w:val="00B37DDB"/>
    <w:rsid w:val="00B37FCB"/>
    <w:rsid w:val="00B4011B"/>
    <w:rsid w:val="00B40F71"/>
    <w:rsid w:val="00B559A3"/>
    <w:rsid w:val="00B56182"/>
    <w:rsid w:val="00B61508"/>
    <w:rsid w:val="00B62D69"/>
    <w:rsid w:val="00B63CA9"/>
    <w:rsid w:val="00B71B05"/>
    <w:rsid w:val="00B74A27"/>
    <w:rsid w:val="00B75C00"/>
    <w:rsid w:val="00B80F0F"/>
    <w:rsid w:val="00B82484"/>
    <w:rsid w:val="00B839CA"/>
    <w:rsid w:val="00B8427D"/>
    <w:rsid w:val="00B84A8B"/>
    <w:rsid w:val="00B84D66"/>
    <w:rsid w:val="00B85DA8"/>
    <w:rsid w:val="00B87599"/>
    <w:rsid w:val="00B90BC3"/>
    <w:rsid w:val="00B92A2E"/>
    <w:rsid w:val="00B92CBA"/>
    <w:rsid w:val="00BA0A5F"/>
    <w:rsid w:val="00BA3239"/>
    <w:rsid w:val="00BA59A4"/>
    <w:rsid w:val="00BA73F6"/>
    <w:rsid w:val="00BB5A23"/>
    <w:rsid w:val="00BB612D"/>
    <w:rsid w:val="00BB7D88"/>
    <w:rsid w:val="00BC007F"/>
    <w:rsid w:val="00BC5000"/>
    <w:rsid w:val="00BC7406"/>
    <w:rsid w:val="00BD36B7"/>
    <w:rsid w:val="00BD6970"/>
    <w:rsid w:val="00BE06C2"/>
    <w:rsid w:val="00BE126B"/>
    <w:rsid w:val="00BE4753"/>
    <w:rsid w:val="00BF3A99"/>
    <w:rsid w:val="00BF3E98"/>
    <w:rsid w:val="00BF7BC5"/>
    <w:rsid w:val="00C006BC"/>
    <w:rsid w:val="00C02F5D"/>
    <w:rsid w:val="00C0308C"/>
    <w:rsid w:val="00C04DF9"/>
    <w:rsid w:val="00C07EDD"/>
    <w:rsid w:val="00C11C7A"/>
    <w:rsid w:val="00C12458"/>
    <w:rsid w:val="00C12ECD"/>
    <w:rsid w:val="00C1348B"/>
    <w:rsid w:val="00C13608"/>
    <w:rsid w:val="00C14CD4"/>
    <w:rsid w:val="00C16852"/>
    <w:rsid w:val="00C175B7"/>
    <w:rsid w:val="00C21A9D"/>
    <w:rsid w:val="00C25D36"/>
    <w:rsid w:val="00C27E67"/>
    <w:rsid w:val="00C30B8F"/>
    <w:rsid w:val="00C30BC5"/>
    <w:rsid w:val="00C320A4"/>
    <w:rsid w:val="00C3248F"/>
    <w:rsid w:val="00C35433"/>
    <w:rsid w:val="00C35C11"/>
    <w:rsid w:val="00C410B6"/>
    <w:rsid w:val="00C4371C"/>
    <w:rsid w:val="00C43E31"/>
    <w:rsid w:val="00C46079"/>
    <w:rsid w:val="00C54929"/>
    <w:rsid w:val="00C55F7C"/>
    <w:rsid w:val="00C56458"/>
    <w:rsid w:val="00C56476"/>
    <w:rsid w:val="00C5765E"/>
    <w:rsid w:val="00C630C4"/>
    <w:rsid w:val="00C64189"/>
    <w:rsid w:val="00C655B3"/>
    <w:rsid w:val="00C658DD"/>
    <w:rsid w:val="00C67B55"/>
    <w:rsid w:val="00C76C8F"/>
    <w:rsid w:val="00C80B7A"/>
    <w:rsid w:val="00C91D57"/>
    <w:rsid w:val="00C9227E"/>
    <w:rsid w:val="00C93B5A"/>
    <w:rsid w:val="00C960F5"/>
    <w:rsid w:val="00CA13BB"/>
    <w:rsid w:val="00CA432D"/>
    <w:rsid w:val="00CA4A59"/>
    <w:rsid w:val="00CA6204"/>
    <w:rsid w:val="00CA6B5A"/>
    <w:rsid w:val="00CA774D"/>
    <w:rsid w:val="00CB1219"/>
    <w:rsid w:val="00CB63E1"/>
    <w:rsid w:val="00CC2545"/>
    <w:rsid w:val="00CC517C"/>
    <w:rsid w:val="00CD03F9"/>
    <w:rsid w:val="00CD2003"/>
    <w:rsid w:val="00CD284B"/>
    <w:rsid w:val="00CD327A"/>
    <w:rsid w:val="00CD38B2"/>
    <w:rsid w:val="00CD3B73"/>
    <w:rsid w:val="00CD70C9"/>
    <w:rsid w:val="00CE130A"/>
    <w:rsid w:val="00CE14C6"/>
    <w:rsid w:val="00CE248F"/>
    <w:rsid w:val="00CE31D1"/>
    <w:rsid w:val="00CE3A25"/>
    <w:rsid w:val="00CE3BE3"/>
    <w:rsid w:val="00CE4206"/>
    <w:rsid w:val="00CE4F4E"/>
    <w:rsid w:val="00CF028A"/>
    <w:rsid w:val="00D004CF"/>
    <w:rsid w:val="00D03B44"/>
    <w:rsid w:val="00D0461B"/>
    <w:rsid w:val="00D07246"/>
    <w:rsid w:val="00D07756"/>
    <w:rsid w:val="00D129E9"/>
    <w:rsid w:val="00D12B9A"/>
    <w:rsid w:val="00D12F6D"/>
    <w:rsid w:val="00D138C1"/>
    <w:rsid w:val="00D16EE3"/>
    <w:rsid w:val="00D178FC"/>
    <w:rsid w:val="00D20834"/>
    <w:rsid w:val="00D21866"/>
    <w:rsid w:val="00D27624"/>
    <w:rsid w:val="00D305D4"/>
    <w:rsid w:val="00D310AF"/>
    <w:rsid w:val="00D32A69"/>
    <w:rsid w:val="00D337A4"/>
    <w:rsid w:val="00D33DF4"/>
    <w:rsid w:val="00D35760"/>
    <w:rsid w:val="00D3704D"/>
    <w:rsid w:val="00D42D8F"/>
    <w:rsid w:val="00D4303F"/>
    <w:rsid w:val="00D4388E"/>
    <w:rsid w:val="00D50C4D"/>
    <w:rsid w:val="00D53A17"/>
    <w:rsid w:val="00D54D6C"/>
    <w:rsid w:val="00D63750"/>
    <w:rsid w:val="00D66C56"/>
    <w:rsid w:val="00D67798"/>
    <w:rsid w:val="00D75688"/>
    <w:rsid w:val="00D761F4"/>
    <w:rsid w:val="00D81E9B"/>
    <w:rsid w:val="00D934AE"/>
    <w:rsid w:val="00D95CC8"/>
    <w:rsid w:val="00D972AD"/>
    <w:rsid w:val="00DA13A6"/>
    <w:rsid w:val="00DA22C6"/>
    <w:rsid w:val="00DA2A28"/>
    <w:rsid w:val="00DA2DE9"/>
    <w:rsid w:val="00DA3316"/>
    <w:rsid w:val="00DA47F3"/>
    <w:rsid w:val="00DA4D9C"/>
    <w:rsid w:val="00DA54AC"/>
    <w:rsid w:val="00DA5DC6"/>
    <w:rsid w:val="00DB02AC"/>
    <w:rsid w:val="00DB0B87"/>
    <w:rsid w:val="00DB6227"/>
    <w:rsid w:val="00DC0476"/>
    <w:rsid w:val="00DC3E35"/>
    <w:rsid w:val="00DC3FC5"/>
    <w:rsid w:val="00DD3503"/>
    <w:rsid w:val="00DD4179"/>
    <w:rsid w:val="00DD4442"/>
    <w:rsid w:val="00DD553E"/>
    <w:rsid w:val="00DE1483"/>
    <w:rsid w:val="00DE2963"/>
    <w:rsid w:val="00DE3A82"/>
    <w:rsid w:val="00DE56A1"/>
    <w:rsid w:val="00DE5CA8"/>
    <w:rsid w:val="00DF5070"/>
    <w:rsid w:val="00DF79E4"/>
    <w:rsid w:val="00E03067"/>
    <w:rsid w:val="00E058BC"/>
    <w:rsid w:val="00E05B14"/>
    <w:rsid w:val="00E102FD"/>
    <w:rsid w:val="00E10F87"/>
    <w:rsid w:val="00E13CD5"/>
    <w:rsid w:val="00E142F5"/>
    <w:rsid w:val="00E173B8"/>
    <w:rsid w:val="00E20C09"/>
    <w:rsid w:val="00E2277E"/>
    <w:rsid w:val="00E23296"/>
    <w:rsid w:val="00E23986"/>
    <w:rsid w:val="00E23AE5"/>
    <w:rsid w:val="00E24C18"/>
    <w:rsid w:val="00E30D95"/>
    <w:rsid w:val="00E342E1"/>
    <w:rsid w:val="00E3575E"/>
    <w:rsid w:val="00E41DBA"/>
    <w:rsid w:val="00E425C7"/>
    <w:rsid w:val="00E43E0A"/>
    <w:rsid w:val="00E4408B"/>
    <w:rsid w:val="00E46C41"/>
    <w:rsid w:val="00E47C8F"/>
    <w:rsid w:val="00E50CD4"/>
    <w:rsid w:val="00E53B03"/>
    <w:rsid w:val="00E542BE"/>
    <w:rsid w:val="00E54CCD"/>
    <w:rsid w:val="00E5710C"/>
    <w:rsid w:val="00E61B30"/>
    <w:rsid w:val="00E62CC4"/>
    <w:rsid w:val="00E63CB3"/>
    <w:rsid w:val="00E641B9"/>
    <w:rsid w:val="00E67912"/>
    <w:rsid w:val="00E67E4D"/>
    <w:rsid w:val="00E71453"/>
    <w:rsid w:val="00E719FB"/>
    <w:rsid w:val="00E71F7B"/>
    <w:rsid w:val="00E73989"/>
    <w:rsid w:val="00E80235"/>
    <w:rsid w:val="00E80286"/>
    <w:rsid w:val="00E82F6C"/>
    <w:rsid w:val="00E83088"/>
    <w:rsid w:val="00E83A63"/>
    <w:rsid w:val="00E8405A"/>
    <w:rsid w:val="00E86C80"/>
    <w:rsid w:val="00E87A6D"/>
    <w:rsid w:val="00E91DC8"/>
    <w:rsid w:val="00E9259D"/>
    <w:rsid w:val="00E92E02"/>
    <w:rsid w:val="00EA4ABC"/>
    <w:rsid w:val="00EA4FA7"/>
    <w:rsid w:val="00EB062A"/>
    <w:rsid w:val="00EB2036"/>
    <w:rsid w:val="00EB257B"/>
    <w:rsid w:val="00EB2F5C"/>
    <w:rsid w:val="00EB3294"/>
    <w:rsid w:val="00EB3937"/>
    <w:rsid w:val="00EB7E09"/>
    <w:rsid w:val="00EC1D56"/>
    <w:rsid w:val="00EC4BAE"/>
    <w:rsid w:val="00ED367C"/>
    <w:rsid w:val="00ED4DC5"/>
    <w:rsid w:val="00EE0887"/>
    <w:rsid w:val="00EE0998"/>
    <w:rsid w:val="00EE10B1"/>
    <w:rsid w:val="00EE62D5"/>
    <w:rsid w:val="00EE64C5"/>
    <w:rsid w:val="00EF1118"/>
    <w:rsid w:val="00EF2B7F"/>
    <w:rsid w:val="00EF3B7D"/>
    <w:rsid w:val="00F019FE"/>
    <w:rsid w:val="00F01A7F"/>
    <w:rsid w:val="00F02620"/>
    <w:rsid w:val="00F02A41"/>
    <w:rsid w:val="00F04F34"/>
    <w:rsid w:val="00F067CC"/>
    <w:rsid w:val="00F079BE"/>
    <w:rsid w:val="00F10609"/>
    <w:rsid w:val="00F10E78"/>
    <w:rsid w:val="00F12DED"/>
    <w:rsid w:val="00F158FB"/>
    <w:rsid w:val="00F20259"/>
    <w:rsid w:val="00F211AD"/>
    <w:rsid w:val="00F22C6B"/>
    <w:rsid w:val="00F22E84"/>
    <w:rsid w:val="00F24DC5"/>
    <w:rsid w:val="00F31223"/>
    <w:rsid w:val="00F319A0"/>
    <w:rsid w:val="00F32670"/>
    <w:rsid w:val="00F331F0"/>
    <w:rsid w:val="00F33846"/>
    <w:rsid w:val="00F356D8"/>
    <w:rsid w:val="00F3657A"/>
    <w:rsid w:val="00F402C8"/>
    <w:rsid w:val="00F40A91"/>
    <w:rsid w:val="00F46F77"/>
    <w:rsid w:val="00F4751C"/>
    <w:rsid w:val="00F545B6"/>
    <w:rsid w:val="00F575CB"/>
    <w:rsid w:val="00F60CD7"/>
    <w:rsid w:val="00F60D1C"/>
    <w:rsid w:val="00F60FAC"/>
    <w:rsid w:val="00F63BB6"/>
    <w:rsid w:val="00F663C8"/>
    <w:rsid w:val="00F67693"/>
    <w:rsid w:val="00F67CFA"/>
    <w:rsid w:val="00F702FA"/>
    <w:rsid w:val="00F71368"/>
    <w:rsid w:val="00F717AC"/>
    <w:rsid w:val="00F772B4"/>
    <w:rsid w:val="00F77534"/>
    <w:rsid w:val="00F8024B"/>
    <w:rsid w:val="00F849BC"/>
    <w:rsid w:val="00F86E51"/>
    <w:rsid w:val="00F8703D"/>
    <w:rsid w:val="00F907DF"/>
    <w:rsid w:val="00F909C4"/>
    <w:rsid w:val="00F91AFD"/>
    <w:rsid w:val="00F9367C"/>
    <w:rsid w:val="00F94B1D"/>
    <w:rsid w:val="00FA2EB5"/>
    <w:rsid w:val="00FA44E7"/>
    <w:rsid w:val="00FB159A"/>
    <w:rsid w:val="00FB20BD"/>
    <w:rsid w:val="00FB40A9"/>
    <w:rsid w:val="00FB739E"/>
    <w:rsid w:val="00FC395B"/>
    <w:rsid w:val="00FC4BB0"/>
    <w:rsid w:val="00FC4CB6"/>
    <w:rsid w:val="00FC54A5"/>
    <w:rsid w:val="00FD249F"/>
    <w:rsid w:val="00FD3D35"/>
    <w:rsid w:val="00FD681A"/>
    <w:rsid w:val="00FD7484"/>
    <w:rsid w:val="00FE1F86"/>
    <w:rsid w:val="00FE26DA"/>
    <w:rsid w:val="00FE2AE9"/>
    <w:rsid w:val="00FE669E"/>
    <w:rsid w:val="00FE7F3C"/>
    <w:rsid w:val="00FF11B5"/>
    <w:rsid w:val="00FF25ED"/>
    <w:rsid w:val="00FF6716"/>
    <w:rsid w:val="18030F05"/>
    <w:rsid w:val="46F752C5"/>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0"/>
      <w:lang w:val="en-US" w:eastAsia="zh-CN" w:bidi="ar-SA"/>
    </w:rPr>
  </w:style>
  <w:style w:type="character" w:default="1" w:styleId="9">
    <w:name w:val="Default Paragraph Font"/>
    <w:semiHidden/>
    <w:unhideWhenUsed/>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link w:val="15"/>
    <w:semiHidden/>
    <w:unhideWhenUsed/>
    <w:qFormat/>
    <w:uiPriority w:val="99"/>
    <w:pPr>
      <w:jc w:val="left"/>
    </w:pPr>
  </w:style>
  <w:style w:type="paragraph" w:styleId="3">
    <w:name w:val="Balloon Text"/>
    <w:basedOn w:val="1"/>
    <w:link w:val="17"/>
    <w:semiHidden/>
    <w:unhideWhenUsed/>
    <w:uiPriority w:val="99"/>
    <w:rPr>
      <w:sz w:val="18"/>
      <w:szCs w:val="18"/>
    </w:rPr>
  </w:style>
  <w:style w:type="paragraph" w:styleId="4">
    <w:name w:val="footer"/>
    <w:basedOn w:val="1"/>
    <w:link w:val="13"/>
    <w:unhideWhenUsed/>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5">
    <w:name w:val="header"/>
    <w:basedOn w:val="1"/>
    <w:link w:val="12"/>
    <w:unhideWhenUsed/>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paragraph" w:styleId="6">
    <w:name w:val="Normal (Web)"/>
    <w:basedOn w:val="1"/>
    <w:unhideWhenUsed/>
    <w:qFormat/>
    <w:uiPriority w:val="99"/>
    <w:pPr>
      <w:widowControl/>
      <w:spacing w:before="100" w:beforeAutospacing="1" w:after="100" w:afterAutospacing="1"/>
      <w:jc w:val="left"/>
    </w:pPr>
    <w:rPr>
      <w:rFonts w:ascii="宋体" w:hAnsi="宋体" w:cs="宋体"/>
      <w:kern w:val="0"/>
      <w:sz w:val="24"/>
      <w:szCs w:val="24"/>
    </w:rPr>
  </w:style>
  <w:style w:type="paragraph" w:styleId="7">
    <w:name w:val="annotation subject"/>
    <w:basedOn w:val="2"/>
    <w:next w:val="2"/>
    <w:link w:val="16"/>
    <w:semiHidden/>
    <w:unhideWhenUsed/>
    <w:qFormat/>
    <w:uiPriority w:val="99"/>
    <w:rPr>
      <w:b/>
      <w:bCs/>
    </w:rPr>
  </w:style>
  <w:style w:type="character" w:styleId="10">
    <w:name w:val="Emphasis"/>
    <w:basedOn w:val="9"/>
    <w:qFormat/>
    <w:uiPriority w:val="20"/>
    <w:rPr>
      <w:i/>
      <w:iCs/>
    </w:rPr>
  </w:style>
  <w:style w:type="character" w:styleId="11">
    <w:name w:val="annotation reference"/>
    <w:basedOn w:val="9"/>
    <w:semiHidden/>
    <w:unhideWhenUsed/>
    <w:qFormat/>
    <w:uiPriority w:val="99"/>
    <w:rPr>
      <w:sz w:val="21"/>
      <w:szCs w:val="21"/>
    </w:rPr>
  </w:style>
  <w:style w:type="character" w:customStyle="1" w:styleId="12">
    <w:name w:val="页眉 字符"/>
    <w:basedOn w:val="9"/>
    <w:link w:val="5"/>
    <w:qFormat/>
    <w:uiPriority w:val="99"/>
    <w:rPr>
      <w:sz w:val="18"/>
      <w:szCs w:val="18"/>
    </w:rPr>
  </w:style>
  <w:style w:type="character" w:customStyle="1" w:styleId="13">
    <w:name w:val="页脚 字符"/>
    <w:basedOn w:val="9"/>
    <w:link w:val="4"/>
    <w:qFormat/>
    <w:uiPriority w:val="99"/>
    <w:rPr>
      <w:sz w:val="18"/>
      <w:szCs w:val="18"/>
    </w:rPr>
  </w:style>
  <w:style w:type="paragraph" w:customStyle="1" w:styleId="14">
    <w:name w:val="Default"/>
    <w:qFormat/>
    <w:uiPriority w:val="0"/>
    <w:pPr>
      <w:widowControl w:val="0"/>
      <w:autoSpaceDE w:val="0"/>
      <w:autoSpaceDN w:val="0"/>
      <w:adjustRightInd w:val="0"/>
    </w:pPr>
    <w:rPr>
      <w:rFonts w:ascii="宋体" w:eastAsia="宋体" w:cs="宋体" w:hAnsiTheme="minorHAnsi"/>
      <w:color w:val="000000"/>
      <w:kern w:val="0"/>
      <w:sz w:val="24"/>
      <w:szCs w:val="24"/>
      <w:lang w:val="en-US" w:eastAsia="zh-CN" w:bidi="ar-SA"/>
    </w:rPr>
  </w:style>
  <w:style w:type="character" w:customStyle="1" w:styleId="15">
    <w:name w:val="批注文字 字符"/>
    <w:basedOn w:val="9"/>
    <w:link w:val="2"/>
    <w:semiHidden/>
    <w:qFormat/>
    <w:uiPriority w:val="99"/>
    <w:rPr>
      <w:rFonts w:ascii="Times New Roman" w:hAnsi="Times New Roman" w:eastAsia="宋体" w:cs="Times New Roman"/>
      <w:szCs w:val="20"/>
    </w:rPr>
  </w:style>
  <w:style w:type="character" w:customStyle="1" w:styleId="16">
    <w:name w:val="批注主题 字符"/>
    <w:basedOn w:val="15"/>
    <w:link w:val="7"/>
    <w:semiHidden/>
    <w:qFormat/>
    <w:uiPriority w:val="99"/>
    <w:rPr>
      <w:rFonts w:ascii="Times New Roman" w:hAnsi="Times New Roman" w:eastAsia="宋体" w:cs="Times New Roman"/>
      <w:b/>
      <w:bCs/>
      <w:szCs w:val="20"/>
    </w:rPr>
  </w:style>
  <w:style w:type="character" w:customStyle="1" w:styleId="17">
    <w:name w:val="批注框文本 字符"/>
    <w:basedOn w:val="9"/>
    <w:link w:val="3"/>
    <w:semiHidden/>
    <w:uiPriority w:val="99"/>
    <w:rPr>
      <w:rFonts w:ascii="Times New Roman" w:hAnsi="Times New Roman" w:eastAsia="宋体" w:cs="Times New Roman"/>
      <w:sz w:val="18"/>
      <w:szCs w:val="18"/>
    </w:rPr>
  </w:style>
  <w:style w:type="character" w:customStyle="1" w:styleId="18">
    <w:name w:val="hrefstyle"/>
    <w:basedOn w:val="9"/>
    <w:uiPriority w:val="0"/>
  </w:style>
  <w:style w:type="paragraph" w:styleId="19">
    <w:name w:val="List Paragraph"/>
    <w:basedOn w:val="1"/>
    <w:qFormat/>
    <w:uiPriority w:val="34"/>
    <w:pPr>
      <w:ind w:firstLine="420" w:firstLineChars="200"/>
    </w:pPr>
    <w:rPr>
      <w:rFonts w:asciiTheme="minorHAnsi" w:hAnsiTheme="minorHAnsi" w:eastAsiaTheme="minorEastAsia" w:cstheme="minorBidi"/>
      <w:szCs w:val="22"/>
    </w:rPr>
  </w:style>
  <w:style w:type="paragraph" w:customStyle="1" w:styleId="20">
    <w:name w:val="Revision"/>
    <w:hidden/>
    <w:semiHidden/>
    <w:qFormat/>
    <w:uiPriority w:val="99"/>
    <w:rPr>
      <w:rFonts w:ascii="Times New Roman" w:hAnsi="Times New Roman" w:eastAsia="宋体" w:cs="Times New Roman"/>
      <w:kern w:val="2"/>
      <w:sz w:val="21"/>
      <w:szCs w:val="20"/>
      <w:lang w:val="en-US" w:eastAsia="zh-CN" w:bidi="ar-SA"/>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8</Pages>
  <Words>414</Words>
  <Characters>2364</Characters>
  <Lines>1</Lines>
  <Paragraphs>1</Paragraphs>
  <TotalTime>83</TotalTime>
  <ScaleCrop>false</ScaleCrop>
  <LinksUpToDate>false</LinksUpToDate>
  <CharactersWithSpaces>2773</CharactersWithSpaces>
  <Application>WPS Office_12.1.0.26899_F1E327BC-269C-435d-A152-05C5408002CA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2024-09-09T07:02:00Z</dcterms:created>
  <dc:creator>yuanyuzhu</dc:creator>
  <cp:lastModifiedBy>Administrator</cp:lastModifiedBy>
  <dcterms:modified xsi:type="dcterms:W3CDTF">2026-09-03T08:07:15Z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2052-12.1.0.26899</vt:lpwstr>
  </property>
  <property fmtid="{D5CDD505-2E9C-101B-9397-08002B2CF9AE}" pid="3" name="ICV">
    <vt:lpwstr>6479848E078C4ED9BB81E83FDCF29560_12</vt:lpwstr>
  </property>
</Properties>
</file>