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3896" w:rsidRDefault="00AF28A3">
      <w:pPr>
        <w:ind w:firstLineChars="100" w:firstLine="241"/>
        <w:rPr>
          <w:rFonts w:ascii="Times New Roman" w:hAnsi="Times New Roman"/>
          <w:b/>
          <w:kern w:val="0"/>
          <w:sz w:val="30"/>
          <w:szCs w:val="30"/>
          <w:lang w:val="zh-CN" w:bidi="zh-CN"/>
        </w:rPr>
      </w:pPr>
      <w:r>
        <w:rPr>
          <w:rFonts w:ascii="Times New Roman" w:hAnsi="Times New Roman"/>
          <w:b/>
          <w:kern w:val="0"/>
          <w:sz w:val="24"/>
          <w:szCs w:val="24"/>
          <w:lang w:val="zh-CN" w:bidi="zh-CN"/>
        </w:rPr>
        <w:t>证券代码：</w:t>
      </w:r>
      <w:r>
        <w:rPr>
          <w:rFonts w:ascii="Times New Roman" w:hAnsi="Times New Roman"/>
          <w:b/>
          <w:kern w:val="0"/>
          <w:sz w:val="24"/>
          <w:szCs w:val="24"/>
          <w:lang w:val="zh-CN" w:bidi="zh-CN"/>
        </w:rPr>
        <w:t>688</w:t>
      </w:r>
      <w:r>
        <w:rPr>
          <w:rFonts w:ascii="Times New Roman" w:hAnsi="Times New Roman" w:hint="eastAsia"/>
          <w:b/>
          <w:kern w:val="0"/>
          <w:sz w:val="24"/>
          <w:szCs w:val="24"/>
          <w:lang w:bidi="zh-CN"/>
        </w:rPr>
        <w:t>120</w:t>
      </w:r>
      <w:r>
        <w:rPr>
          <w:rFonts w:ascii="Times New Roman" w:hAnsi="Times New Roman"/>
          <w:b/>
          <w:kern w:val="0"/>
          <w:sz w:val="24"/>
          <w:szCs w:val="24"/>
          <w:lang w:val="zh-CN" w:bidi="zh-CN"/>
        </w:rPr>
        <w:tab/>
      </w:r>
      <w:r>
        <w:rPr>
          <w:rFonts w:ascii="Times New Roman" w:hAnsi="Times New Roman"/>
          <w:b/>
          <w:kern w:val="0"/>
          <w:sz w:val="24"/>
          <w:szCs w:val="24"/>
          <w:lang w:val="zh-CN" w:bidi="zh-CN"/>
        </w:rPr>
        <w:tab/>
      </w:r>
      <w:r>
        <w:rPr>
          <w:rFonts w:ascii="Times New Roman" w:hAnsi="Times New Roman"/>
          <w:b/>
          <w:kern w:val="0"/>
          <w:sz w:val="24"/>
          <w:szCs w:val="24"/>
          <w:lang w:val="zh-CN" w:bidi="zh-CN"/>
        </w:rPr>
        <w:tab/>
      </w:r>
      <w:r>
        <w:rPr>
          <w:rFonts w:ascii="Times New Roman" w:hAnsi="Times New Roman"/>
          <w:b/>
          <w:kern w:val="0"/>
          <w:sz w:val="24"/>
          <w:szCs w:val="24"/>
          <w:lang w:val="zh-CN" w:bidi="zh-CN"/>
        </w:rPr>
        <w:tab/>
      </w:r>
      <w:r>
        <w:rPr>
          <w:rFonts w:ascii="Times New Roman" w:hAnsi="Times New Roman"/>
          <w:b/>
          <w:kern w:val="0"/>
          <w:sz w:val="24"/>
          <w:szCs w:val="24"/>
          <w:lang w:val="zh-CN" w:bidi="zh-CN"/>
        </w:rPr>
        <w:tab/>
      </w:r>
      <w:r>
        <w:rPr>
          <w:rFonts w:ascii="Times New Roman" w:hAnsi="Times New Roman"/>
          <w:b/>
          <w:kern w:val="0"/>
          <w:sz w:val="24"/>
          <w:szCs w:val="24"/>
          <w:lang w:val="zh-CN" w:bidi="zh-CN"/>
        </w:rPr>
        <w:tab/>
      </w:r>
      <w:r>
        <w:rPr>
          <w:rFonts w:ascii="Times New Roman" w:hAnsi="Times New Roman"/>
          <w:b/>
          <w:kern w:val="0"/>
          <w:sz w:val="24"/>
          <w:szCs w:val="24"/>
          <w:lang w:val="zh-CN" w:bidi="zh-CN"/>
        </w:rPr>
        <w:tab/>
      </w:r>
      <w:r>
        <w:rPr>
          <w:rFonts w:ascii="Times New Roman" w:hAnsi="Times New Roman"/>
          <w:b/>
          <w:kern w:val="0"/>
          <w:sz w:val="24"/>
          <w:szCs w:val="24"/>
          <w:lang w:val="zh-CN" w:bidi="zh-CN"/>
        </w:rPr>
        <w:tab/>
      </w:r>
      <w:r>
        <w:rPr>
          <w:rFonts w:ascii="Times New Roman" w:hAnsi="Times New Roman"/>
          <w:b/>
          <w:kern w:val="0"/>
          <w:sz w:val="24"/>
          <w:szCs w:val="24"/>
          <w:lang w:val="zh-CN" w:bidi="zh-CN"/>
        </w:rPr>
        <w:tab/>
      </w:r>
      <w:r>
        <w:rPr>
          <w:rFonts w:ascii="Times New Roman" w:hAnsi="Times New Roman"/>
          <w:b/>
          <w:kern w:val="0"/>
          <w:sz w:val="24"/>
          <w:szCs w:val="24"/>
          <w:lang w:val="zh-CN" w:bidi="zh-CN"/>
        </w:rPr>
        <w:tab/>
      </w:r>
      <w:r>
        <w:rPr>
          <w:rFonts w:ascii="Times New Roman" w:hAnsi="Times New Roman" w:hint="eastAsia"/>
          <w:b/>
          <w:kern w:val="0"/>
          <w:sz w:val="24"/>
          <w:szCs w:val="24"/>
          <w:lang w:bidi="zh-CN"/>
        </w:rPr>
        <w:t xml:space="preserve">                   </w:t>
      </w:r>
      <w:r>
        <w:rPr>
          <w:rFonts w:ascii="Times New Roman" w:hAnsi="Times New Roman"/>
          <w:b/>
          <w:kern w:val="0"/>
          <w:sz w:val="24"/>
          <w:szCs w:val="24"/>
          <w:lang w:val="zh-CN" w:bidi="zh-CN"/>
        </w:rPr>
        <w:t>证券简称：</w:t>
      </w:r>
      <w:r>
        <w:rPr>
          <w:rFonts w:ascii="Times New Roman" w:hAnsi="Times New Roman" w:hint="eastAsia"/>
          <w:b/>
          <w:kern w:val="0"/>
          <w:sz w:val="24"/>
          <w:szCs w:val="24"/>
          <w:lang w:bidi="zh-CN"/>
        </w:rPr>
        <w:t>华海清科</w:t>
      </w:r>
    </w:p>
    <w:p w:rsidR="00093896" w:rsidRDefault="00AF28A3">
      <w:pPr>
        <w:spacing w:beforeLines="100" w:before="312" w:afterLines="50" w:after="156" w:line="360" w:lineRule="auto"/>
        <w:ind w:firstLineChars="200" w:firstLine="602"/>
        <w:jc w:val="center"/>
        <w:rPr>
          <w:rFonts w:ascii="Times New Roman" w:hAnsi="Times New Roman"/>
          <w:b/>
          <w:kern w:val="0"/>
          <w:sz w:val="30"/>
          <w:szCs w:val="30"/>
          <w:lang w:val="zh-CN" w:bidi="zh-CN"/>
        </w:rPr>
      </w:pPr>
      <w:r>
        <w:rPr>
          <w:rFonts w:ascii="Times New Roman" w:hAnsi="Times New Roman" w:hint="eastAsia"/>
          <w:b/>
          <w:kern w:val="0"/>
          <w:sz w:val="30"/>
          <w:szCs w:val="30"/>
          <w:lang w:bidi="zh-CN"/>
        </w:rPr>
        <w:t>华海清科</w:t>
      </w:r>
      <w:r>
        <w:rPr>
          <w:rFonts w:ascii="Times New Roman" w:hAnsi="Times New Roman"/>
          <w:b/>
          <w:kern w:val="0"/>
          <w:sz w:val="30"/>
          <w:szCs w:val="30"/>
          <w:lang w:val="zh-CN" w:bidi="zh-CN"/>
        </w:rPr>
        <w:t>股份有限公司投资者关系活动记录表</w:t>
      </w:r>
    </w:p>
    <w:p w:rsidR="00093896" w:rsidRDefault="00AF28A3">
      <w:pPr>
        <w:spacing w:beforeLines="100" w:before="312" w:afterLines="50" w:after="156" w:line="360" w:lineRule="auto"/>
        <w:ind w:firstLineChars="200" w:firstLine="480"/>
        <w:jc w:val="right"/>
        <w:rPr>
          <w:rFonts w:ascii="Times New Roman" w:hAnsi="Times New Roman"/>
          <w:bCs/>
          <w:kern w:val="0"/>
          <w:sz w:val="24"/>
          <w:szCs w:val="24"/>
          <w:lang w:bidi="zh-CN"/>
        </w:rPr>
      </w:pPr>
      <w:r>
        <w:rPr>
          <w:rFonts w:ascii="Times New Roman" w:hAnsi="Times New Roman" w:hint="eastAsia"/>
          <w:bCs/>
          <w:kern w:val="0"/>
          <w:sz w:val="24"/>
          <w:szCs w:val="24"/>
          <w:lang w:val="zh-CN" w:bidi="zh-CN"/>
        </w:rPr>
        <w:t>编号：</w:t>
      </w:r>
      <w:r>
        <w:rPr>
          <w:rFonts w:ascii="Times New Roman" w:hAnsi="Times New Roman" w:hint="eastAsia"/>
          <w:bCs/>
          <w:kern w:val="0"/>
          <w:sz w:val="24"/>
          <w:szCs w:val="24"/>
          <w:lang w:val="zh-CN" w:bidi="zh-CN"/>
        </w:rPr>
        <w:t>202</w:t>
      </w:r>
      <w:r w:rsidR="00EF384B">
        <w:rPr>
          <w:rFonts w:ascii="Times New Roman" w:hAnsi="Times New Roman"/>
          <w:bCs/>
          <w:kern w:val="0"/>
          <w:sz w:val="24"/>
          <w:szCs w:val="24"/>
          <w:lang w:val="zh-CN" w:bidi="zh-CN"/>
        </w:rPr>
        <w:t>6</w:t>
      </w:r>
      <w:r>
        <w:rPr>
          <w:rFonts w:ascii="Times New Roman" w:hAnsi="Times New Roman" w:hint="eastAsia"/>
          <w:bCs/>
          <w:kern w:val="0"/>
          <w:sz w:val="24"/>
          <w:szCs w:val="24"/>
          <w:lang w:val="zh-CN" w:bidi="zh-CN"/>
        </w:rPr>
        <w:t>-0</w:t>
      </w:r>
      <w:r w:rsidR="00DD37E4">
        <w:rPr>
          <w:rFonts w:ascii="Times New Roman" w:hAnsi="Times New Roman"/>
          <w:bCs/>
          <w:kern w:val="0"/>
          <w:sz w:val="24"/>
          <w:szCs w:val="24"/>
          <w:lang w:val="zh-CN" w:bidi="zh-CN"/>
        </w:rPr>
        <w:t>2</w:t>
      </w:r>
    </w:p>
    <w:tbl>
      <w:tblPr>
        <w:tblW w:w="8276" w:type="dxa"/>
        <w:tblInd w:w="170" w:type="dxa"/>
        <w:tblBorders>
          <w:top w:val="single" w:sz="12" w:space="0" w:color="000000"/>
          <w:left w:val="single" w:sz="12" w:space="0" w:color="000000"/>
          <w:bottom w:val="single" w:sz="12" w:space="0" w:color="000000"/>
          <w:right w:val="single" w:sz="12" w:space="0" w:color="000000"/>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589"/>
        <w:gridCol w:w="6687"/>
      </w:tblGrid>
      <w:tr w:rsidR="00093896">
        <w:trPr>
          <w:trHeight w:val="1396"/>
        </w:trPr>
        <w:tc>
          <w:tcPr>
            <w:tcW w:w="1589" w:type="dxa"/>
            <w:vAlign w:val="center"/>
          </w:tcPr>
          <w:p w:rsidR="00093896" w:rsidRDefault="00AF28A3">
            <w:pPr>
              <w:pStyle w:val="TableParagraph"/>
              <w:jc w:val="center"/>
              <w:rPr>
                <w:sz w:val="24"/>
                <w:szCs w:val="24"/>
                <w:lang w:eastAsia="en-US"/>
              </w:rPr>
            </w:pPr>
            <w:r>
              <w:rPr>
                <w:rFonts w:hint="eastAsia"/>
                <w:b/>
                <w:sz w:val="24"/>
                <w:szCs w:val="24"/>
                <w:lang w:eastAsia="en-US"/>
              </w:rPr>
              <w:t>投资者关系活动类别</w:t>
            </w:r>
          </w:p>
        </w:tc>
        <w:tc>
          <w:tcPr>
            <w:tcW w:w="6687" w:type="dxa"/>
            <w:vAlign w:val="center"/>
          </w:tcPr>
          <w:p w:rsidR="00093896" w:rsidRDefault="00AF28A3">
            <w:pPr>
              <w:pStyle w:val="TableParagraph"/>
              <w:autoSpaceDE/>
              <w:autoSpaceDN/>
              <w:ind w:leftChars="50" w:left="105" w:rightChars="50" w:right="105"/>
              <w:jc w:val="both"/>
              <w:rPr>
                <w:sz w:val="24"/>
                <w:szCs w:val="24"/>
                <w:lang w:val="en-US"/>
              </w:rPr>
            </w:pPr>
            <w:r>
              <w:rPr>
                <w:rFonts w:hint="eastAsia"/>
                <w:bCs/>
                <w:iCs/>
                <w:color w:val="000000"/>
                <w:sz w:val="24"/>
                <w:szCs w:val="24"/>
              </w:rPr>
              <w:sym w:font="Wingdings 2" w:char="00A3"/>
            </w:r>
            <w:r>
              <w:rPr>
                <w:bCs/>
                <w:iCs/>
                <w:color w:val="000000"/>
                <w:sz w:val="24"/>
                <w:szCs w:val="24"/>
              </w:rPr>
              <w:t xml:space="preserve"> </w:t>
            </w:r>
            <w:r>
              <w:rPr>
                <w:rFonts w:hint="eastAsia"/>
                <w:sz w:val="24"/>
                <w:szCs w:val="24"/>
              </w:rPr>
              <w:t>特定对象调研</w:t>
            </w:r>
            <w:r>
              <w:rPr>
                <w:rFonts w:hint="eastAsia"/>
                <w:sz w:val="24"/>
                <w:szCs w:val="24"/>
                <w:lang w:val="en-US"/>
              </w:rPr>
              <w:t xml:space="preserve">      </w:t>
            </w:r>
            <w:r>
              <w:rPr>
                <w:rFonts w:hint="eastAsia"/>
                <w:bCs/>
                <w:iCs/>
                <w:color w:val="000000"/>
                <w:sz w:val="24"/>
                <w:szCs w:val="24"/>
              </w:rPr>
              <w:sym w:font="Wingdings 2" w:char="00A3"/>
            </w:r>
            <w:r>
              <w:rPr>
                <w:bCs/>
                <w:iCs/>
                <w:color w:val="000000"/>
                <w:sz w:val="24"/>
                <w:szCs w:val="24"/>
              </w:rPr>
              <w:t xml:space="preserve"> </w:t>
            </w:r>
            <w:r>
              <w:rPr>
                <w:rFonts w:hint="eastAsia"/>
                <w:sz w:val="24"/>
                <w:szCs w:val="24"/>
              </w:rPr>
              <w:t>分析师会议</w:t>
            </w:r>
            <w:r>
              <w:rPr>
                <w:rFonts w:hint="eastAsia"/>
                <w:sz w:val="24"/>
                <w:szCs w:val="24"/>
                <w:lang w:val="en-US"/>
              </w:rPr>
              <w:t xml:space="preserve">  </w:t>
            </w:r>
          </w:p>
          <w:p w:rsidR="00093896" w:rsidRDefault="00AF28A3">
            <w:pPr>
              <w:pStyle w:val="TableParagraph"/>
              <w:autoSpaceDE/>
              <w:autoSpaceDN/>
              <w:ind w:leftChars="50" w:left="105" w:rightChars="50" w:right="105"/>
              <w:jc w:val="both"/>
              <w:rPr>
                <w:sz w:val="24"/>
                <w:szCs w:val="24"/>
                <w:lang w:val="en-US"/>
              </w:rPr>
            </w:pPr>
            <w:r>
              <w:rPr>
                <w:rFonts w:hint="eastAsia"/>
                <w:bCs/>
                <w:iCs/>
                <w:color w:val="000000"/>
                <w:sz w:val="24"/>
                <w:szCs w:val="24"/>
              </w:rPr>
              <w:sym w:font="Wingdings 2" w:char="00A3"/>
            </w:r>
            <w:r>
              <w:rPr>
                <w:bCs/>
                <w:iCs/>
                <w:color w:val="000000"/>
                <w:sz w:val="24"/>
                <w:szCs w:val="24"/>
              </w:rPr>
              <w:t xml:space="preserve"> </w:t>
            </w:r>
            <w:r>
              <w:rPr>
                <w:rFonts w:hint="eastAsia"/>
                <w:sz w:val="24"/>
                <w:szCs w:val="24"/>
              </w:rPr>
              <w:t>媒体采访</w:t>
            </w:r>
            <w:r>
              <w:rPr>
                <w:rFonts w:hint="eastAsia"/>
                <w:sz w:val="24"/>
                <w:szCs w:val="24"/>
                <w:lang w:val="en-US"/>
              </w:rPr>
              <w:t xml:space="preserve">          </w:t>
            </w:r>
            <w:r w:rsidR="00EC6E7B">
              <w:rPr>
                <w:rFonts w:hint="eastAsia"/>
                <w:bCs/>
                <w:iCs/>
                <w:color w:val="000000"/>
                <w:sz w:val="24"/>
                <w:szCs w:val="24"/>
              </w:rPr>
              <w:sym w:font="Wingdings 2" w:char="F052"/>
            </w:r>
            <w:r>
              <w:rPr>
                <w:bCs/>
                <w:iCs/>
                <w:color w:val="000000"/>
                <w:sz w:val="24"/>
                <w:szCs w:val="24"/>
              </w:rPr>
              <w:t xml:space="preserve"> </w:t>
            </w:r>
            <w:r>
              <w:rPr>
                <w:rFonts w:hint="eastAsia"/>
                <w:sz w:val="24"/>
                <w:szCs w:val="24"/>
              </w:rPr>
              <w:t>业绩说明会</w:t>
            </w:r>
            <w:r>
              <w:rPr>
                <w:rFonts w:hint="eastAsia"/>
                <w:sz w:val="24"/>
                <w:szCs w:val="24"/>
                <w:lang w:val="en-US"/>
              </w:rPr>
              <w:t xml:space="preserve">   </w:t>
            </w:r>
          </w:p>
          <w:p w:rsidR="00093896" w:rsidRDefault="00AF28A3">
            <w:pPr>
              <w:pStyle w:val="TableParagraph"/>
              <w:autoSpaceDE/>
              <w:autoSpaceDN/>
              <w:ind w:leftChars="50" w:left="105" w:rightChars="50" w:right="105"/>
              <w:jc w:val="both"/>
              <w:rPr>
                <w:sz w:val="24"/>
                <w:szCs w:val="24"/>
              </w:rPr>
            </w:pPr>
            <w:r>
              <w:rPr>
                <w:rFonts w:hint="eastAsia"/>
                <w:bCs/>
                <w:iCs/>
                <w:color w:val="000000"/>
                <w:sz w:val="24"/>
                <w:szCs w:val="24"/>
              </w:rPr>
              <w:sym w:font="Wingdings 2" w:char="00A3"/>
            </w:r>
            <w:r>
              <w:rPr>
                <w:bCs/>
                <w:iCs/>
                <w:color w:val="000000"/>
                <w:sz w:val="24"/>
                <w:szCs w:val="24"/>
              </w:rPr>
              <w:t xml:space="preserve"> </w:t>
            </w:r>
            <w:r>
              <w:rPr>
                <w:rFonts w:hint="eastAsia"/>
                <w:sz w:val="24"/>
                <w:szCs w:val="24"/>
              </w:rPr>
              <w:t>新闻发布会</w:t>
            </w:r>
            <w:r>
              <w:rPr>
                <w:rFonts w:hint="eastAsia"/>
                <w:sz w:val="24"/>
                <w:szCs w:val="24"/>
                <w:lang w:val="en-US"/>
              </w:rPr>
              <w:t xml:space="preserve">        </w:t>
            </w:r>
            <w:r w:rsidR="00EC6E7B">
              <w:rPr>
                <w:rFonts w:hint="eastAsia"/>
                <w:bCs/>
                <w:iCs/>
                <w:color w:val="000000"/>
                <w:sz w:val="24"/>
                <w:szCs w:val="24"/>
              </w:rPr>
              <w:sym w:font="Wingdings 2" w:char="00A3"/>
            </w:r>
            <w:r>
              <w:rPr>
                <w:bCs/>
                <w:iCs/>
                <w:color w:val="000000"/>
                <w:sz w:val="24"/>
                <w:szCs w:val="24"/>
              </w:rPr>
              <w:t xml:space="preserve"> </w:t>
            </w:r>
            <w:r>
              <w:rPr>
                <w:rFonts w:hint="eastAsia"/>
                <w:sz w:val="24"/>
                <w:szCs w:val="24"/>
              </w:rPr>
              <w:t>路演活动</w:t>
            </w:r>
          </w:p>
          <w:p w:rsidR="00093896" w:rsidRDefault="00AF28A3">
            <w:pPr>
              <w:pStyle w:val="TableParagraph"/>
              <w:autoSpaceDE/>
              <w:autoSpaceDN/>
              <w:ind w:left="465" w:rightChars="50" w:right="105" w:hanging="360"/>
              <w:jc w:val="both"/>
              <w:rPr>
                <w:sz w:val="24"/>
                <w:szCs w:val="24"/>
              </w:rPr>
            </w:pPr>
            <w:r>
              <w:rPr>
                <w:rFonts w:ascii="Wingdings 2" w:hAnsi="Wingdings 2"/>
                <w:color w:val="000000"/>
                <w:sz w:val="24"/>
                <w:szCs w:val="24"/>
              </w:rPr>
              <w:sym w:font="Wingdings 2" w:char="00A3"/>
            </w:r>
            <w:r>
              <w:rPr>
                <w:bCs/>
                <w:iCs/>
                <w:color w:val="000000"/>
                <w:sz w:val="24"/>
                <w:szCs w:val="24"/>
              </w:rPr>
              <w:t xml:space="preserve"> </w:t>
            </w:r>
            <w:r>
              <w:rPr>
                <w:rFonts w:hint="eastAsia"/>
                <w:sz w:val="24"/>
                <w:szCs w:val="24"/>
              </w:rPr>
              <w:t>现场参观</w:t>
            </w:r>
            <w:r>
              <w:rPr>
                <w:rFonts w:hint="eastAsia"/>
                <w:sz w:val="24"/>
                <w:szCs w:val="24"/>
                <w:lang w:val="en-US"/>
              </w:rPr>
              <w:t xml:space="preserve">          </w:t>
            </w:r>
            <w:r>
              <w:rPr>
                <w:rFonts w:hint="eastAsia"/>
                <w:bCs/>
                <w:iCs/>
                <w:color w:val="000000"/>
                <w:sz w:val="24"/>
                <w:szCs w:val="24"/>
              </w:rPr>
              <w:sym w:font="Wingdings 2" w:char="00A3"/>
            </w:r>
            <w:r>
              <w:rPr>
                <w:bCs/>
                <w:iCs/>
                <w:color w:val="000000"/>
                <w:sz w:val="24"/>
                <w:szCs w:val="24"/>
              </w:rPr>
              <w:t xml:space="preserve"> </w:t>
            </w:r>
            <w:r>
              <w:rPr>
                <w:rFonts w:hint="eastAsia"/>
                <w:sz w:val="24"/>
                <w:szCs w:val="24"/>
              </w:rPr>
              <w:t>其他</w:t>
            </w:r>
          </w:p>
        </w:tc>
      </w:tr>
      <w:tr w:rsidR="00DD37E4">
        <w:trPr>
          <w:trHeight w:val="439"/>
        </w:trPr>
        <w:tc>
          <w:tcPr>
            <w:tcW w:w="1589" w:type="dxa"/>
            <w:vAlign w:val="center"/>
          </w:tcPr>
          <w:p w:rsidR="00DD37E4" w:rsidRDefault="00DD37E4" w:rsidP="00DD37E4">
            <w:pPr>
              <w:pStyle w:val="TableParagraph"/>
              <w:jc w:val="center"/>
              <w:rPr>
                <w:b/>
                <w:sz w:val="24"/>
                <w:szCs w:val="24"/>
              </w:rPr>
            </w:pPr>
            <w:r>
              <w:rPr>
                <w:rFonts w:hint="eastAsia"/>
                <w:b/>
                <w:sz w:val="24"/>
                <w:szCs w:val="24"/>
              </w:rPr>
              <w:t>参与单位名称</w:t>
            </w:r>
          </w:p>
        </w:tc>
        <w:tc>
          <w:tcPr>
            <w:tcW w:w="6687" w:type="dxa"/>
            <w:vAlign w:val="center"/>
          </w:tcPr>
          <w:p w:rsidR="00DD37E4" w:rsidRDefault="00DD37E4" w:rsidP="00DD37E4">
            <w:pPr>
              <w:pStyle w:val="aa"/>
              <w:autoSpaceDN w:val="0"/>
              <w:spacing w:line="300" w:lineRule="auto"/>
              <w:jc w:val="left"/>
              <w:rPr>
                <w:szCs w:val="24"/>
              </w:rPr>
            </w:pPr>
            <w:r>
              <w:rPr>
                <w:rFonts w:hint="eastAsia"/>
                <w:szCs w:val="24"/>
              </w:rPr>
              <w:t>网络远</w:t>
            </w:r>
            <w:r w:rsidRPr="00F17853">
              <w:rPr>
                <w:rFonts w:ascii="宋体" w:hAnsi="宋体" w:hint="eastAsia"/>
                <w:szCs w:val="24"/>
              </w:rPr>
              <w:t>程参加</w:t>
            </w:r>
            <w:r w:rsidRPr="00DD37E4">
              <w:rPr>
                <w:rFonts w:ascii="宋体" w:hAnsi="宋体" w:hint="eastAsia"/>
                <w:szCs w:val="24"/>
              </w:rPr>
              <w:t>天津辖区上市公司2026年投资者网上集体接待日暨半年报业绩说明会</w:t>
            </w:r>
            <w:r w:rsidRPr="00F17853">
              <w:rPr>
                <w:rFonts w:ascii="宋体" w:hAnsi="宋体" w:hint="eastAsia"/>
                <w:szCs w:val="24"/>
              </w:rPr>
              <w:t>的投资者</w:t>
            </w:r>
          </w:p>
        </w:tc>
      </w:tr>
      <w:tr w:rsidR="00DD37E4">
        <w:trPr>
          <w:trHeight w:val="469"/>
        </w:trPr>
        <w:tc>
          <w:tcPr>
            <w:tcW w:w="1589" w:type="dxa"/>
            <w:vAlign w:val="center"/>
          </w:tcPr>
          <w:p w:rsidR="00DD37E4" w:rsidRDefault="00DD37E4" w:rsidP="00DD37E4">
            <w:pPr>
              <w:pStyle w:val="TableParagraph"/>
              <w:jc w:val="center"/>
              <w:rPr>
                <w:b/>
                <w:sz w:val="24"/>
                <w:szCs w:val="24"/>
                <w:lang w:eastAsia="en-US"/>
              </w:rPr>
            </w:pPr>
            <w:r>
              <w:rPr>
                <w:rFonts w:hint="eastAsia"/>
                <w:b/>
                <w:sz w:val="24"/>
                <w:szCs w:val="24"/>
                <w:lang w:eastAsia="en-US"/>
              </w:rPr>
              <w:t>时间</w:t>
            </w:r>
          </w:p>
        </w:tc>
        <w:tc>
          <w:tcPr>
            <w:tcW w:w="6687" w:type="dxa"/>
            <w:vAlign w:val="center"/>
          </w:tcPr>
          <w:p w:rsidR="00DD37E4" w:rsidRDefault="00DD37E4" w:rsidP="00DD37E4">
            <w:pPr>
              <w:pStyle w:val="TableParagraph"/>
              <w:jc w:val="center"/>
              <w:rPr>
                <w:b/>
                <w:sz w:val="24"/>
                <w:szCs w:val="24"/>
                <w:lang w:val="en-US"/>
              </w:rPr>
            </w:pPr>
            <w:r>
              <w:rPr>
                <w:rFonts w:hint="eastAsia"/>
                <w:bCs/>
                <w:sz w:val="24"/>
                <w:szCs w:val="24"/>
                <w:lang w:eastAsia="en-US"/>
              </w:rPr>
              <w:t>202</w:t>
            </w:r>
            <w:r>
              <w:rPr>
                <w:bCs/>
                <w:sz w:val="24"/>
                <w:szCs w:val="24"/>
                <w:lang w:eastAsia="en-US"/>
              </w:rPr>
              <w:t>6</w:t>
            </w:r>
            <w:r>
              <w:rPr>
                <w:rFonts w:hint="eastAsia"/>
                <w:bCs/>
                <w:sz w:val="24"/>
                <w:szCs w:val="24"/>
                <w:lang w:eastAsia="en-US"/>
              </w:rPr>
              <w:t>年</w:t>
            </w:r>
            <w:r>
              <w:rPr>
                <w:bCs/>
                <w:sz w:val="24"/>
                <w:szCs w:val="24"/>
                <w:lang w:eastAsia="en-US"/>
              </w:rPr>
              <w:t>9</w:t>
            </w:r>
            <w:r>
              <w:rPr>
                <w:rFonts w:hint="eastAsia"/>
                <w:bCs/>
                <w:sz w:val="24"/>
                <w:szCs w:val="24"/>
                <w:lang w:eastAsia="en-US"/>
              </w:rPr>
              <w:t>月</w:t>
            </w:r>
            <w:r>
              <w:rPr>
                <w:bCs/>
                <w:sz w:val="24"/>
                <w:szCs w:val="24"/>
                <w:lang w:val="en-US"/>
              </w:rPr>
              <w:t>3</w:t>
            </w:r>
            <w:r>
              <w:rPr>
                <w:rFonts w:hint="eastAsia"/>
                <w:bCs/>
                <w:sz w:val="24"/>
                <w:szCs w:val="24"/>
                <w:lang w:val="en-US"/>
              </w:rPr>
              <w:t>日</w:t>
            </w:r>
          </w:p>
        </w:tc>
      </w:tr>
      <w:tr w:rsidR="00DD37E4">
        <w:trPr>
          <w:trHeight w:val="632"/>
        </w:trPr>
        <w:tc>
          <w:tcPr>
            <w:tcW w:w="1589" w:type="dxa"/>
            <w:vAlign w:val="center"/>
          </w:tcPr>
          <w:p w:rsidR="00DD37E4" w:rsidRDefault="00DD37E4" w:rsidP="00DD37E4">
            <w:pPr>
              <w:pStyle w:val="TableParagraph"/>
              <w:jc w:val="center"/>
              <w:rPr>
                <w:b/>
                <w:sz w:val="24"/>
                <w:szCs w:val="24"/>
                <w:lang w:eastAsia="en-US"/>
              </w:rPr>
            </w:pPr>
            <w:r>
              <w:rPr>
                <w:rFonts w:hint="eastAsia"/>
                <w:b/>
                <w:sz w:val="24"/>
                <w:szCs w:val="24"/>
                <w:lang w:eastAsia="en-US"/>
              </w:rPr>
              <w:t>地点</w:t>
            </w:r>
          </w:p>
        </w:tc>
        <w:tc>
          <w:tcPr>
            <w:tcW w:w="6687" w:type="dxa"/>
            <w:vAlign w:val="center"/>
          </w:tcPr>
          <w:p w:rsidR="00DD37E4" w:rsidRDefault="00DD37E4" w:rsidP="00DD37E4">
            <w:pPr>
              <w:pStyle w:val="TableParagraph"/>
              <w:autoSpaceDE/>
              <w:autoSpaceDN/>
              <w:spacing w:line="480" w:lineRule="exact"/>
              <w:jc w:val="center"/>
              <w:rPr>
                <w:sz w:val="24"/>
                <w:szCs w:val="24"/>
                <w:lang w:val="en-US"/>
              </w:rPr>
            </w:pPr>
            <w:r w:rsidRPr="00FC0313">
              <w:rPr>
                <w:rFonts w:hint="eastAsia"/>
                <w:sz w:val="24"/>
              </w:rPr>
              <w:t>全景路演网站（</w:t>
            </w:r>
            <w:bookmarkStart w:id="0" w:name="OLE_LINK5"/>
            <w:bookmarkStart w:id="1" w:name="OLE_LINK6"/>
            <w:r w:rsidRPr="00FC0313">
              <w:rPr>
                <w:rFonts w:hint="eastAsia"/>
                <w:sz w:val="24"/>
              </w:rPr>
              <w:t>http://rs.p5w.net</w:t>
            </w:r>
            <w:bookmarkEnd w:id="0"/>
            <w:bookmarkEnd w:id="1"/>
            <w:r w:rsidRPr="00FC0313">
              <w:rPr>
                <w:rFonts w:hint="eastAsia"/>
                <w:sz w:val="24"/>
              </w:rPr>
              <w:t>）</w:t>
            </w:r>
          </w:p>
        </w:tc>
      </w:tr>
      <w:tr w:rsidR="00DD37E4">
        <w:trPr>
          <w:trHeight w:val="798"/>
        </w:trPr>
        <w:tc>
          <w:tcPr>
            <w:tcW w:w="1589" w:type="dxa"/>
            <w:vAlign w:val="center"/>
          </w:tcPr>
          <w:p w:rsidR="00DD37E4" w:rsidRDefault="00DD37E4" w:rsidP="00DD37E4">
            <w:pPr>
              <w:pStyle w:val="TableParagraph"/>
              <w:jc w:val="center"/>
              <w:rPr>
                <w:b/>
                <w:sz w:val="24"/>
                <w:szCs w:val="24"/>
              </w:rPr>
            </w:pPr>
            <w:r>
              <w:rPr>
                <w:rFonts w:hint="eastAsia"/>
                <w:b/>
                <w:sz w:val="24"/>
                <w:szCs w:val="24"/>
              </w:rPr>
              <w:t>上市公司接待人员姓名</w:t>
            </w:r>
          </w:p>
        </w:tc>
        <w:tc>
          <w:tcPr>
            <w:tcW w:w="6687" w:type="dxa"/>
            <w:vAlign w:val="center"/>
          </w:tcPr>
          <w:p w:rsidR="00DD37E4" w:rsidRDefault="00DD37E4" w:rsidP="00DD37E4">
            <w:pPr>
              <w:pStyle w:val="TableParagraph"/>
              <w:autoSpaceDE/>
              <w:autoSpaceDN/>
              <w:spacing w:line="500" w:lineRule="exact"/>
              <w:ind w:leftChars="50" w:left="105" w:rightChars="50" w:right="105"/>
              <w:jc w:val="both"/>
              <w:rPr>
                <w:sz w:val="24"/>
                <w:szCs w:val="24"/>
                <w:lang w:val="en-US"/>
              </w:rPr>
            </w:pPr>
            <w:r>
              <w:rPr>
                <w:rFonts w:hint="eastAsia"/>
                <w:sz w:val="24"/>
                <w:szCs w:val="24"/>
                <w:lang w:val="en-US"/>
              </w:rPr>
              <w:t xml:space="preserve">董事长、总经理 </w:t>
            </w:r>
            <w:r>
              <w:rPr>
                <w:sz w:val="24"/>
                <w:szCs w:val="24"/>
                <w:lang w:val="en-US"/>
              </w:rPr>
              <w:t xml:space="preserve">               </w:t>
            </w:r>
            <w:r>
              <w:rPr>
                <w:rFonts w:hint="eastAsia"/>
                <w:sz w:val="24"/>
                <w:szCs w:val="24"/>
                <w:lang w:val="en-US"/>
              </w:rPr>
              <w:t>王同庆</w:t>
            </w:r>
          </w:p>
          <w:p w:rsidR="00DD37E4" w:rsidRDefault="00DD37E4" w:rsidP="00DD37E4">
            <w:pPr>
              <w:pStyle w:val="TableParagraph"/>
              <w:autoSpaceDE/>
              <w:autoSpaceDN/>
              <w:spacing w:line="500" w:lineRule="exact"/>
              <w:ind w:leftChars="50" w:left="105" w:rightChars="50" w:right="105"/>
              <w:jc w:val="both"/>
              <w:rPr>
                <w:sz w:val="24"/>
                <w:szCs w:val="24"/>
                <w:lang w:val="en-US"/>
              </w:rPr>
            </w:pPr>
            <w:r>
              <w:rPr>
                <w:rFonts w:hint="eastAsia"/>
                <w:sz w:val="24"/>
                <w:szCs w:val="24"/>
                <w:lang w:val="en-US"/>
              </w:rPr>
              <w:t xml:space="preserve">独立董事 </w:t>
            </w:r>
            <w:r>
              <w:rPr>
                <w:sz w:val="24"/>
                <w:szCs w:val="24"/>
                <w:lang w:val="en-US"/>
              </w:rPr>
              <w:t xml:space="preserve">                     </w:t>
            </w:r>
            <w:r>
              <w:rPr>
                <w:rFonts w:hint="eastAsia"/>
                <w:sz w:val="24"/>
                <w:szCs w:val="24"/>
                <w:lang w:val="en-US"/>
              </w:rPr>
              <w:t>雷震霖</w:t>
            </w:r>
          </w:p>
          <w:p w:rsidR="00DD37E4" w:rsidRDefault="00DD37E4" w:rsidP="00DD37E4">
            <w:pPr>
              <w:pStyle w:val="TableParagraph"/>
              <w:autoSpaceDE/>
              <w:autoSpaceDN/>
              <w:spacing w:line="500" w:lineRule="exact"/>
              <w:ind w:leftChars="50" w:left="105" w:rightChars="50" w:right="105"/>
              <w:jc w:val="both"/>
              <w:rPr>
                <w:sz w:val="24"/>
                <w:szCs w:val="24"/>
                <w:lang w:val="en-US"/>
              </w:rPr>
            </w:pPr>
            <w:r>
              <w:rPr>
                <w:rFonts w:hint="eastAsia"/>
                <w:sz w:val="24"/>
                <w:szCs w:val="24"/>
                <w:lang w:val="en-US"/>
              </w:rPr>
              <w:t xml:space="preserve">董事、财务总监 </w:t>
            </w:r>
            <w:r>
              <w:rPr>
                <w:sz w:val="24"/>
                <w:szCs w:val="24"/>
                <w:lang w:val="en-US"/>
              </w:rPr>
              <w:t xml:space="preserve">               </w:t>
            </w:r>
            <w:r>
              <w:rPr>
                <w:rFonts w:hint="eastAsia"/>
                <w:sz w:val="24"/>
                <w:szCs w:val="24"/>
                <w:lang w:val="en-US"/>
              </w:rPr>
              <w:t>王怀需</w:t>
            </w:r>
          </w:p>
          <w:p w:rsidR="00DD37E4" w:rsidRDefault="00DD37E4" w:rsidP="00DD37E4">
            <w:pPr>
              <w:pStyle w:val="TableParagraph"/>
              <w:autoSpaceDE/>
              <w:autoSpaceDN/>
              <w:spacing w:line="500" w:lineRule="exact"/>
              <w:ind w:leftChars="50" w:left="105" w:rightChars="50" w:right="105"/>
              <w:jc w:val="both"/>
              <w:rPr>
                <w:sz w:val="24"/>
                <w:szCs w:val="24"/>
                <w:lang w:val="en-US"/>
              </w:rPr>
            </w:pPr>
            <w:r>
              <w:rPr>
                <w:rFonts w:hint="eastAsia"/>
                <w:sz w:val="24"/>
                <w:szCs w:val="24"/>
                <w:lang w:val="en-US"/>
              </w:rPr>
              <w:t>董事会秘书</w:t>
            </w:r>
            <w:r>
              <w:rPr>
                <w:sz w:val="24"/>
                <w:szCs w:val="24"/>
                <w:lang w:val="en-US"/>
              </w:rPr>
              <w:t xml:space="preserve">                    </w:t>
            </w:r>
            <w:r>
              <w:rPr>
                <w:rFonts w:hint="eastAsia"/>
                <w:sz w:val="24"/>
                <w:szCs w:val="24"/>
                <w:lang w:val="en-US"/>
              </w:rPr>
              <w:t>陈圳寅</w:t>
            </w:r>
          </w:p>
        </w:tc>
      </w:tr>
      <w:tr w:rsidR="00DD37E4">
        <w:trPr>
          <w:trHeight w:val="2541"/>
        </w:trPr>
        <w:tc>
          <w:tcPr>
            <w:tcW w:w="1589" w:type="dxa"/>
            <w:vAlign w:val="center"/>
          </w:tcPr>
          <w:p w:rsidR="00DD37E4" w:rsidRDefault="00DD37E4" w:rsidP="00DD37E4">
            <w:pPr>
              <w:pStyle w:val="TableParagraph"/>
              <w:jc w:val="center"/>
              <w:rPr>
                <w:b/>
                <w:sz w:val="24"/>
                <w:szCs w:val="24"/>
              </w:rPr>
            </w:pPr>
            <w:bookmarkStart w:id="2" w:name="_Hlk113177506"/>
            <w:r>
              <w:rPr>
                <w:rFonts w:hint="eastAsia"/>
                <w:b/>
                <w:sz w:val="24"/>
                <w:szCs w:val="24"/>
              </w:rPr>
              <w:t>投资者关系活动主要内容介绍</w:t>
            </w:r>
          </w:p>
        </w:tc>
        <w:tc>
          <w:tcPr>
            <w:tcW w:w="6687" w:type="dxa"/>
            <w:shd w:val="clear" w:color="auto" w:fill="auto"/>
            <w:vAlign w:val="center"/>
          </w:tcPr>
          <w:p w:rsidR="00DD37E4" w:rsidRPr="00E64668" w:rsidRDefault="00DD37E4" w:rsidP="00E64668">
            <w:pPr>
              <w:spacing w:line="360" w:lineRule="auto"/>
              <w:ind w:firstLineChars="200" w:firstLine="482"/>
              <w:rPr>
                <w:rFonts w:ascii="宋体" w:hAnsi="宋体"/>
                <w:b/>
                <w:sz w:val="24"/>
                <w:szCs w:val="24"/>
              </w:rPr>
            </w:pPr>
            <w:r w:rsidRPr="00E64668">
              <w:rPr>
                <w:rFonts w:ascii="宋体" w:hAnsi="宋体" w:hint="eastAsia"/>
                <w:b/>
                <w:sz w:val="24"/>
                <w:szCs w:val="24"/>
              </w:rPr>
              <w:t>Q</w:t>
            </w:r>
            <w:r w:rsidRPr="00E64668">
              <w:rPr>
                <w:rFonts w:ascii="宋体" w:hAnsi="宋体"/>
                <w:b/>
                <w:sz w:val="24"/>
                <w:szCs w:val="24"/>
              </w:rPr>
              <w:t>1</w:t>
            </w:r>
            <w:r w:rsidRPr="00E64668">
              <w:rPr>
                <w:rFonts w:ascii="宋体" w:hAnsi="宋体" w:hint="eastAsia"/>
                <w:b/>
                <w:sz w:val="24"/>
                <w:szCs w:val="24"/>
              </w:rPr>
              <w:t>：</w:t>
            </w:r>
            <w:r w:rsidR="00E64668" w:rsidRPr="00E64668">
              <w:rPr>
                <w:rFonts w:ascii="宋体" w:hAnsi="宋体" w:hint="eastAsia"/>
                <w:b/>
                <w:sz w:val="24"/>
                <w:szCs w:val="24"/>
              </w:rPr>
              <w:t>HBM、板级先进封装设备需求爆发，新品导入头部客户，认证周期主要卡点在哪？</w:t>
            </w:r>
          </w:p>
          <w:p w:rsidR="00DD37E4" w:rsidRDefault="00DD37E4" w:rsidP="00E64668">
            <w:pPr>
              <w:spacing w:line="360" w:lineRule="auto"/>
              <w:ind w:firstLineChars="200" w:firstLine="480"/>
              <w:rPr>
                <w:rFonts w:ascii="宋体" w:hAnsi="宋体"/>
                <w:sz w:val="24"/>
                <w:szCs w:val="24"/>
              </w:rPr>
            </w:pPr>
            <w:r>
              <w:rPr>
                <w:rFonts w:ascii="宋体" w:hAnsi="宋体" w:hint="eastAsia"/>
                <w:sz w:val="24"/>
                <w:szCs w:val="24"/>
              </w:rPr>
              <w:t>A：</w:t>
            </w:r>
            <w:r w:rsidR="00E64668" w:rsidRPr="00E64668">
              <w:rPr>
                <w:rFonts w:ascii="宋体" w:hAnsi="宋体" w:hint="eastAsia"/>
                <w:sz w:val="24"/>
                <w:szCs w:val="24"/>
              </w:rPr>
              <w:t>随着国内AI技术在算法架构、算力密度等核心维度的持续突破，公司主打产品CMP装备、减薄装备、划切装备、边抛装备作为芯片堆叠与先进封装技术实现高密度集成、高可靠性运行的关键核心装备，将获得更加广泛的应用。公司已针对性开发满足HBM等先进封装新需求的机型，先进封装订单占比提升明显。对于新品导入头部客户，认证周期的主要卡点通常包括：一是产品需在客户端大生产线上进行严格的工艺验证，各项技术指标需满足甚至超越工艺基准机台的要求；二是由于集成电路制造对设备稳定性、可靠性要求极高，客户需经过多轮测试和长期运行考核；三是不同客户的工艺参数、产线配置存在差异，需要进行针对性的工艺匹配和调试。公司主要产品已导入国内</w:t>
            </w:r>
            <w:r w:rsidR="00E64668" w:rsidRPr="00E64668">
              <w:rPr>
                <w:rFonts w:ascii="宋体" w:hAnsi="宋体" w:hint="eastAsia"/>
                <w:sz w:val="24"/>
                <w:szCs w:val="24"/>
              </w:rPr>
              <w:lastRenderedPageBreak/>
              <w:t>大部分先进封装客户，未来将积极推进取得更多订单。</w:t>
            </w:r>
          </w:p>
          <w:p w:rsidR="00E64668" w:rsidRPr="00E64668" w:rsidRDefault="00E64668" w:rsidP="00E64668">
            <w:pPr>
              <w:spacing w:line="360" w:lineRule="auto"/>
              <w:ind w:firstLineChars="200" w:firstLine="482"/>
              <w:rPr>
                <w:rFonts w:ascii="宋体" w:hAnsi="宋体"/>
                <w:b/>
                <w:sz w:val="24"/>
                <w:szCs w:val="24"/>
              </w:rPr>
            </w:pPr>
            <w:r w:rsidRPr="00E64668">
              <w:rPr>
                <w:rFonts w:ascii="宋体" w:hAnsi="宋体" w:hint="eastAsia"/>
                <w:b/>
                <w:sz w:val="24"/>
                <w:szCs w:val="24"/>
              </w:rPr>
              <w:t>Q</w:t>
            </w:r>
            <w:r w:rsidRPr="00E64668">
              <w:rPr>
                <w:rFonts w:ascii="宋体" w:hAnsi="宋体"/>
                <w:b/>
                <w:sz w:val="24"/>
                <w:szCs w:val="24"/>
              </w:rPr>
              <w:t>2</w:t>
            </w:r>
            <w:r w:rsidRPr="00E64668">
              <w:rPr>
                <w:rFonts w:ascii="宋体" w:hAnsi="宋体" w:hint="eastAsia"/>
                <w:b/>
                <w:sz w:val="24"/>
                <w:szCs w:val="24"/>
              </w:rPr>
              <w:t>：</w:t>
            </w:r>
            <w:r w:rsidRPr="00093D1E">
              <w:rPr>
                <w:rFonts w:ascii="宋体" w:hAnsi="宋体"/>
                <w:b/>
                <w:sz w:val="24"/>
                <w:szCs w:val="24"/>
              </w:rPr>
              <w:t>客户集中度偏高，下游晶圆厂资本开支波动，公司用哪些方式平滑订单周期扰动？</w:t>
            </w:r>
          </w:p>
          <w:p w:rsidR="00E64668" w:rsidRPr="00E64668" w:rsidRDefault="00E64668" w:rsidP="00E64668">
            <w:pPr>
              <w:spacing w:line="360" w:lineRule="auto"/>
              <w:ind w:firstLineChars="200" w:firstLine="480"/>
              <w:rPr>
                <w:rFonts w:ascii="宋体" w:hAnsi="宋体"/>
                <w:sz w:val="24"/>
                <w:szCs w:val="24"/>
              </w:rPr>
            </w:pPr>
            <w:r w:rsidRPr="00E64668">
              <w:rPr>
                <w:rFonts w:ascii="宋体" w:hAnsi="宋体" w:hint="eastAsia"/>
                <w:sz w:val="24"/>
                <w:szCs w:val="24"/>
              </w:rPr>
              <w:t>A：</w:t>
            </w:r>
            <w:r w:rsidRPr="00E64668">
              <w:rPr>
                <w:rFonts w:ascii="宋体" w:hAnsi="宋体"/>
                <w:sz w:val="24"/>
                <w:szCs w:val="24"/>
              </w:rPr>
              <w:t>半导体设备行业具备客户集中度偏高的特征，这是下游晶圆制造行业格局高度集中带来的行业共性特点。公司客户覆盖存储芯片、逻辑芯片、功率半导体、大硅片等多个领域，客户结构较为多元，不存在对单一客户形成重大依赖的情况。面对下游晶圆厂资本开支波动带来的订单周期扰动，公司多措并举对冲周期影响，提升经营抗风险能力：一是持续落实“装备+服务”平台化发展战略，稳固CMP装备基本盘，加快离子注入、减薄、划切、湿法等装备产业化，做强晶圆再生及配套耗材业务，打造多元化业务矩阵，拓宽收入来源；二是紧密跟进存量客户扩产与工艺升级需求，持续开拓新客户、新市场，积极布局先进封装、大硅片、第三代半导体等新兴应用方向，扩大下游需求覆盖面；三是随着CMP</w:t>
            </w:r>
            <w:r w:rsidRPr="00E64668">
              <w:rPr>
                <w:rFonts w:ascii="宋体" w:hAnsi="宋体" w:hint="eastAsia"/>
                <w:sz w:val="24"/>
                <w:szCs w:val="24"/>
              </w:rPr>
              <w:t>装备</w:t>
            </w:r>
            <w:r w:rsidRPr="00E64668">
              <w:rPr>
                <w:rFonts w:ascii="宋体" w:hAnsi="宋体"/>
                <w:sz w:val="24"/>
                <w:szCs w:val="24"/>
              </w:rPr>
              <w:t>客户端装机保有量不断提升，耗材、维保等后市场服务业务规模持续增长。该部分业务受资本开支周期影响相对有限，能够提供较为稳定的收入与现金流，有效对冲整机设备销售的周期性波动，增强公司经营韧性。</w:t>
            </w:r>
          </w:p>
          <w:p w:rsidR="00E64668" w:rsidRPr="00E64668" w:rsidRDefault="00E64668" w:rsidP="00E64668">
            <w:pPr>
              <w:spacing w:line="360" w:lineRule="auto"/>
              <w:ind w:firstLineChars="200" w:firstLine="482"/>
              <w:rPr>
                <w:rFonts w:ascii="宋体" w:hAnsi="宋体"/>
                <w:b/>
                <w:sz w:val="24"/>
                <w:szCs w:val="24"/>
              </w:rPr>
            </w:pPr>
            <w:r w:rsidRPr="00E64668">
              <w:rPr>
                <w:rFonts w:ascii="宋体" w:hAnsi="宋体" w:hint="eastAsia"/>
                <w:b/>
                <w:sz w:val="24"/>
                <w:szCs w:val="24"/>
              </w:rPr>
              <w:t>Q</w:t>
            </w:r>
            <w:r w:rsidRPr="00E64668">
              <w:rPr>
                <w:rFonts w:ascii="宋体" w:hAnsi="宋体"/>
                <w:b/>
                <w:sz w:val="24"/>
                <w:szCs w:val="24"/>
              </w:rPr>
              <w:t>3</w:t>
            </w:r>
            <w:r w:rsidRPr="00E64668">
              <w:rPr>
                <w:rFonts w:ascii="宋体" w:hAnsi="宋体" w:hint="eastAsia"/>
                <w:b/>
                <w:sz w:val="24"/>
                <w:szCs w:val="24"/>
              </w:rPr>
              <w:t>：</w:t>
            </w:r>
            <w:r w:rsidRPr="00E64668">
              <w:rPr>
                <w:rFonts w:ascii="宋体" w:hAnsi="宋体" w:hint="eastAsia"/>
                <w:b/>
                <w:sz w:val="24"/>
                <w:szCs w:val="24"/>
              </w:rPr>
              <w:t>晶圆再生、耗材维保等高毛利服务业务，进一步提升营收占比存在哪些约束？</w:t>
            </w:r>
          </w:p>
          <w:p w:rsidR="00E64668" w:rsidRPr="00E64668" w:rsidRDefault="00E64668" w:rsidP="00E64668">
            <w:pPr>
              <w:spacing w:line="360" w:lineRule="auto"/>
              <w:ind w:firstLineChars="200" w:firstLine="480"/>
              <w:rPr>
                <w:rFonts w:ascii="宋体" w:hAnsi="宋体"/>
                <w:sz w:val="24"/>
                <w:szCs w:val="24"/>
              </w:rPr>
            </w:pPr>
            <w:r>
              <w:rPr>
                <w:rFonts w:ascii="宋体" w:hAnsi="宋体"/>
                <w:sz w:val="24"/>
                <w:szCs w:val="24"/>
              </w:rPr>
              <w:t>A</w:t>
            </w:r>
            <w:r>
              <w:rPr>
                <w:rFonts w:ascii="宋体" w:hAnsi="宋体" w:hint="eastAsia"/>
                <w:sz w:val="24"/>
                <w:szCs w:val="24"/>
              </w:rPr>
              <w:t>：</w:t>
            </w:r>
            <w:r w:rsidRPr="00E64668">
              <w:rPr>
                <w:rFonts w:ascii="宋体" w:hAnsi="宋体"/>
                <w:sz w:val="24"/>
                <w:szCs w:val="24"/>
              </w:rPr>
              <w:t>晶圆再生</w:t>
            </w:r>
            <w:r w:rsidRPr="00E64668">
              <w:rPr>
                <w:rFonts w:ascii="宋体" w:hAnsi="宋体" w:hint="eastAsia"/>
                <w:sz w:val="24"/>
                <w:szCs w:val="24"/>
              </w:rPr>
              <w:t>与</w:t>
            </w:r>
            <w:r w:rsidRPr="00E64668">
              <w:rPr>
                <w:rFonts w:ascii="宋体" w:hAnsi="宋体"/>
                <w:sz w:val="24"/>
                <w:szCs w:val="24"/>
              </w:rPr>
              <w:t>耗材维保是公司“装备+服务”平台化战略的重要组成部分。晶圆再生业务方面，公司天津基地20万片/月产能当前已处于满产状态</w:t>
            </w:r>
            <w:r w:rsidRPr="00E64668">
              <w:rPr>
                <w:rFonts w:ascii="宋体" w:hAnsi="宋体" w:hint="eastAsia"/>
                <w:sz w:val="24"/>
                <w:szCs w:val="24"/>
              </w:rPr>
              <w:t>，</w:t>
            </w:r>
            <w:r w:rsidRPr="00E64668">
              <w:rPr>
                <w:rFonts w:ascii="宋体" w:hAnsi="宋体"/>
                <w:sz w:val="24"/>
                <w:szCs w:val="24"/>
              </w:rPr>
              <w:t>产能成为业务进一步放量的主要约束。公司</w:t>
            </w:r>
            <w:r w:rsidRPr="00E64668">
              <w:rPr>
                <w:rFonts w:ascii="宋体" w:hAnsi="宋体" w:hint="eastAsia"/>
                <w:sz w:val="24"/>
                <w:szCs w:val="24"/>
              </w:rPr>
              <w:t>已启动</w:t>
            </w:r>
            <w:r w:rsidRPr="00E64668">
              <w:rPr>
                <w:rFonts w:ascii="宋体" w:hAnsi="宋体"/>
                <w:sz w:val="24"/>
                <w:szCs w:val="24"/>
              </w:rPr>
              <w:t>昆山晶圆再生扩产项目，总规划产能40万片/月，其中首期建设产能20万片/月</w:t>
            </w:r>
            <w:r w:rsidRPr="00E64668">
              <w:rPr>
                <w:rFonts w:ascii="宋体" w:hAnsi="宋体" w:hint="eastAsia"/>
                <w:sz w:val="24"/>
                <w:szCs w:val="24"/>
              </w:rPr>
              <w:t>，项目建成后将有效缓解产能瓶颈，支撑承接更多客户订单。耗材维保业务方面，该类业务的增长高度依赖公司设备在客户端的存量装机规模，随着公司各类装备尤其是CMP设备装机保有量持续提升，耗材维保等服务具备较好增长潜力。公司将通过产能扩建、市场拓展等举措积</w:t>
            </w:r>
            <w:r w:rsidRPr="00E64668">
              <w:rPr>
                <w:rFonts w:ascii="宋体" w:hAnsi="宋体" w:hint="eastAsia"/>
                <w:sz w:val="24"/>
                <w:szCs w:val="24"/>
              </w:rPr>
              <w:lastRenderedPageBreak/>
              <w:t>极化解相关约束，持续提升服务业务经营规模。</w:t>
            </w:r>
          </w:p>
          <w:p w:rsidR="00E64668" w:rsidRPr="00E64668" w:rsidRDefault="00E64668" w:rsidP="00E64668">
            <w:pPr>
              <w:spacing w:line="360" w:lineRule="auto"/>
              <w:ind w:firstLineChars="200" w:firstLine="482"/>
              <w:rPr>
                <w:rFonts w:ascii="宋体" w:hAnsi="宋体"/>
                <w:b/>
                <w:sz w:val="24"/>
                <w:szCs w:val="24"/>
              </w:rPr>
            </w:pPr>
            <w:r w:rsidRPr="00E64668">
              <w:rPr>
                <w:rFonts w:ascii="宋体" w:hAnsi="宋体" w:hint="eastAsia"/>
                <w:b/>
                <w:sz w:val="24"/>
                <w:szCs w:val="24"/>
              </w:rPr>
              <w:t>Q</w:t>
            </w:r>
            <w:r w:rsidRPr="00E64668">
              <w:rPr>
                <w:rFonts w:ascii="宋体" w:hAnsi="宋体"/>
                <w:b/>
                <w:sz w:val="24"/>
                <w:szCs w:val="24"/>
              </w:rPr>
              <w:t>4</w:t>
            </w:r>
            <w:r w:rsidRPr="00E64668">
              <w:rPr>
                <w:rFonts w:ascii="宋体" w:hAnsi="宋体" w:hint="eastAsia"/>
                <w:b/>
                <w:sz w:val="24"/>
                <w:szCs w:val="24"/>
              </w:rPr>
              <w:t>：</w:t>
            </w:r>
            <w:r w:rsidRPr="00E64668">
              <w:rPr>
                <w:rFonts w:ascii="宋体" w:hAnsi="宋体" w:hint="eastAsia"/>
                <w:b/>
                <w:sz w:val="24"/>
                <w:szCs w:val="24"/>
              </w:rPr>
              <w:t>CMP主业市占率已较高，成熟制程市场，如何应对价格竞争对毛利率的压制？</w:t>
            </w:r>
          </w:p>
          <w:p w:rsidR="00E64668" w:rsidRPr="00E64668" w:rsidRDefault="00E64668" w:rsidP="00E64668">
            <w:pPr>
              <w:spacing w:line="360" w:lineRule="auto"/>
              <w:ind w:firstLineChars="200" w:firstLine="480"/>
              <w:rPr>
                <w:rFonts w:ascii="宋体" w:hAnsi="宋体"/>
                <w:sz w:val="24"/>
                <w:szCs w:val="24"/>
              </w:rPr>
            </w:pPr>
            <w:r w:rsidRPr="00E64668">
              <w:rPr>
                <w:rFonts w:ascii="宋体" w:hAnsi="宋体" w:hint="eastAsia"/>
                <w:sz w:val="24"/>
                <w:szCs w:val="24"/>
              </w:rPr>
              <w:t>A：</w:t>
            </w:r>
            <w:r w:rsidRPr="00E64668">
              <w:rPr>
                <w:rFonts w:ascii="宋体" w:hAnsi="宋体"/>
                <w:sz w:val="24"/>
                <w:szCs w:val="24"/>
              </w:rPr>
              <w:t>公司CMP装备国内市占率处于领先地位，成熟制程已实现工艺全覆盖</w:t>
            </w:r>
            <w:r w:rsidRPr="00E64668">
              <w:rPr>
                <w:rFonts w:ascii="宋体" w:hAnsi="宋体" w:hint="eastAsia"/>
                <w:sz w:val="24"/>
                <w:szCs w:val="24"/>
              </w:rPr>
              <w:t>，近期</w:t>
            </w:r>
            <w:r w:rsidRPr="00E64668">
              <w:rPr>
                <w:rFonts w:ascii="宋体" w:hAnsi="宋体"/>
                <w:sz w:val="24"/>
                <w:szCs w:val="24"/>
              </w:rPr>
              <w:t>受部分尚处于市场拓展阶段产品</w:t>
            </w:r>
            <w:r w:rsidRPr="00E64668">
              <w:rPr>
                <w:rFonts w:ascii="宋体" w:hAnsi="宋体" w:hint="eastAsia"/>
                <w:sz w:val="24"/>
                <w:szCs w:val="24"/>
              </w:rPr>
              <w:t>毛利率较低</w:t>
            </w:r>
            <w:r w:rsidRPr="00E64668">
              <w:rPr>
                <w:rFonts w:ascii="宋体" w:hAnsi="宋体"/>
                <w:sz w:val="24"/>
                <w:szCs w:val="24"/>
              </w:rPr>
              <w:t>影响，对公司整体毛利率形成一定压力。公司</w:t>
            </w:r>
            <w:r w:rsidRPr="00E64668">
              <w:rPr>
                <w:rFonts w:ascii="宋体" w:hAnsi="宋体" w:hint="eastAsia"/>
                <w:sz w:val="24"/>
                <w:szCs w:val="24"/>
              </w:rPr>
              <w:t>一方面</w:t>
            </w:r>
            <w:r w:rsidRPr="00E64668">
              <w:rPr>
                <w:rFonts w:ascii="宋体" w:hAnsi="宋体"/>
                <w:sz w:val="24"/>
                <w:szCs w:val="24"/>
              </w:rPr>
              <w:t>充分发挥规模效应，依托采购规模提升原材料议价能力，通过产能扩大摊薄固定制造成本，同步优化物料选型，降低直接材料成本；</w:t>
            </w:r>
            <w:r w:rsidRPr="00E64668">
              <w:rPr>
                <w:rFonts w:ascii="宋体" w:hAnsi="宋体" w:hint="eastAsia"/>
                <w:sz w:val="24"/>
                <w:szCs w:val="24"/>
              </w:rPr>
              <w:t>另一方面</w:t>
            </w:r>
            <w:r w:rsidRPr="00E64668">
              <w:rPr>
                <w:rFonts w:ascii="宋体" w:hAnsi="宋体"/>
                <w:sz w:val="24"/>
                <w:szCs w:val="24"/>
              </w:rPr>
              <w:t>坚持技术创新，迭代推出高端机型，提高产品附加值，持续优化产品结构</w:t>
            </w:r>
            <w:r w:rsidRPr="00E64668">
              <w:rPr>
                <w:rFonts w:ascii="宋体" w:hAnsi="宋体" w:hint="eastAsia"/>
                <w:sz w:val="24"/>
                <w:szCs w:val="24"/>
              </w:rPr>
              <w:t>。</w:t>
            </w:r>
            <w:r w:rsidRPr="00E64668">
              <w:rPr>
                <w:rFonts w:ascii="宋体" w:hAnsi="宋体"/>
                <w:sz w:val="24"/>
                <w:szCs w:val="24"/>
              </w:rPr>
              <w:t>公司核心产品的技术优势、市场竞争力以及下游长期需求趋势均未发生变化</w:t>
            </w:r>
            <w:r w:rsidRPr="00E64668">
              <w:rPr>
                <w:rFonts w:ascii="宋体" w:hAnsi="宋体" w:hint="eastAsia"/>
                <w:sz w:val="24"/>
                <w:szCs w:val="24"/>
              </w:rPr>
              <w:t>，后续</w:t>
            </w:r>
            <w:r w:rsidRPr="00E64668">
              <w:rPr>
                <w:rFonts w:ascii="宋体" w:hAnsi="宋体"/>
                <w:sz w:val="24"/>
                <w:szCs w:val="24"/>
              </w:rPr>
              <w:t>将持续拓展客户及新产品，优化生产工艺、落实内部降本增效，努力将毛利率维持在相对合理水平。</w:t>
            </w:r>
          </w:p>
          <w:p w:rsidR="00E64668" w:rsidRPr="00E64668" w:rsidRDefault="00E64668" w:rsidP="00E64668">
            <w:pPr>
              <w:spacing w:line="360" w:lineRule="auto"/>
              <w:ind w:firstLineChars="200" w:firstLine="482"/>
              <w:rPr>
                <w:rFonts w:ascii="宋体" w:hAnsi="宋体"/>
                <w:b/>
                <w:sz w:val="24"/>
                <w:szCs w:val="24"/>
              </w:rPr>
            </w:pPr>
            <w:r w:rsidRPr="00E64668">
              <w:rPr>
                <w:rFonts w:ascii="宋体" w:hAnsi="宋体" w:hint="eastAsia"/>
                <w:b/>
                <w:sz w:val="24"/>
                <w:szCs w:val="24"/>
              </w:rPr>
              <w:t>Q</w:t>
            </w:r>
            <w:r w:rsidRPr="00E64668">
              <w:rPr>
                <w:rFonts w:ascii="宋体" w:hAnsi="宋体"/>
                <w:b/>
                <w:sz w:val="24"/>
                <w:szCs w:val="24"/>
              </w:rPr>
              <w:t>5</w:t>
            </w:r>
            <w:r w:rsidRPr="00E64668">
              <w:rPr>
                <w:rFonts w:ascii="宋体" w:hAnsi="宋体" w:hint="eastAsia"/>
                <w:b/>
                <w:sz w:val="24"/>
                <w:szCs w:val="24"/>
              </w:rPr>
              <w:t>：</w:t>
            </w:r>
            <w:r w:rsidRPr="00E64668">
              <w:rPr>
                <w:rFonts w:ascii="宋体" w:hAnsi="宋体" w:hint="eastAsia"/>
                <w:b/>
                <w:sz w:val="24"/>
                <w:szCs w:val="24"/>
              </w:rPr>
              <w:t>新产品线较多，研发资源有限，立项时如何权衡技术预研与短期商业化回报？</w:t>
            </w:r>
          </w:p>
          <w:p w:rsidR="00E64668" w:rsidRPr="00E64668" w:rsidRDefault="00E64668" w:rsidP="00E64668">
            <w:pPr>
              <w:spacing w:line="360" w:lineRule="auto"/>
              <w:ind w:firstLineChars="200" w:firstLine="480"/>
              <w:rPr>
                <w:rFonts w:ascii="宋体" w:hAnsi="宋体"/>
                <w:sz w:val="24"/>
                <w:szCs w:val="24"/>
              </w:rPr>
            </w:pPr>
            <w:r w:rsidRPr="00E64668">
              <w:rPr>
                <w:rFonts w:ascii="宋体" w:hAnsi="宋体"/>
                <w:sz w:val="24"/>
                <w:szCs w:val="24"/>
              </w:rPr>
              <w:t>A</w:t>
            </w:r>
            <w:r w:rsidRPr="00E64668">
              <w:rPr>
                <w:rFonts w:ascii="宋体" w:hAnsi="宋体" w:hint="eastAsia"/>
                <w:sz w:val="24"/>
                <w:szCs w:val="24"/>
              </w:rPr>
              <w:t>：</w:t>
            </w:r>
            <w:r w:rsidRPr="00E64668">
              <w:rPr>
                <w:rFonts w:ascii="宋体" w:hAnsi="宋体" w:hint="eastAsia"/>
                <w:sz w:val="24"/>
                <w:szCs w:val="24"/>
              </w:rPr>
              <w:t>公司围绕整体业务战略统筹规划研发布局，合理管控研发投入规模，兼顾中长期技术预研与短期商业化回报，高效配置有限研发资源。在新产品线立项及资源分配过程中，公司立足现有技术与客户需求基础，一方面持续迭代升级CMP装备，开发适配先进制程、3DIC、HBM等先进封装工艺的机型，夯实基本盘业务；另一方面推进高性能减薄装备研发，逐步加大划切、边抛、湿法等装备的研发力度，同时加快离子注入技术产业化突破，有序开展多型号离子注入装备的开发与客户端验证，快速拓展新业务赛道。公司在开展技术研发的同时同步推进产品降本工作，借助规模化采购提升供应链议价能力，依靠产能规模摊薄固定成本，优化物料选型管控直接材料成本，对冲高强度研发投入对盈利水平带来的影响，力求实现技术创新与商业化落地的动态平衡。</w:t>
            </w:r>
          </w:p>
          <w:p w:rsidR="00E64668" w:rsidRPr="00E64668" w:rsidRDefault="00E64668" w:rsidP="00E64668">
            <w:pPr>
              <w:spacing w:line="360" w:lineRule="auto"/>
              <w:ind w:firstLineChars="200" w:firstLine="482"/>
              <w:rPr>
                <w:rFonts w:ascii="宋体" w:hAnsi="宋体"/>
                <w:b/>
                <w:sz w:val="24"/>
                <w:szCs w:val="24"/>
              </w:rPr>
            </w:pPr>
            <w:r w:rsidRPr="00E64668">
              <w:rPr>
                <w:rFonts w:ascii="宋体" w:hAnsi="宋体" w:hint="eastAsia"/>
                <w:b/>
                <w:sz w:val="24"/>
                <w:szCs w:val="24"/>
              </w:rPr>
              <w:t>Q</w:t>
            </w:r>
            <w:r w:rsidRPr="00E64668">
              <w:rPr>
                <w:rFonts w:ascii="宋体" w:hAnsi="宋体"/>
                <w:b/>
                <w:sz w:val="24"/>
                <w:szCs w:val="24"/>
              </w:rPr>
              <w:t>6</w:t>
            </w:r>
            <w:r w:rsidRPr="00E64668">
              <w:rPr>
                <w:rFonts w:ascii="宋体" w:hAnsi="宋体" w:hint="eastAsia"/>
                <w:b/>
                <w:sz w:val="24"/>
                <w:szCs w:val="24"/>
              </w:rPr>
              <w:t>：</w:t>
            </w:r>
            <w:r w:rsidRPr="00E64668">
              <w:rPr>
                <w:rFonts w:ascii="宋体" w:hAnsi="宋体" w:hint="eastAsia"/>
                <w:b/>
                <w:sz w:val="24"/>
                <w:szCs w:val="24"/>
              </w:rPr>
              <w:t>存货、应收账款占用资金增加，公司有哪些举措改善整</w:t>
            </w:r>
            <w:r w:rsidRPr="00E64668">
              <w:rPr>
                <w:rFonts w:ascii="宋体" w:hAnsi="宋体" w:hint="eastAsia"/>
                <w:b/>
                <w:sz w:val="24"/>
                <w:szCs w:val="24"/>
              </w:rPr>
              <w:lastRenderedPageBreak/>
              <w:t>体经营现金流质量？</w:t>
            </w:r>
          </w:p>
          <w:p w:rsidR="00E64668" w:rsidRPr="00E64668" w:rsidRDefault="00E64668" w:rsidP="00E64668">
            <w:pPr>
              <w:spacing w:line="360" w:lineRule="auto"/>
              <w:ind w:firstLineChars="200" w:firstLine="480"/>
              <w:rPr>
                <w:rFonts w:ascii="宋体" w:hAnsi="宋体"/>
                <w:sz w:val="24"/>
                <w:szCs w:val="24"/>
              </w:rPr>
            </w:pPr>
            <w:r w:rsidRPr="00E64668">
              <w:rPr>
                <w:rFonts w:ascii="宋体" w:hAnsi="宋体" w:hint="eastAsia"/>
                <w:sz w:val="24"/>
                <w:szCs w:val="24"/>
              </w:rPr>
              <w:t>A：</w:t>
            </w:r>
            <w:r w:rsidRPr="00E64668">
              <w:rPr>
                <w:rFonts w:ascii="宋体" w:hAnsi="宋体"/>
                <w:sz w:val="24"/>
                <w:szCs w:val="24"/>
              </w:rPr>
              <w:t>伴随公司业务规模扩张，营业收入增长的同时存货、应收账款规模有所上升，整体变动与业务发展相匹配。公司</w:t>
            </w:r>
            <w:r w:rsidRPr="00E64668">
              <w:rPr>
                <w:rFonts w:ascii="宋体" w:hAnsi="宋体" w:hint="eastAsia"/>
                <w:sz w:val="24"/>
                <w:szCs w:val="24"/>
              </w:rPr>
              <w:t>将</w:t>
            </w:r>
            <w:r w:rsidRPr="00E64668">
              <w:rPr>
                <w:rFonts w:ascii="宋体" w:hAnsi="宋体"/>
                <w:sz w:val="24"/>
                <w:szCs w:val="24"/>
              </w:rPr>
              <w:t>多措并举改善经营活动现金流质量</w:t>
            </w:r>
            <w:r w:rsidRPr="00E64668">
              <w:rPr>
                <w:rFonts w:ascii="宋体" w:hAnsi="宋体" w:hint="eastAsia"/>
                <w:sz w:val="24"/>
                <w:szCs w:val="24"/>
              </w:rPr>
              <w:t>，</w:t>
            </w:r>
            <w:r w:rsidRPr="00E64668">
              <w:rPr>
                <w:rFonts w:ascii="宋体" w:hAnsi="宋体"/>
                <w:sz w:val="24"/>
                <w:szCs w:val="24"/>
              </w:rPr>
              <w:t>持续优化客户结构，有效分散回款风险；不断丰富收入结构，</w:t>
            </w:r>
            <w:r w:rsidRPr="00E64668">
              <w:rPr>
                <w:rFonts w:ascii="宋体" w:hAnsi="宋体" w:hint="eastAsia"/>
                <w:sz w:val="24"/>
                <w:szCs w:val="24"/>
              </w:rPr>
              <w:t>提升</w:t>
            </w:r>
            <w:r w:rsidRPr="00E64668">
              <w:rPr>
                <w:rFonts w:ascii="宋体" w:hAnsi="宋体"/>
                <w:sz w:val="24"/>
                <w:szCs w:val="24"/>
              </w:rPr>
              <w:t>磨划装备、离子注入、晶圆再生及耗材维保等业务收入占比；强化存货精细化管理，在对关键原材料合理备货的前提下，结合客户项目验收节奏科学排产、统筹交付；此外，随着产能持续释放，规模效应将进一步优化成本结构，助力改善公司整体现金流水平。</w:t>
            </w:r>
          </w:p>
          <w:p w:rsidR="00E64668" w:rsidRPr="00E64668" w:rsidRDefault="00E64668" w:rsidP="00E64668">
            <w:pPr>
              <w:spacing w:line="360" w:lineRule="auto"/>
              <w:ind w:firstLineChars="200" w:firstLine="482"/>
              <w:rPr>
                <w:rFonts w:ascii="宋体" w:hAnsi="宋体"/>
                <w:b/>
                <w:sz w:val="24"/>
                <w:szCs w:val="24"/>
              </w:rPr>
            </w:pPr>
            <w:r w:rsidRPr="00E64668">
              <w:rPr>
                <w:rFonts w:ascii="宋体" w:hAnsi="宋体" w:hint="eastAsia"/>
                <w:b/>
                <w:sz w:val="24"/>
                <w:szCs w:val="24"/>
              </w:rPr>
              <w:t>Q</w:t>
            </w:r>
            <w:r w:rsidRPr="00E64668">
              <w:rPr>
                <w:rFonts w:ascii="宋体" w:hAnsi="宋体"/>
                <w:b/>
                <w:sz w:val="24"/>
                <w:szCs w:val="24"/>
              </w:rPr>
              <w:t>7</w:t>
            </w:r>
            <w:r w:rsidRPr="00E64668">
              <w:rPr>
                <w:rFonts w:ascii="宋体" w:hAnsi="宋体" w:hint="eastAsia"/>
                <w:b/>
                <w:sz w:val="24"/>
                <w:szCs w:val="24"/>
              </w:rPr>
              <w:t>：</w:t>
            </w:r>
            <w:r w:rsidRPr="00E64668">
              <w:rPr>
                <w:rFonts w:ascii="宋体" w:hAnsi="宋体" w:hint="eastAsia"/>
                <w:b/>
                <w:sz w:val="24"/>
                <w:szCs w:val="24"/>
              </w:rPr>
              <w:t>部分精密零部件仍依赖外部采购，国产化替代推进，存在哪些性能交付层面阻碍？</w:t>
            </w:r>
          </w:p>
          <w:p w:rsidR="00E64668" w:rsidRPr="00E64668" w:rsidRDefault="00E64668" w:rsidP="00E64668">
            <w:pPr>
              <w:spacing w:line="360" w:lineRule="auto"/>
              <w:ind w:firstLineChars="200" w:firstLine="480"/>
              <w:rPr>
                <w:rFonts w:ascii="宋体" w:hAnsi="宋体"/>
                <w:sz w:val="24"/>
                <w:szCs w:val="24"/>
              </w:rPr>
            </w:pPr>
            <w:r w:rsidRPr="00E64668">
              <w:rPr>
                <w:rFonts w:ascii="宋体" w:hAnsi="宋体" w:hint="eastAsia"/>
                <w:sz w:val="24"/>
                <w:szCs w:val="24"/>
              </w:rPr>
              <w:t>A：</w:t>
            </w:r>
            <w:r w:rsidRPr="00E64668">
              <w:rPr>
                <w:rFonts w:ascii="宋体" w:hAnsi="宋体" w:hint="eastAsia"/>
                <w:sz w:val="24"/>
                <w:szCs w:val="24"/>
              </w:rPr>
              <w:t>公司高度重视提升半导体设备核心零部件的国产化程度，目前零部件国产化率已经达到70%至80%，核心零部件均依靠自主研发，多数进口零部件仅为通用部件，为非半导体专用零部件，并未受到制约。在精密零部件国产化替代推进过程中，部分国产零部件仍具备持续优化提升的空间，比如量产稳定性、批次一致性还需要依托长期工艺积累不断打磨，同时部分细分专用零部件市场体量有限，供应商能力与配套体系的培育，也需要投入相应的时间与资源。</w:t>
            </w:r>
          </w:p>
          <w:p w:rsidR="00E64668" w:rsidRPr="00E64668" w:rsidRDefault="00E64668" w:rsidP="00E64668">
            <w:pPr>
              <w:spacing w:line="360" w:lineRule="auto"/>
              <w:ind w:firstLineChars="200" w:firstLine="482"/>
              <w:rPr>
                <w:rFonts w:ascii="宋体" w:hAnsi="宋体"/>
                <w:b/>
                <w:sz w:val="24"/>
                <w:szCs w:val="24"/>
              </w:rPr>
            </w:pPr>
            <w:r w:rsidRPr="00E64668">
              <w:rPr>
                <w:rFonts w:ascii="宋体" w:hAnsi="宋体" w:hint="eastAsia"/>
                <w:b/>
                <w:sz w:val="24"/>
                <w:szCs w:val="24"/>
              </w:rPr>
              <w:t>Q</w:t>
            </w:r>
            <w:r w:rsidRPr="00E64668">
              <w:rPr>
                <w:rFonts w:ascii="宋体" w:hAnsi="宋体"/>
                <w:b/>
                <w:sz w:val="24"/>
                <w:szCs w:val="24"/>
              </w:rPr>
              <w:t>8</w:t>
            </w:r>
            <w:r w:rsidRPr="00E64668">
              <w:rPr>
                <w:rFonts w:ascii="宋体" w:hAnsi="宋体" w:hint="eastAsia"/>
                <w:b/>
                <w:sz w:val="24"/>
                <w:szCs w:val="24"/>
              </w:rPr>
              <w:t>：</w:t>
            </w:r>
            <w:r w:rsidRPr="00E64668">
              <w:rPr>
                <w:rFonts w:ascii="宋体" w:hAnsi="宋体" w:hint="eastAsia"/>
                <w:b/>
                <w:sz w:val="24"/>
                <w:szCs w:val="24"/>
              </w:rPr>
              <w:t>多品类同步研发扩产，上海基地投建，内部如何平衡资本开支与现金流压力？</w:t>
            </w:r>
          </w:p>
          <w:p w:rsidR="00E64668" w:rsidRPr="00E64668" w:rsidRDefault="00E64668" w:rsidP="00E64668">
            <w:pPr>
              <w:spacing w:line="360" w:lineRule="auto"/>
              <w:ind w:firstLineChars="200" w:firstLine="480"/>
              <w:rPr>
                <w:rFonts w:ascii="宋体" w:hAnsi="宋体"/>
                <w:sz w:val="24"/>
                <w:szCs w:val="24"/>
              </w:rPr>
            </w:pPr>
            <w:r w:rsidRPr="00E64668">
              <w:rPr>
                <w:rFonts w:ascii="宋体" w:hAnsi="宋体" w:hint="eastAsia"/>
                <w:sz w:val="24"/>
                <w:szCs w:val="24"/>
              </w:rPr>
              <w:t>A：</w:t>
            </w:r>
            <w:r w:rsidRPr="00E64668">
              <w:rPr>
                <w:rFonts w:ascii="宋体" w:hAnsi="宋体" w:hint="eastAsia"/>
                <w:sz w:val="24"/>
                <w:szCs w:val="24"/>
              </w:rPr>
              <w:t>公司正处于快速发展的重要阶段，需投入大量资金用于新产品研发以及产能扩张，以进一步提升公司的经营规模和产品竞争力。面对资本开支与现金流的平衡问题，公司采取多项统筹举措，按照分阶段、分区域思路有序落地产能布局，北京子公司、天津二期项目已建设完成并逐步释放产能，在此基础上稳步推进上海基地项目及昆山晶圆再生扩产项目建设，完善区位配套布局；同时通过拓展新客户新产品、工艺优化、内部降本增效等方式维持毛利率、净利率处于合理区间，并持续优化订单结构</w:t>
            </w:r>
            <w:r w:rsidRPr="00E64668">
              <w:rPr>
                <w:rFonts w:ascii="宋体" w:hAnsi="宋体" w:hint="eastAsia"/>
                <w:sz w:val="24"/>
                <w:szCs w:val="24"/>
              </w:rPr>
              <w:lastRenderedPageBreak/>
              <w:t>与付款节奏，结合客户实际情况合理调整商务付款安排，缓解公司经营现金流压力。公司作为科创板上市公司，积极推进向特定对象发行股票工作，为长远战略发展提供资金支撑。公司核心产品技术优势、市场竞争力以及下游行业长期需求趋势未发生变化，公司有信心在保障必要战略投入的前提下实现高质量可持续发展。</w:t>
            </w:r>
          </w:p>
          <w:p w:rsidR="00E64668" w:rsidRPr="00E64668" w:rsidRDefault="00E64668" w:rsidP="00E64668">
            <w:pPr>
              <w:spacing w:line="360" w:lineRule="auto"/>
              <w:ind w:firstLineChars="200" w:firstLine="482"/>
              <w:rPr>
                <w:rFonts w:ascii="宋体" w:hAnsi="宋体"/>
                <w:b/>
                <w:sz w:val="24"/>
                <w:szCs w:val="24"/>
              </w:rPr>
            </w:pPr>
            <w:r w:rsidRPr="00E64668">
              <w:rPr>
                <w:rFonts w:ascii="宋体" w:hAnsi="宋体" w:hint="eastAsia"/>
                <w:b/>
                <w:sz w:val="24"/>
                <w:szCs w:val="24"/>
              </w:rPr>
              <w:t>Q</w:t>
            </w:r>
            <w:r w:rsidRPr="00E64668">
              <w:rPr>
                <w:rFonts w:ascii="宋体" w:hAnsi="宋体"/>
                <w:b/>
                <w:sz w:val="24"/>
                <w:szCs w:val="24"/>
              </w:rPr>
              <w:t>9</w:t>
            </w:r>
            <w:r w:rsidRPr="00E64668">
              <w:rPr>
                <w:rFonts w:ascii="宋体" w:hAnsi="宋体" w:hint="eastAsia"/>
                <w:b/>
                <w:sz w:val="24"/>
                <w:szCs w:val="24"/>
              </w:rPr>
              <w:t>：</w:t>
            </w:r>
            <w:r w:rsidRPr="00E64668">
              <w:rPr>
                <w:rFonts w:ascii="宋体" w:hAnsi="宋体" w:hint="eastAsia"/>
                <w:b/>
                <w:sz w:val="24"/>
                <w:szCs w:val="24"/>
              </w:rPr>
              <w:t>离子注入装备实现小批量交付，从验证走向大规模量产，主要瓶颈是什么？</w:t>
            </w:r>
          </w:p>
          <w:p w:rsidR="00E64668" w:rsidRPr="00E64668" w:rsidRDefault="00E64668" w:rsidP="00E64668">
            <w:pPr>
              <w:spacing w:line="360" w:lineRule="auto"/>
              <w:ind w:firstLineChars="200" w:firstLine="480"/>
              <w:rPr>
                <w:rFonts w:ascii="宋体" w:hAnsi="宋体"/>
                <w:sz w:val="24"/>
                <w:szCs w:val="24"/>
              </w:rPr>
            </w:pPr>
            <w:r w:rsidRPr="00E64668">
              <w:rPr>
                <w:rFonts w:ascii="宋体" w:hAnsi="宋体" w:hint="eastAsia"/>
                <w:sz w:val="24"/>
                <w:szCs w:val="24"/>
              </w:rPr>
              <w:t>A：</w:t>
            </w:r>
            <w:r w:rsidRPr="00E64668">
              <w:rPr>
                <w:rFonts w:ascii="宋体" w:hAnsi="宋体" w:hint="eastAsia"/>
                <w:sz w:val="24"/>
                <w:szCs w:val="24"/>
              </w:rPr>
              <w:t>离子注入机属于半导体制造核心关键装备，其中大束流机型市场占比最高，公司紧扣市场需求，将大束流离子注入机作为重点攻坚方向，持续加大研发资源投入，全力推动产业化落地。目前公司12英寸大束流离子注入机已实现向国内多家头部集成电路制造企业批量交付，部分关键性能指标达到国际先进水平，产品出货规模稳步提升，并斩获批量重复订单，公司也在同步加大研发力度，加快中束流、高能离子注入机系列产品的研发迭代。离子注入装备本身技术壁垒较高，国内整体国产化率偏低，客户端工艺验证周期较长属于行业共性难点，叠加现阶段公司离子注入装备生产主要依托租赁厂房实施，产能场地形成一定约束，公司正加快上海项目建设进度，后续将为离子注入装备产能扩充夯实硬件基础。</w:t>
            </w:r>
          </w:p>
          <w:p w:rsidR="00E64668" w:rsidRPr="00E64668" w:rsidRDefault="00E64668" w:rsidP="00E64668">
            <w:pPr>
              <w:spacing w:line="360" w:lineRule="auto"/>
              <w:ind w:firstLineChars="200" w:firstLine="482"/>
              <w:rPr>
                <w:rFonts w:ascii="宋体" w:hAnsi="宋体"/>
                <w:b/>
                <w:sz w:val="24"/>
                <w:szCs w:val="24"/>
              </w:rPr>
            </w:pPr>
            <w:r w:rsidRPr="00E64668">
              <w:rPr>
                <w:rFonts w:ascii="宋体" w:hAnsi="宋体" w:hint="eastAsia"/>
                <w:b/>
                <w:sz w:val="24"/>
                <w:szCs w:val="24"/>
              </w:rPr>
              <w:t>Q</w:t>
            </w:r>
            <w:r w:rsidRPr="00E64668">
              <w:rPr>
                <w:rFonts w:ascii="宋体" w:hAnsi="宋体"/>
                <w:b/>
                <w:sz w:val="24"/>
                <w:szCs w:val="24"/>
              </w:rPr>
              <w:t>10</w:t>
            </w:r>
            <w:r w:rsidRPr="00E64668">
              <w:rPr>
                <w:rFonts w:ascii="宋体" w:hAnsi="宋体" w:hint="eastAsia"/>
                <w:b/>
                <w:sz w:val="24"/>
                <w:szCs w:val="24"/>
              </w:rPr>
              <w:t>：</w:t>
            </w:r>
            <w:r w:rsidRPr="00E64668">
              <w:rPr>
                <w:rFonts w:ascii="宋体" w:hAnsi="宋体" w:hint="eastAsia"/>
                <w:b/>
                <w:sz w:val="24"/>
                <w:szCs w:val="24"/>
              </w:rPr>
              <w:t>什么时间增发呢？</w:t>
            </w:r>
          </w:p>
          <w:p w:rsidR="00DD37E4" w:rsidRPr="0060772D" w:rsidRDefault="00E64668" w:rsidP="00E64668">
            <w:pPr>
              <w:spacing w:line="360" w:lineRule="auto"/>
              <w:ind w:firstLineChars="200" w:firstLine="480"/>
              <w:rPr>
                <w:rFonts w:ascii="宋体" w:hAnsi="宋体" w:hint="eastAsia"/>
                <w:sz w:val="24"/>
                <w:szCs w:val="24"/>
              </w:rPr>
            </w:pPr>
            <w:r w:rsidRPr="00E64668">
              <w:rPr>
                <w:rFonts w:ascii="宋体" w:hAnsi="宋体" w:hint="eastAsia"/>
                <w:sz w:val="24"/>
                <w:szCs w:val="24"/>
              </w:rPr>
              <w:t>A：</w:t>
            </w:r>
            <w:r w:rsidRPr="00EF4F2D">
              <w:rPr>
                <w:rFonts w:ascii="宋体" w:hAnsi="宋体" w:hint="eastAsia"/>
                <w:sz w:val="24"/>
                <w:szCs w:val="24"/>
              </w:rPr>
              <w:t>公司向特定对象发行A股股票申请已经取得证监会的批复，目前公司正在积极推进相关工作。后续将根据相关法律法规要求及时履行信息披露义务，具体发行时间请以公司在上海证券交易所网站及指定媒体披露的公告为准。</w:t>
            </w:r>
          </w:p>
        </w:tc>
      </w:tr>
      <w:bookmarkEnd w:id="2"/>
      <w:tr w:rsidR="00DD37E4">
        <w:trPr>
          <w:trHeight w:val="568"/>
        </w:trPr>
        <w:tc>
          <w:tcPr>
            <w:tcW w:w="1589" w:type="dxa"/>
            <w:vAlign w:val="center"/>
          </w:tcPr>
          <w:p w:rsidR="00DD37E4" w:rsidRDefault="00DD37E4" w:rsidP="00DD37E4">
            <w:pPr>
              <w:pStyle w:val="TableParagraph"/>
              <w:jc w:val="center"/>
              <w:rPr>
                <w:b/>
                <w:sz w:val="24"/>
                <w:szCs w:val="24"/>
                <w:lang w:eastAsia="en-US"/>
              </w:rPr>
            </w:pPr>
            <w:r>
              <w:rPr>
                <w:rFonts w:hint="eastAsia"/>
                <w:b/>
                <w:sz w:val="24"/>
                <w:szCs w:val="24"/>
                <w:lang w:eastAsia="en-US"/>
              </w:rPr>
              <w:lastRenderedPageBreak/>
              <w:t>附件清单</w:t>
            </w:r>
          </w:p>
        </w:tc>
        <w:tc>
          <w:tcPr>
            <w:tcW w:w="6687" w:type="dxa"/>
            <w:vAlign w:val="center"/>
          </w:tcPr>
          <w:p w:rsidR="00DD37E4" w:rsidRDefault="00DD37E4" w:rsidP="00DD37E4">
            <w:pPr>
              <w:pStyle w:val="TableParagraph"/>
              <w:autoSpaceDE/>
              <w:autoSpaceDN/>
              <w:ind w:rightChars="50" w:right="105"/>
              <w:rPr>
                <w:sz w:val="24"/>
                <w:szCs w:val="24"/>
                <w:lang w:eastAsia="en-US"/>
              </w:rPr>
            </w:pPr>
            <w:r>
              <w:rPr>
                <w:rFonts w:hint="eastAsia"/>
                <w:sz w:val="24"/>
                <w:szCs w:val="24"/>
                <w:lang w:val="en-US"/>
              </w:rPr>
              <w:t>无</w:t>
            </w:r>
          </w:p>
        </w:tc>
      </w:tr>
      <w:tr w:rsidR="00DD37E4">
        <w:trPr>
          <w:trHeight w:val="541"/>
        </w:trPr>
        <w:tc>
          <w:tcPr>
            <w:tcW w:w="1589" w:type="dxa"/>
            <w:vAlign w:val="center"/>
          </w:tcPr>
          <w:p w:rsidR="00DD37E4" w:rsidRDefault="00DD37E4" w:rsidP="00DD37E4">
            <w:pPr>
              <w:pStyle w:val="TableParagraph"/>
              <w:jc w:val="center"/>
              <w:rPr>
                <w:b/>
                <w:sz w:val="24"/>
                <w:szCs w:val="24"/>
                <w:lang w:eastAsia="en-US"/>
              </w:rPr>
            </w:pPr>
            <w:r>
              <w:rPr>
                <w:rFonts w:hint="eastAsia"/>
                <w:b/>
                <w:sz w:val="24"/>
                <w:szCs w:val="24"/>
                <w:lang w:eastAsia="en-US"/>
              </w:rPr>
              <w:t>日期</w:t>
            </w:r>
          </w:p>
        </w:tc>
        <w:tc>
          <w:tcPr>
            <w:tcW w:w="6687" w:type="dxa"/>
            <w:vAlign w:val="center"/>
          </w:tcPr>
          <w:p w:rsidR="00DD37E4" w:rsidRDefault="00DD37E4" w:rsidP="00DD37E4">
            <w:pPr>
              <w:pStyle w:val="TableParagraph"/>
              <w:autoSpaceDE/>
              <w:autoSpaceDN/>
              <w:ind w:leftChars="50" w:left="105" w:rightChars="50" w:right="105"/>
              <w:rPr>
                <w:sz w:val="24"/>
                <w:szCs w:val="24"/>
              </w:rPr>
            </w:pPr>
            <w:r>
              <w:rPr>
                <w:rFonts w:hint="eastAsia"/>
                <w:sz w:val="24"/>
                <w:szCs w:val="24"/>
                <w:lang w:eastAsia="en-US"/>
              </w:rPr>
              <w:t>202</w:t>
            </w:r>
            <w:r>
              <w:rPr>
                <w:sz w:val="24"/>
                <w:szCs w:val="24"/>
                <w:lang w:eastAsia="en-US"/>
              </w:rPr>
              <w:t>6</w:t>
            </w:r>
            <w:r>
              <w:rPr>
                <w:rFonts w:hint="eastAsia"/>
                <w:sz w:val="24"/>
                <w:szCs w:val="24"/>
                <w:lang w:eastAsia="en-US"/>
              </w:rPr>
              <w:t>年</w:t>
            </w:r>
            <w:r>
              <w:rPr>
                <w:sz w:val="24"/>
                <w:szCs w:val="24"/>
                <w:lang w:eastAsia="en-US"/>
              </w:rPr>
              <w:t>9</w:t>
            </w:r>
            <w:r>
              <w:rPr>
                <w:rFonts w:hint="eastAsia"/>
                <w:sz w:val="24"/>
                <w:szCs w:val="24"/>
              </w:rPr>
              <w:t>月</w:t>
            </w:r>
            <w:r>
              <w:rPr>
                <w:sz w:val="24"/>
                <w:szCs w:val="24"/>
                <w:lang w:val="en-US"/>
              </w:rPr>
              <w:t>3</w:t>
            </w:r>
            <w:r>
              <w:rPr>
                <w:rFonts w:hint="eastAsia"/>
                <w:sz w:val="24"/>
                <w:szCs w:val="24"/>
              </w:rPr>
              <w:t>日</w:t>
            </w:r>
          </w:p>
        </w:tc>
      </w:tr>
    </w:tbl>
    <w:p w:rsidR="00DD37E4" w:rsidRDefault="00DD37E4" w:rsidP="0084689D">
      <w:pPr>
        <w:tabs>
          <w:tab w:val="left" w:pos="2676"/>
        </w:tabs>
        <w:rPr>
          <w:rFonts w:ascii="Times New Roman" w:hAnsi="Times New Roman"/>
        </w:rPr>
      </w:pPr>
    </w:p>
    <w:p w:rsidR="00DD37E4" w:rsidRDefault="00DD37E4" w:rsidP="00DD37E4">
      <w:pPr>
        <w:rPr>
          <w:rFonts w:ascii="Times New Roman" w:hAnsi="Times New Roman"/>
        </w:rPr>
      </w:pPr>
      <w:bookmarkStart w:id="3" w:name="_GoBack"/>
      <w:bookmarkEnd w:id="3"/>
    </w:p>
    <w:p w:rsidR="009848F0" w:rsidRPr="008B328C" w:rsidRDefault="00DD37E4" w:rsidP="00DD37E4">
      <w:pPr>
        <w:tabs>
          <w:tab w:val="left" w:pos="1116"/>
        </w:tabs>
        <w:rPr>
          <w:rFonts w:ascii="Times New Roman" w:hAnsi="Times New Roman"/>
        </w:rPr>
      </w:pPr>
      <w:r>
        <w:rPr>
          <w:rFonts w:ascii="Times New Roman" w:hAnsi="Times New Roman"/>
        </w:rPr>
        <w:tab/>
      </w:r>
    </w:p>
    <w:sectPr w:rsidR="009848F0" w:rsidRPr="008B328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6977" w:rsidRDefault="00D26977" w:rsidP="00007F5B">
      <w:r>
        <w:separator/>
      </w:r>
    </w:p>
  </w:endnote>
  <w:endnote w:type="continuationSeparator" w:id="0">
    <w:p w:rsidR="00D26977" w:rsidRDefault="00D26977" w:rsidP="00007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altName w:val="Helvetica Neue"/>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6977" w:rsidRDefault="00D26977" w:rsidP="00007F5B">
      <w:r>
        <w:separator/>
      </w:r>
    </w:p>
  </w:footnote>
  <w:footnote w:type="continuationSeparator" w:id="0">
    <w:p w:rsidR="00D26977" w:rsidRDefault="00D26977" w:rsidP="00007F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18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hhNjk4YzUwZGI3MmEwOWU2ZjBiNmJkYTVmZjk1NmUifQ=="/>
  </w:docVars>
  <w:rsids>
    <w:rsidRoot w:val="002378D5"/>
    <w:rsid w:val="000025F5"/>
    <w:rsid w:val="00003777"/>
    <w:rsid w:val="00003BA0"/>
    <w:rsid w:val="00007F5B"/>
    <w:rsid w:val="000143AA"/>
    <w:rsid w:val="00015919"/>
    <w:rsid w:val="00024700"/>
    <w:rsid w:val="00026206"/>
    <w:rsid w:val="0002737F"/>
    <w:rsid w:val="00030137"/>
    <w:rsid w:val="00041981"/>
    <w:rsid w:val="00044E2A"/>
    <w:rsid w:val="00044EA7"/>
    <w:rsid w:val="0004607D"/>
    <w:rsid w:val="00046F2F"/>
    <w:rsid w:val="0004740E"/>
    <w:rsid w:val="000501D8"/>
    <w:rsid w:val="000532E4"/>
    <w:rsid w:val="00057746"/>
    <w:rsid w:val="00060276"/>
    <w:rsid w:val="00063183"/>
    <w:rsid w:val="000631AB"/>
    <w:rsid w:val="00067533"/>
    <w:rsid w:val="0007594B"/>
    <w:rsid w:val="00076E49"/>
    <w:rsid w:val="00076F39"/>
    <w:rsid w:val="000867F5"/>
    <w:rsid w:val="0008796B"/>
    <w:rsid w:val="00090C82"/>
    <w:rsid w:val="00093896"/>
    <w:rsid w:val="00093BC2"/>
    <w:rsid w:val="000A4596"/>
    <w:rsid w:val="000A4626"/>
    <w:rsid w:val="000A5EF1"/>
    <w:rsid w:val="000A68A6"/>
    <w:rsid w:val="000B1036"/>
    <w:rsid w:val="000C510F"/>
    <w:rsid w:val="000C760F"/>
    <w:rsid w:val="000D363B"/>
    <w:rsid w:val="000D4479"/>
    <w:rsid w:val="000D66F2"/>
    <w:rsid w:val="000E7A4A"/>
    <w:rsid w:val="000F2864"/>
    <w:rsid w:val="000F53C0"/>
    <w:rsid w:val="000F54D4"/>
    <w:rsid w:val="000F5FD7"/>
    <w:rsid w:val="000F633C"/>
    <w:rsid w:val="001043DC"/>
    <w:rsid w:val="00111B8C"/>
    <w:rsid w:val="0012258A"/>
    <w:rsid w:val="001230F7"/>
    <w:rsid w:val="001334D8"/>
    <w:rsid w:val="00144532"/>
    <w:rsid w:val="00150658"/>
    <w:rsid w:val="00151659"/>
    <w:rsid w:val="001612B7"/>
    <w:rsid w:val="00164BF7"/>
    <w:rsid w:val="001710CE"/>
    <w:rsid w:val="001718B3"/>
    <w:rsid w:val="001747BA"/>
    <w:rsid w:val="001750CC"/>
    <w:rsid w:val="00177690"/>
    <w:rsid w:val="001806DE"/>
    <w:rsid w:val="00184E50"/>
    <w:rsid w:val="00186AEE"/>
    <w:rsid w:val="001A1455"/>
    <w:rsid w:val="001B14ED"/>
    <w:rsid w:val="001B1983"/>
    <w:rsid w:val="001C300E"/>
    <w:rsid w:val="001D42DB"/>
    <w:rsid w:val="001E5A06"/>
    <w:rsid w:val="001F2870"/>
    <w:rsid w:val="001F43EF"/>
    <w:rsid w:val="001F6946"/>
    <w:rsid w:val="00201985"/>
    <w:rsid w:val="002112F2"/>
    <w:rsid w:val="00217224"/>
    <w:rsid w:val="002245A9"/>
    <w:rsid w:val="00224769"/>
    <w:rsid w:val="0022624D"/>
    <w:rsid w:val="00230913"/>
    <w:rsid w:val="00234E3B"/>
    <w:rsid w:val="002378D5"/>
    <w:rsid w:val="00246CB0"/>
    <w:rsid w:val="00247541"/>
    <w:rsid w:val="00253443"/>
    <w:rsid w:val="00257C07"/>
    <w:rsid w:val="002644D4"/>
    <w:rsid w:val="00264B8D"/>
    <w:rsid w:val="002737EA"/>
    <w:rsid w:val="00282408"/>
    <w:rsid w:val="002900DE"/>
    <w:rsid w:val="002957A9"/>
    <w:rsid w:val="002A3B42"/>
    <w:rsid w:val="002A7B44"/>
    <w:rsid w:val="002B2228"/>
    <w:rsid w:val="002B60BB"/>
    <w:rsid w:val="002B729A"/>
    <w:rsid w:val="002C1196"/>
    <w:rsid w:val="002D1E0C"/>
    <w:rsid w:val="002E5FA2"/>
    <w:rsid w:val="002F34A9"/>
    <w:rsid w:val="002F52CD"/>
    <w:rsid w:val="00306B6A"/>
    <w:rsid w:val="00310418"/>
    <w:rsid w:val="00321BC0"/>
    <w:rsid w:val="0032243D"/>
    <w:rsid w:val="00322A74"/>
    <w:rsid w:val="00324889"/>
    <w:rsid w:val="003266B9"/>
    <w:rsid w:val="00347E45"/>
    <w:rsid w:val="00352772"/>
    <w:rsid w:val="00352F61"/>
    <w:rsid w:val="003544AD"/>
    <w:rsid w:val="00363B7A"/>
    <w:rsid w:val="00363E3E"/>
    <w:rsid w:val="003711BE"/>
    <w:rsid w:val="003738F8"/>
    <w:rsid w:val="0037398C"/>
    <w:rsid w:val="0038369C"/>
    <w:rsid w:val="0039048C"/>
    <w:rsid w:val="003A094B"/>
    <w:rsid w:val="003A114D"/>
    <w:rsid w:val="003A143E"/>
    <w:rsid w:val="003A4D00"/>
    <w:rsid w:val="003B25CE"/>
    <w:rsid w:val="003C4119"/>
    <w:rsid w:val="003C64F4"/>
    <w:rsid w:val="003D1611"/>
    <w:rsid w:val="003E2235"/>
    <w:rsid w:val="003E54DD"/>
    <w:rsid w:val="0040011C"/>
    <w:rsid w:val="004018D2"/>
    <w:rsid w:val="00401943"/>
    <w:rsid w:val="00406CD6"/>
    <w:rsid w:val="004100BE"/>
    <w:rsid w:val="00417440"/>
    <w:rsid w:val="004269BF"/>
    <w:rsid w:val="00427D5D"/>
    <w:rsid w:val="00427FD1"/>
    <w:rsid w:val="00440DC0"/>
    <w:rsid w:val="004432CF"/>
    <w:rsid w:val="004456C6"/>
    <w:rsid w:val="00452DB8"/>
    <w:rsid w:val="00457C83"/>
    <w:rsid w:val="00467B60"/>
    <w:rsid w:val="0047044A"/>
    <w:rsid w:val="004728EE"/>
    <w:rsid w:val="00473D0C"/>
    <w:rsid w:val="004750EB"/>
    <w:rsid w:val="004804B1"/>
    <w:rsid w:val="00481066"/>
    <w:rsid w:val="00482059"/>
    <w:rsid w:val="004825C7"/>
    <w:rsid w:val="00483CB1"/>
    <w:rsid w:val="00485875"/>
    <w:rsid w:val="00486651"/>
    <w:rsid w:val="00487109"/>
    <w:rsid w:val="00492711"/>
    <w:rsid w:val="00495D6C"/>
    <w:rsid w:val="00497933"/>
    <w:rsid w:val="004A4DC1"/>
    <w:rsid w:val="004B274A"/>
    <w:rsid w:val="004C0E7B"/>
    <w:rsid w:val="004C3AD5"/>
    <w:rsid w:val="004C6E8A"/>
    <w:rsid w:val="004D0044"/>
    <w:rsid w:val="004D0E90"/>
    <w:rsid w:val="004D1DD8"/>
    <w:rsid w:val="004D2196"/>
    <w:rsid w:val="004D2D48"/>
    <w:rsid w:val="004E4C05"/>
    <w:rsid w:val="005005EE"/>
    <w:rsid w:val="005008C8"/>
    <w:rsid w:val="00501B1D"/>
    <w:rsid w:val="0051066D"/>
    <w:rsid w:val="00527958"/>
    <w:rsid w:val="005331DA"/>
    <w:rsid w:val="00541B1F"/>
    <w:rsid w:val="005466DF"/>
    <w:rsid w:val="00551D83"/>
    <w:rsid w:val="00552977"/>
    <w:rsid w:val="005557AA"/>
    <w:rsid w:val="005622CD"/>
    <w:rsid w:val="00565404"/>
    <w:rsid w:val="00565BFA"/>
    <w:rsid w:val="00567B92"/>
    <w:rsid w:val="005702BF"/>
    <w:rsid w:val="00570391"/>
    <w:rsid w:val="00570FAB"/>
    <w:rsid w:val="00571C2F"/>
    <w:rsid w:val="00574BCF"/>
    <w:rsid w:val="00576BC9"/>
    <w:rsid w:val="00581CCD"/>
    <w:rsid w:val="00583FF7"/>
    <w:rsid w:val="00584D9A"/>
    <w:rsid w:val="0058572E"/>
    <w:rsid w:val="005952A8"/>
    <w:rsid w:val="00595D5B"/>
    <w:rsid w:val="005A1082"/>
    <w:rsid w:val="005B4371"/>
    <w:rsid w:val="005B49FA"/>
    <w:rsid w:val="005C0BE1"/>
    <w:rsid w:val="005C1E5B"/>
    <w:rsid w:val="005D4C4F"/>
    <w:rsid w:val="005E014F"/>
    <w:rsid w:val="005E0EDB"/>
    <w:rsid w:val="005E1B60"/>
    <w:rsid w:val="005E5535"/>
    <w:rsid w:val="005F1142"/>
    <w:rsid w:val="005F482A"/>
    <w:rsid w:val="005F55D7"/>
    <w:rsid w:val="005F62B9"/>
    <w:rsid w:val="005F748B"/>
    <w:rsid w:val="00601EB4"/>
    <w:rsid w:val="0060551E"/>
    <w:rsid w:val="0060772D"/>
    <w:rsid w:val="006128A0"/>
    <w:rsid w:val="00613210"/>
    <w:rsid w:val="00621715"/>
    <w:rsid w:val="0063420D"/>
    <w:rsid w:val="00640953"/>
    <w:rsid w:val="0064216C"/>
    <w:rsid w:val="00643498"/>
    <w:rsid w:val="00644613"/>
    <w:rsid w:val="00655139"/>
    <w:rsid w:val="0069145B"/>
    <w:rsid w:val="00692CD1"/>
    <w:rsid w:val="006A0359"/>
    <w:rsid w:val="006B7541"/>
    <w:rsid w:val="006B7E91"/>
    <w:rsid w:val="006C0726"/>
    <w:rsid w:val="006C25C9"/>
    <w:rsid w:val="006C5759"/>
    <w:rsid w:val="006C5BF1"/>
    <w:rsid w:val="006D1D9C"/>
    <w:rsid w:val="006E0D05"/>
    <w:rsid w:val="006E61EC"/>
    <w:rsid w:val="006F44DD"/>
    <w:rsid w:val="007024A0"/>
    <w:rsid w:val="00704806"/>
    <w:rsid w:val="00706A38"/>
    <w:rsid w:val="007121F9"/>
    <w:rsid w:val="00720108"/>
    <w:rsid w:val="007201E2"/>
    <w:rsid w:val="00730782"/>
    <w:rsid w:val="00736C8A"/>
    <w:rsid w:val="00747D57"/>
    <w:rsid w:val="0075081E"/>
    <w:rsid w:val="0075628B"/>
    <w:rsid w:val="007646FA"/>
    <w:rsid w:val="007700AA"/>
    <w:rsid w:val="0077414D"/>
    <w:rsid w:val="00775270"/>
    <w:rsid w:val="007754D1"/>
    <w:rsid w:val="00780F96"/>
    <w:rsid w:val="00781754"/>
    <w:rsid w:val="007945C2"/>
    <w:rsid w:val="00795E25"/>
    <w:rsid w:val="007A1ACE"/>
    <w:rsid w:val="007A1AD5"/>
    <w:rsid w:val="007A2CF7"/>
    <w:rsid w:val="007B6D9E"/>
    <w:rsid w:val="007B6DD8"/>
    <w:rsid w:val="007D3625"/>
    <w:rsid w:val="007E6698"/>
    <w:rsid w:val="007F4463"/>
    <w:rsid w:val="007F482A"/>
    <w:rsid w:val="007F4969"/>
    <w:rsid w:val="007F6045"/>
    <w:rsid w:val="007F7D6E"/>
    <w:rsid w:val="00800B4C"/>
    <w:rsid w:val="00804026"/>
    <w:rsid w:val="008135E8"/>
    <w:rsid w:val="00813C19"/>
    <w:rsid w:val="0081552C"/>
    <w:rsid w:val="00817FFE"/>
    <w:rsid w:val="00823BA0"/>
    <w:rsid w:val="00836266"/>
    <w:rsid w:val="008373E9"/>
    <w:rsid w:val="00837BE2"/>
    <w:rsid w:val="00844470"/>
    <w:rsid w:val="00844FBD"/>
    <w:rsid w:val="00845FE6"/>
    <w:rsid w:val="0084689D"/>
    <w:rsid w:val="00850C27"/>
    <w:rsid w:val="008806AD"/>
    <w:rsid w:val="00882437"/>
    <w:rsid w:val="0088525C"/>
    <w:rsid w:val="00886E16"/>
    <w:rsid w:val="0089529D"/>
    <w:rsid w:val="008A0B93"/>
    <w:rsid w:val="008A4E3C"/>
    <w:rsid w:val="008B328C"/>
    <w:rsid w:val="008B58DA"/>
    <w:rsid w:val="008C0496"/>
    <w:rsid w:val="008C1347"/>
    <w:rsid w:val="008C3120"/>
    <w:rsid w:val="008C3579"/>
    <w:rsid w:val="008C4B47"/>
    <w:rsid w:val="008D1F2C"/>
    <w:rsid w:val="008E299D"/>
    <w:rsid w:val="008F308F"/>
    <w:rsid w:val="008F3B23"/>
    <w:rsid w:val="00906BDD"/>
    <w:rsid w:val="0091378C"/>
    <w:rsid w:val="0091553B"/>
    <w:rsid w:val="00916227"/>
    <w:rsid w:val="00916BCC"/>
    <w:rsid w:val="00922C0D"/>
    <w:rsid w:val="009269D4"/>
    <w:rsid w:val="009428A7"/>
    <w:rsid w:val="00950768"/>
    <w:rsid w:val="0095095B"/>
    <w:rsid w:val="0095342A"/>
    <w:rsid w:val="0095442C"/>
    <w:rsid w:val="009547AF"/>
    <w:rsid w:val="00962B4C"/>
    <w:rsid w:val="00971071"/>
    <w:rsid w:val="0097586B"/>
    <w:rsid w:val="00982DDB"/>
    <w:rsid w:val="009831AC"/>
    <w:rsid w:val="009848F0"/>
    <w:rsid w:val="00991E23"/>
    <w:rsid w:val="00994C70"/>
    <w:rsid w:val="00996DEC"/>
    <w:rsid w:val="00996F03"/>
    <w:rsid w:val="009B28AB"/>
    <w:rsid w:val="009B6408"/>
    <w:rsid w:val="009B6530"/>
    <w:rsid w:val="009C4A5F"/>
    <w:rsid w:val="009D167C"/>
    <w:rsid w:val="009D204A"/>
    <w:rsid w:val="009F0E45"/>
    <w:rsid w:val="00A01743"/>
    <w:rsid w:val="00A06538"/>
    <w:rsid w:val="00A13146"/>
    <w:rsid w:val="00A14565"/>
    <w:rsid w:val="00A14D6A"/>
    <w:rsid w:val="00A1673B"/>
    <w:rsid w:val="00A205A5"/>
    <w:rsid w:val="00A26D5E"/>
    <w:rsid w:val="00A32825"/>
    <w:rsid w:val="00A33B8C"/>
    <w:rsid w:val="00A34021"/>
    <w:rsid w:val="00A36D3E"/>
    <w:rsid w:val="00A37529"/>
    <w:rsid w:val="00A47643"/>
    <w:rsid w:val="00A55CF0"/>
    <w:rsid w:val="00A6371A"/>
    <w:rsid w:val="00A67248"/>
    <w:rsid w:val="00A70B8B"/>
    <w:rsid w:val="00A733AA"/>
    <w:rsid w:val="00A7464A"/>
    <w:rsid w:val="00A835AE"/>
    <w:rsid w:val="00A86E6F"/>
    <w:rsid w:val="00A91086"/>
    <w:rsid w:val="00A92A15"/>
    <w:rsid w:val="00A937D9"/>
    <w:rsid w:val="00A96104"/>
    <w:rsid w:val="00AA59EF"/>
    <w:rsid w:val="00AA629D"/>
    <w:rsid w:val="00AA7CB6"/>
    <w:rsid w:val="00AB060F"/>
    <w:rsid w:val="00AB6143"/>
    <w:rsid w:val="00AB75F2"/>
    <w:rsid w:val="00AC3077"/>
    <w:rsid w:val="00AC47BF"/>
    <w:rsid w:val="00AC4DF7"/>
    <w:rsid w:val="00AE7B79"/>
    <w:rsid w:val="00AF28A3"/>
    <w:rsid w:val="00AF46E7"/>
    <w:rsid w:val="00AF4848"/>
    <w:rsid w:val="00B00B94"/>
    <w:rsid w:val="00B024B3"/>
    <w:rsid w:val="00B02A20"/>
    <w:rsid w:val="00B036A0"/>
    <w:rsid w:val="00B07DBA"/>
    <w:rsid w:val="00B07DF4"/>
    <w:rsid w:val="00B32509"/>
    <w:rsid w:val="00B3311A"/>
    <w:rsid w:val="00B42BB7"/>
    <w:rsid w:val="00B43A39"/>
    <w:rsid w:val="00B46850"/>
    <w:rsid w:val="00B54F92"/>
    <w:rsid w:val="00B575C9"/>
    <w:rsid w:val="00B60DFC"/>
    <w:rsid w:val="00B6261D"/>
    <w:rsid w:val="00B66AC0"/>
    <w:rsid w:val="00B71BF6"/>
    <w:rsid w:val="00B76FFF"/>
    <w:rsid w:val="00B814FE"/>
    <w:rsid w:val="00B815CE"/>
    <w:rsid w:val="00B90144"/>
    <w:rsid w:val="00B97EF2"/>
    <w:rsid w:val="00BA0811"/>
    <w:rsid w:val="00BA483A"/>
    <w:rsid w:val="00BB288D"/>
    <w:rsid w:val="00BC02F5"/>
    <w:rsid w:val="00BC6F14"/>
    <w:rsid w:val="00BC7642"/>
    <w:rsid w:val="00BD12A6"/>
    <w:rsid w:val="00BD2A10"/>
    <w:rsid w:val="00BD3A12"/>
    <w:rsid w:val="00BE044D"/>
    <w:rsid w:val="00BE3A6C"/>
    <w:rsid w:val="00BE527F"/>
    <w:rsid w:val="00BF09EC"/>
    <w:rsid w:val="00BF154E"/>
    <w:rsid w:val="00BF1F0E"/>
    <w:rsid w:val="00C03387"/>
    <w:rsid w:val="00C109EA"/>
    <w:rsid w:val="00C22D40"/>
    <w:rsid w:val="00C24956"/>
    <w:rsid w:val="00C31516"/>
    <w:rsid w:val="00C355E5"/>
    <w:rsid w:val="00C4112B"/>
    <w:rsid w:val="00C52381"/>
    <w:rsid w:val="00C52834"/>
    <w:rsid w:val="00C53DFA"/>
    <w:rsid w:val="00C55C80"/>
    <w:rsid w:val="00C563E8"/>
    <w:rsid w:val="00C57607"/>
    <w:rsid w:val="00C61369"/>
    <w:rsid w:val="00C678DD"/>
    <w:rsid w:val="00C758D0"/>
    <w:rsid w:val="00C81B35"/>
    <w:rsid w:val="00C86DC9"/>
    <w:rsid w:val="00C94E0D"/>
    <w:rsid w:val="00CA1EF4"/>
    <w:rsid w:val="00CA2FEF"/>
    <w:rsid w:val="00CA7A50"/>
    <w:rsid w:val="00CB2580"/>
    <w:rsid w:val="00CB390C"/>
    <w:rsid w:val="00CB6181"/>
    <w:rsid w:val="00CC2560"/>
    <w:rsid w:val="00CC656F"/>
    <w:rsid w:val="00CC6E8D"/>
    <w:rsid w:val="00CD2A62"/>
    <w:rsid w:val="00CD373B"/>
    <w:rsid w:val="00CD4E7C"/>
    <w:rsid w:val="00CE7E16"/>
    <w:rsid w:val="00CF7422"/>
    <w:rsid w:val="00D00AD1"/>
    <w:rsid w:val="00D0271B"/>
    <w:rsid w:val="00D037EA"/>
    <w:rsid w:val="00D047D8"/>
    <w:rsid w:val="00D04C25"/>
    <w:rsid w:val="00D06292"/>
    <w:rsid w:val="00D11EBE"/>
    <w:rsid w:val="00D1537D"/>
    <w:rsid w:val="00D17C88"/>
    <w:rsid w:val="00D20714"/>
    <w:rsid w:val="00D21DB6"/>
    <w:rsid w:val="00D26977"/>
    <w:rsid w:val="00D30DAB"/>
    <w:rsid w:val="00D32143"/>
    <w:rsid w:val="00D407BB"/>
    <w:rsid w:val="00D4362B"/>
    <w:rsid w:val="00D63F54"/>
    <w:rsid w:val="00D7024A"/>
    <w:rsid w:val="00D728FE"/>
    <w:rsid w:val="00D752CD"/>
    <w:rsid w:val="00D8255D"/>
    <w:rsid w:val="00D90EAE"/>
    <w:rsid w:val="00D93BC2"/>
    <w:rsid w:val="00D96107"/>
    <w:rsid w:val="00DA03F4"/>
    <w:rsid w:val="00DB4438"/>
    <w:rsid w:val="00DB6440"/>
    <w:rsid w:val="00DB7588"/>
    <w:rsid w:val="00DC13DC"/>
    <w:rsid w:val="00DC2D1E"/>
    <w:rsid w:val="00DD0B44"/>
    <w:rsid w:val="00DD35D5"/>
    <w:rsid w:val="00DD37E4"/>
    <w:rsid w:val="00DE2ACD"/>
    <w:rsid w:val="00DE699F"/>
    <w:rsid w:val="00DF0FC7"/>
    <w:rsid w:val="00DF2E2F"/>
    <w:rsid w:val="00DF63CF"/>
    <w:rsid w:val="00DF7A82"/>
    <w:rsid w:val="00E00CF4"/>
    <w:rsid w:val="00E038AF"/>
    <w:rsid w:val="00E047EE"/>
    <w:rsid w:val="00E05142"/>
    <w:rsid w:val="00E10FC4"/>
    <w:rsid w:val="00E10FD5"/>
    <w:rsid w:val="00E17462"/>
    <w:rsid w:val="00E32778"/>
    <w:rsid w:val="00E37E88"/>
    <w:rsid w:val="00E619E0"/>
    <w:rsid w:val="00E61A93"/>
    <w:rsid w:val="00E63B5E"/>
    <w:rsid w:val="00E64668"/>
    <w:rsid w:val="00E670D0"/>
    <w:rsid w:val="00E707F5"/>
    <w:rsid w:val="00E71B1A"/>
    <w:rsid w:val="00E8035C"/>
    <w:rsid w:val="00E82C45"/>
    <w:rsid w:val="00E85EAF"/>
    <w:rsid w:val="00E86DDF"/>
    <w:rsid w:val="00E905B0"/>
    <w:rsid w:val="00E93CA2"/>
    <w:rsid w:val="00E94843"/>
    <w:rsid w:val="00EC6E7B"/>
    <w:rsid w:val="00ED54F7"/>
    <w:rsid w:val="00EE063A"/>
    <w:rsid w:val="00EE1D97"/>
    <w:rsid w:val="00EE7197"/>
    <w:rsid w:val="00EF3436"/>
    <w:rsid w:val="00EF384B"/>
    <w:rsid w:val="00EF6058"/>
    <w:rsid w:val="00F022CC"/>
    <w:rsid w:val="00F027E0"/>
    <w:rsid w:val="00F07DF7"/>
    <w:rsid w:val="00F10E95"/>
    <w:rsid w:val="00F14285"/>
    <w:rsid w:val="00F16D8F"/>
    <w:rsid w:val="00F2342C"/>
    <w:rsid w:val="00F27C3A"/>
    <w:rsid w:val="00F316AB"/>
    <w:rsid w:val="00F31800"/>
    <w:rsid w:val="00F33E73"/>
    <w:rsid w:val="00F4075A"/>
    <w:rsid w:val="00F43BBD"/>
    <w:rsid w:val="00F441A7"/>
    <w:rsid w:val="00F50921"/>
    <w:rsid w:val="00F51913"/>
    <w:rsid w:val="00F5205C"/>
    <w:rsid w:val="00F5394D"/>
    <w:rsid w:val="00F540CA"/>
    <w:rsid w:val="00F6706E"/>
    <w:rsid w:val="00F717E0"/>
    <w:rsid w:val="00F832A1"/>
    <w:rsid w:val="00F83E84"/>
    <w:rsid w:val="00FA197A"/>
    <w:rsid w:val="00FB7D72"/>
    <w:rsid w:val="00FC1A93"/>
    <w:rsid w:val="00FC3C61"/>
    <w:rsid w:val="00FC4470"/>
    <w:rsid w:val="00FD66E4"/>
    <w:rsid w:val="00FD7D7A"/>
    <w:rsid w:val="00FE0B30"/>
    <w:rsid w:val="00FE6A8F"/>
    <w:rsid w:val="00FF023B"/>
    <w:rsid w:val="00FF117B"/>
    <w:rsid w:val="016C4631"/>
    <w:rsid w:val="01B91D0C"/>
    <w:rsid w:val="0261145E"/>
    <w:rsid w:val="04511EA2"/>
    <w:rsid w:val="0595334E"/>
    <w:rsid w:val="06C24F68"/>
    <w:rsid w:val="07F63D43"/>
    <w:rsid w:val="08774E5E"/>
    <w:rsid w:val="0B595620"/>
    <w:rsid w:val="0CBB3A8C"/>
    <w:rsid w:val="0ECF70DD"/>
    <w:rsid w:val="0EFB2142"/>
    <w:rsid w:val="0F573C73"/>
    <w:rsid w:val="11774E65"/>
    <w:rsid w:val="11BB00E7"/>
    <w:rsid w:val="11D9337A"/>
    <w:rsid w:val="124C519A"/>
    <w:rsid w:val="12B8180E"/>
    <w:rsid w:val="12BE17CE"/>
    <w:rsid w:val="1336170C"/>
    <w:rsid w:val="1498096D"/>
    <w:rsid w:val="15514605"/>
    <w:rsid w:val="17FF422B"/>
    <w:rsid w:val="1897621A"/>
    <w:rsid w:val="1906603D"/>
    <w:rsid w:val="1AAB0773"/>
    <w:rsid w:val="1B326960"/>
    <w:rsid w:val="1BD33CD1"/>
    <w:rsid w:val="1BE4046A"/>
    <w:rsid w:val="1C05635E"/>
    <w:rsid w:val="1DCB6589"/>
    <w:rsid w:val="1E4531BB"/>
    <w:rsid w:val="1E921F4D"/>
    <w:rsid w:val="1EF51A09"/>
    <w:rsid w:val="20563854"/>
    <w:rsid w:val="22954B22"/>
    <w:rsid w:val="22C832E0"/>
    <w:rsid w:val="22CA65A4"/>
    <w:rsid w:val="22E273EA"/>
    <w:rsid w:val="24652BDE"/>
    <w:rsid w:val="247C0C4C"/>
    <w:rsid w:val="26355441"/>
    <w:rsid w:val="27157103"/>
    <w:rsid w:val="27413F9F"/>
    <w:rsid w:val="278422D2"/>
    <w:rsid w:val="278A6426"/>
    <w:rsid w:val="27AF6B8F"/>
    <w:rsid w:val="281F65F3"/>
    <w:rsid w:val="2A5528B6"/>
    <w:rsid w:val="2A77438F"/>
    <w:rsid w:val="2ABF3B39"/>
    <w:rsid w:val="2AFF32D6"/>
    <w:rsid w:val="2BAB5677"/>
    <w:rsid w:val="2CAE2423"/>
    <w:rsid w:val="2CBA1C4C"/>
    <w:rsid w:val="2D080EB0"/>
    <w:rsid w:val="2D510110"/>
    <w:rsid w:val="2D6F7AC4"/>
    <w:rsid w:val="2D803349"/>
    <w:rsid w:val="2EC66D06"/>
    <w:rsid w:val="2F8A06C1"/>
    <w:rsid w:val="31481D2B"/>
    <w:rsid w:val="31BB7257"/>
    <w:rsid w:val="322A4D9D"/>
    <w:rsid w:val="32CA0698"/>
    <w:rsid w:val="338308EC"/>
    <w:rsid w:val="344A5674"/>
    <w:rsid w:val="345F1609"/>
    <w:rsid w:val="34DD6E60"/>
    <w:rsid w:val="351B15A0"/>
    <w:rsid w:val="35BD5D8E"/>
    <w:rsid w:val="36D02BE7"/>
    <w:rsid w:val="379E4FE5"/>
    <w:rsid w:val="37FF3EFD"/>
    <w:rsid w:val="39C71B3C"/>
    <w:rsid w:val="3A3967A2"/>
    <w:rsid w:val="3A506CF3"/>
    <w:rsid w:val="3A92488E"/>
    <w:rsid w:val="3AAC3BE1"/>
    <w:rsid w:val="3AC56E83"/>
    <w:rsid w:val="3DEF013E"/>
    <w:rsid w:val="3E236AD0"/>
    <w:rsid w:val="3E8A0EA0"/>
    <w:rsid w:val="3F633F46"/>
    <w:rsid w:val="40B25CC9"/>
    <w:rsid w:val="410F3E94"/>
    <w:rsid w:val="433F58B0"/>
    <w:rsid w:val="44FF13B3"/>
    <w:rsid w:val="46AC6D78"/>
    <w:rsid w:val="46EE708F"/>
    <w:rsid w:val="473A46B1"/>
    <w:rsid w:val="47C05109"/>
    <w:rsid w:val="47F3492D"/>
    <w:rsid w:val="48385556"/>
    <w:rsid w:val="4A706BF1"/>
    <w:rsid w:val="4C0266A4"/>
    <w:rsid w:val="4D8745B7"/>
    <w:rsid w:val="4DB72981"/>
    <w:rsid w:val="4E2118EA"/>
    <w:rsid w:val="4FD962C1"/>
    <w:rsid w:val="505B2982"/>
    <w:rsid w:val="506643DA"/>
    <w:rsid w:val="5372742B"/>
    <w:rsid w:val="541C7DB9"/>
    <w:rsid w:val="552B19ED"/>
    <w:rsid w:val="560363E5"/>
    <w:rsid w:val="5635786C"/>
    <w:rsid w:val="566815DA"/>
    <w:rsid w:val="56932BF5"/>
    <w:rsid w:val="58BB5ED7"/>
    <w:rsid w:val="5B2F6DAD"/>
    <w:rsid w:val="5F3C0E6C"/>
    <w:rsid w:val="5F865A2F"/>
    <w:rsid w:val="5FA215B0"/>
    <w:rsid w:val="60493168"/>
    <w:rsid w:val="60BC229F"/>
    <w:rsid w:val="61F00D71"/>
    <w:rsid w:val="621147B9"/>
    <w:rsid w:val="62A87154"/>
    <w:rsid w:val="6445303D"/>
    <w:rsid w:val="648166D5"/>
    <w:rsid w:val="64E22EA5"/>
    <w:rsid w:val="6541773F"/>
    <w:rsid w:val="666371C6"/>
    <w:rsid w:val="666D1A12"/>
    <w:rsid w:val="67202C50"/>
    <w:rsid w:val="6750104E"/>
    <w:rsid w:val="687436E1"/>
    <w:rsid w:val="6A222833"/>
    <w:rsid w:val="6D387D79"/>
    <w:rsid w:val="6EB8757A"/>
    <w:rsid w:val="6F286FD3"/>
    <w:rsid w:val="6F9E443B"/>
    <w:rsid w:val="6FB57A86"/>
    <w:rsid w:val="702A5022"/>
    <w:rsid w:val="71A75DAA"/>
    <w:rsid w:val="71D21478"/>
    <w:rsid w:val="728144BB"/>
    <w:rsid w:val="72AC0802"/>
    <w:rsid w:val="7358514C"/>
    <w:rsid w:val="737F06B7"/>
    <w:rsid w:val="744E19CE"/>
    <w:rsid w:val="74905913"/>
    <w:rsid w:val="75505ED8"/>
    <w:rsid w:val="759F0E0D"/>
    <w:rsid w:val="75EE3FC9"/>
    <w:rsid w:val="76557722"/>
    <w:rsid w:val="76CB2A58"/>
    <w:rsid w:val="76CB4499"/>
    <w:rsid w:val="777C59E5"/>
    <w:rsid w:val="7936639C"/>
    <w:rsid w:val="79FD67C2"/>
    <w:rsid w:val="7A8676FF"/>
    <w:rsid w:val="7C4879EE"/>
    <w:rsid w:val="7CB62E01"/>
    <w:rsid w:val="7D807AEA"/>
    <w:rsid w:val="7EC82E14"/>
    <w:rsid w:val="7F2F3C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00436E"/>
  <w15:docId w15:val="{9EA2FC7B-AB93-4F07-8C11-F2AF2B179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44D4"/>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Balloon Text"/>
    <w:basedOn w:val="a"/>
    <w:link w:val="a5"/>
    <w:uiPriority w:val="99"/>
    <w:semiHidden/>
    <w:unhideWhenUsed/>
    <w:qFormat/>
    <w:rPr>
      <w:sz w:val="18"/>
      <w:szCs w:val="18"/>
    </w:rPr>
  </w:style>
  <w:style w:type="paragraph" w:styleId="a6">
    <w:name w:val="footer"/>
    <w:basedOn w:val="a"/>
    <w:link w:val="a7"/>
    <w:uiPriority w:val="99"/>
    <w:unhideWhenUsed/>
    <w:qFormat/>
    <w:pPr>
      <w:tabs>
        <w:tab w:val="center" w:pos="4153"/>
        <w:tab w:val="right" w:pos="8306"/>
      </w:tabs>
      <w:snapToGrid w:val="0"/>
      <w:jc w:val="left"/>
    </w:pPr>
    <w:rPr>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uiPriority w:val="99"/>
    <w:semiHidden/>
    <w:unhideWhenUsed/>
    <w:qFormat/>
    <w:rPr>
      <w:rFonts w:ascii="Courier New" w:hAnsi="Courier New" w:cs="Courier New"/>
      <w:sz w:val="20"/>
      <w:szCs w:val="20"/>
    </w:rPr>
  </w:style>
  <w:style w:type="paragraph" w:customStyle="1" w:styleId="TableParagraph">
    <w:name w:val="Table Paragraph"/>
    <w:basedOn w:val="a"/>
    <w:uiPriority w:val="1"/>
    <w:qFormat/>
    <w:pPr>
      <w:autoSpaceDE w:val="0"/>
      <w:autoSpaceDN w:val="0"/>
      <w:jc w:val="left"/>
    </w:pPr>
    <w:rPr>
      <w:rFonts w:ascii="宋体" w:hAnsi="宋体" w:cs="宋体"/>
      <w:kern w:val="0"/>
      <w:sz w:val="22"/>
      <w:lang w:val="zh-CN" w:bidi="zh-CN"/>
    </w:rPr>
  </w:style>
  <w:style w:type="character" w:customStyle="1" w:styleId="a9">
    <w:name w:val="页眉 字符"/>
    <w:basedOn w:val="a0"/>
    <w:link w:val="a8"/>
    <w:uiPriority w:val="99"/>
    <w:qFormat/>
    <w:rPr>
      <w:rFonts w:ascii="Calibri" w:eastAsia="宋体" w:hAnsi="Calibri" w:cs="Times New Roman"/>
      <w:sz w:val="18"/>
      <w:szCs w:val="18"/>
    </w:rPr>
  </w:style>
  <w:style w:type="character" w:customStyle="1" w:styleId="a7">
    <w:name w:val="页脚 字符"/>
    <w:basedOn w:val="a0"/>
    <w:link w:val="a6"/>
    <w:uiPriority w:val="99"/>
    <w:qFormat/>
    <w:rPr>
      <w:rFonts w:ascii="Calibri" w:eastAsia="宋体" w:hAnsi="Calibri" w:cs="Times New Roman"/>
      <w:sz w:val="18"/>
      <w:szCs w:val="18"/>
    </w:rPr>
  </w:style>
  <w:style w:type="character" w:customStyle="1" w:styleId="a5">
    <w:name w:val="批注框文本 字符"/>
    <w:basedOn w:val="a0"/>
    <w:link w:val="a4"/>
    <w:uiPriority w:val="99"/>
    <w:semiHidden/>
    <w:qFormat/>
    <w:rPr>
      <w:rFonts w:ascii="Calibri" w:eastAsia="宋体" w:hAnsi="Calibri" w:cs="Times New Roman"/>
      <w:sz w:val="18"/>
      <w:szCs w:val="18"/>
    </w:rPr>
  </w:style>
  <w:style w:type="character" w:customStyle="1" w:styleId="HTML0">
    <w:name w:val="HTML 预设格式 字符"/>
    <w:basedOn w:val="a0"/>
    <w:link w:val="HTML"/>
    <w:uiPriority w:val="99"/>
    <w:semiHidden/>
    <w:qFormat/>
    <w:rPr>
      <w:rFonts w:ascii="Courier New" w:eastAsia="宋体" w:hAnsi="Courier New" w:cs="Courier New"/>
      <w:sz w:val="20"/>
      <w:szCs w:val="20"/>
    </w:rPr>
  </w:style>
  <w:style w:type="paragraph" w:styleId="aa">
    <w:name w:val="Normal (Web)"/>
    <w:basedOn w:val="a"/>
    <w:uiPriority w:val="99"/>
    <w:unhideWhenUsed/>
    <w:rsid w:val="00DD37E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3548268">
      <w:bodyDiv w:val="1"/>
      <w:marLeft w:val="0"/>
      <w:marRight w:val="0"/>
      <w:marTop w:val="0"/>
      <w:marBottom w:val="0"/>
      <w:divBdr>
        <w:top w:val="none" w:sz="0" w:space="0" w:color="auto"/>
        <w:left w:val="none" w:sz="0" w:space="0" w:color="auto"/>
        <w:bottom w:val="none" w:sz="0" w:space="0" w:color="auto"/>
        <w:right w:val="none" w:sz="0" w:space="0" w:color="auto"/>
      </w:divBdr>
    </w:div>
    <w:div w:id="576404137">
      <w:bodyDiv w:val="1"/>
      <w:marLeft w:val="0"/>
      <w:marRight w:val="0"/>
      <w:marTop w:val="0"/>
      <w:marBottom w:val="0"/>
      <w:divBdr>
        <w:top w:val="none" w:sz="0" w:space="0" w:color="auto"/>
        <w:left w:val="none" w:sz="0" w:space="0" w:color="auto"/>
        <w:bottom w:val="none" w:sz="0" w:space="0" w:color="auto"/>
        <w:right w:val="none" w:sz="0" w:space="0" w:color="auto"/>
      </w:divBdr>
    </w:div>
    <w:div w:id="674377767">
      <w:bodyDiv w:val="1"/>
      <w:marLeft w:val="0"/>
      <w:marRight w:val="0"/>
      <w:marTop w:val="0"/>
      <w:marBottom w:val="0"/>
      <w:divBdr>
        <w:top w:val="none" w:sz="0" w:space="0" w:color="auto"/>
        <w:left w:val="none" w:sz="0" w:space="0" w:color="auto"/>
        <w:bottom w:val="none" w:sz="0" w:space="0" w:color="auto"/>
        <w:right w:val="none" w:sz="0" w:space="0" w:color="auto"/>
      </w:divBdr>
    </w:div>
    <w:div w:id="835152647">
      <w:bodyDiv w:val="1"/>
      <w:marLeft w:val="0"/>
      <w:marRight w:val="0"/>
      <w:marTop w:val="0"/>
      <w:marBottom w:val="0"/>
      <w:divBdr>
        <w:top w:val="none" w:sz="0" w:space="0" w:color="auto"/>
        <w:left w:val="none" w:sz="0" w:space="0" w:color="auto"/>
        <w:bottom w:val="none" w:sz="0" w:space="0" w:color="auto"/>
        <w:right w:val="none" w:sz="0" w:space="0" w:color="auto"/>
      </w:divBdr>
    </w:div>
    <w:div w:id="1379278808">
      <w:bodyDiv w:val="1"/>
      <w:marLeft w:val="0"/>
      <w:marRight w:val="0"/>
      <w:marTop w:val="0"/>
      <w:marBottom w:val="0"/>
      <w:divBdr>
        <w:top w:val="none" w:sz="0" w:space="0" w:color="auto"/>
        <w:left w:val="none" w:sz="0" w:space="0" w:color="auto"/>
        <w:bottom w:val="none" w:sz="0" w:space="0" w:color="auto"/>
        <w:right w:val="none" w:sz="0" w:space="0" w:color="auto"/>
      </w:divBdr>
    </w:div>
    <w:div w:id="1833836221">
      <w:bodyDiv w:val="1"/>
      <w:marLeft w:val="0"/>
      <w:marRight w:val="0"/>
      <w:marTop w:val="0"/>
      <w:marBottom w:val="0"/>
      <w:divBdr>
        <w:top w:val="none" w:sz="0" w:space="0" w:color="auto"/>
        <w:left w:val="none" w:sz="0" w:space="0" w:color="auto"/>
        <w:bottom w:val="none" w:sz="0" w:space="0" w:color="auto"/>
        <w:right w:val="none" w:sz="0" w:space="0" w:color="auto"/>
      </w:divBdr>
    </w:div>
    <w:div w:id="1860923296">
      <w:bodyDiv w:val="1"/>
      <w:marLeft w:val="0"/>
      <w:marRight w:val="0"/>
      <w:marTop w:val="0"/>
      <w:marBottom w:val="0"/>
      <w:divBdr>
        <w:top w:val="none" w:sz="0" w:space="0" w:color="auto"/>
        <w:left w:val="none" w:sz="0" w:space="0" w:color="auto"/>
        <w:bottom w:val="none" w:sz="0" w:space="0" w:color="auto"/>
        <w:right w:val="none" w:sz="0" w:space="0" w:color="auto"/>
      </w:divBdr>
    </w:div>
    <w:div w:id="19354332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72D561-214B-4449-8E68-E31BBFF6B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5</Pages>
  <Words>538</Words>
  <Characters>3070</Characters>
  <Application>Microsoft Office Word</Application>
  <DocSecurity>0</DocSecurity>
  <Lines>25</Lines>
  <Paragraphs>7</Paragraphs>
  <ScaleCrop>false</ScaleCrop>
  <Company>Microsoft</Company>
  <LinksUpToDate>false</LinksUpToDate>
  <CharactersWithSpaces>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证券</cp:lastModifiedBy>
  <cp:revision>18</cp:revision>
  <cp:lastPrinted>2020-12-31T04:57:00Z</cp:lastPrinted>
  <dcterms:created xsi:type="dcterms:W3CDTF">2026-04-24T07:13:00Z</dcterms:created>
  <dcterms:modified xsi:type="dcterms:W3CDTF">2026-09-03T08:49:00Z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8EBB44CAAE0345A09C0E37D0D5C220C7_13</vt:lpwstr>
  </property>
</Properties>
</file>