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49D2C">
      <w:pPr>
        <w:spacing w:before="312" w:line="400" w:lineRule="exact"/>
        <w:jc w:val="center"/>
        <w:textAlignment w:val="baseline"/>
        <w:rPr>
          <w:rFonts w:ascii="黑体" w:hAnsi="黑体" w:eastAsia="黑体" w:cs="黑体"/>
          <w:b/>
          <w:bCs/>
          <w:sz w:val="36"/>
          <w:szCs w:val="36"/>
        </w:rPr>
      </w:pPr>
      <w:r>
        <w:rPr>
          <w:rFonts w:hint="eastAsia" w:ascii="黑体" w:hAnsi="黑体" w:eastAsia="黑体" w:cs="黑体"/>
          <w:b/>
          <w:bCs/>
          <w:sz w:val="36"/>
          <w:szCs w:val="36"/>
        </w:rPr>
        <w:t>河南翔宇医疗设备股份有限公司</w:t>
      </w:r>
    </w:p>
    <w:p w14:paraId="0E9088A2">
      <w:pPr>
        <w:spacing w:before="156" w:after="156" w:line="400" w:lineRule="exact"/>
        <w:jc w:val="center"/>
        <w:textAlignment w:val="baseline"/>
        <w:rPr>
          <w:rFonts w:hint="eastAsia" w:ascii="黑体" w:hAnsi="黑体" w:eastAsia="黑体" w:cs="黑体"/>
          <w:b/>
          <w:bCs/>
          <w:sz w:val="36"/>
          <w:szCs w:val="36"/>
        </w:rPr>
      </w:pPr>
      <w:r>
        <w:rPr>
          <w:rFonts w:hint="eastAsia" w:ascii="黑体" w:hAnsi="黑体" w:eastAsia="黑体" w:cs="黑体"/>
          <w:b/>
          <w:bCs/>
          <w:sz w:val="36"/>
          <w:szCs w:val="36"/>
        </w:rPr>
        <w:t>投资者关系活动记录表</w:t>
      </w:r>
    </w:p>
    <w:p w14:paraId="6C950A11">
      <w:pPr>
        <w:spacing w:before="156" w:after="156" w:line="400" w:lineRule="exact"/>
        <w:jc w:val="center"/>
        <w:textAlignment w:val="baseline"/>
        <w:rPr>
          <w:rFonts w:hint="eastAsia" w:ascii="黑体" w:hAnsi="黑体" w:eastAsia="黑体" w:cs="黑体"/>
          <w:b/>
          <w:bCs/>
          <w:sz w:val="36"/>
          <w:szCs w:val="36"/>
        </w:rPr>
      </w:pPr>
    </w:p>
    <w:p w14:paraId="56FFEC2B">
      <w:pPr>
        <w:keepNext w:val="0"/>
        <w:keepLines w:val="0"/>
        <w:pageBreakBefore w:val="0"/>
        <w:widowControl w:val="0"/>
        <w:kinsoku/>
        <w:wordWrap/>
        <w:overflowPunct/>
        <w:topLinePunct w:val="0"/>
        <w:autoSpaceDE/>
        <w:autoSpaceDN/>
        <w:bidi w:val="0"/>
        <w:adjustRightInd/>
        <w:snapToGrid/>
        <w:spacing w:before="280" w:after="156" w:line="400" w:lineRule="exact"/>
        <w:jc w:val="center"/>
        <w:textAlignment w:val="baseline"/>
        <w:rPr>
          <w:rFonts w:hint="default" w:ascii="宋体" w:hAnsi="宋体" w:eastAsia="宋体" w:cs="宋体"/>
          <w:sz w:val="24"/>
          <w:lang w:val="en-US" w:eastAsia="zh-CN"/>
        </w:rPr>
      </w:pPr>
      <w:r>
        <w:rPr>
          <w:rFonts w:hint="eastAsia" w:ascii="宋体" w:hAnsi="宋体" w:cs="宋体"/>
          <w:sz w:val="24"/>
        </w:rPr>
        <w:t>证券代码：688626          证券简称：翔宇医疗</w:t>
      </w:r>
      <w:r>
        <w:rPr>
          <w:rFonts w:hint="eastAsia"/>
        </w:rPr>
        <w:t xml:space="preserve">            </w:t>
      </w:r>
      <w:r>
        <w:rPr>
          <w:rFonts w:hint="eastAsia" w:ascii="宋体" w:hAnsi="宋体" w:cs="宋体"/>
          <w:sz w:val="24"/>
        </w:rPr>
        <w:t>编号：202</w:t>
      </w:r>
      <w:r>
        <w:rPr>
          <w:rFonts w:hint="eastAsia" w:ascii="宋体" w:hAnsi="宋体" w:cs="宋体"/>
          <w:sz w:val="24"/>
          <w:lang w:val="en-US" w:eastAsia="zh-CN"/>
        </w:rPr>
        <w:t>6</w:t>
      </w:r>
      <w:r>
        <w:rPr>
          <w:rFonts w:hint="eastAsia" w:ascii="宋体" w:hAnsi="宋体" w:cs="宋体"/>
          <w:sz w:val="24"/>
        </w:rPr>
        <w:t>-0</w:t>
      </w:r>
      <w:r>
        <w:rPr>
          <w:rFonts w:hint="eastAsia" w:ascii="宋体" w:hAnsi="宋体" w:cs="宋体"/>
          <w:sz w:val="24"/>
          <w:lang w:val="en-US" w:eastAsia="zh-CN"/>
        </w:rPr>
        <w:t>07</w:t>
      </w:r>
    </w:p>
    <w:tbl>
      <w:tblPr>
        <w:tblStyle w:val="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6867"/>
      </w:tblGrid>
      <w:tr w14:paraId="61E5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855" w:type="pct"/>
            <w:vAlign w:val="center"/>
          </w:tcPr>
          <w:p w14:paraId="3003DC3F">
            <w:pPr>
              <w:spacing w:line="360" w:lineRule="auto"/>
              <w:jc w:val="center"/>
              <w:textAlignment w:val="baseline"/>
              <w:rPr>
                <w:rFonts w:ascii="宋体" w:hAnsi="宋体" w:cs="宋体"/>
                <w:sz w:val="24"/>
              </w:rPr>
            </w:pPr>
            <w:r>
              <w:rPr>
                <w:rFonts w:hint="eastAsia" w:ascii="宋体" w:hAnsi="宋体" w:cs="宋体"/>
                <w:sz w:val="24"/>
              </w:rPr>
              <w:t>投资者关系活动类别</w:t>
            </w:r>
          </w:p>
        </w:tc>
        <w:tc>
          <w:tcPr>
            <w:tcW w:w="4144" w:type="pct"/>
            <w:vAlign w:val="center"/>
          </w:tcPr>
          <w:p w14:paraId="4F391578">
            <w:pPr>
              <w:spacing w:line="360" w:lineRule="auto"/>
              <w:textAlignment w:val="baseline"/>
              <w:rPr>
                <w:rFonts w:ascii="宋体" w:hAnsi="宋体" w:cs="宋体"/>
                <w:sz w:val="24"/>
              </w:rPr>
            </w:pPr>
            <w:r>
              <w:rPr>
                <w:rFonts w:hint="eastAsia" w:ascii="宋体" w:hAnsi="宋体" w:cs="宋体"/>
                <w:sz w:val="24"/>
              </w:rPr>
              <w:sym w:font="Wingdings" w:char="00A8"/>
            </w:r>
            <w:r>
              <w:rPr>
                <w:rFonts w:hint="eastAsia" w:ascii="宋体" w:hAnsi="宋体" w:cs="宋体"/>
                <w:sz w:val="24"/>
              </w:rPr>
              <w:t xml:space="preserve">特定对象调研   </w:t>
            </w:r>
            <w:r>
              <w:rPr>
                <w:rFonts w:ascii="宋体" w:hAnsi="宋体" w:cs="宋体"/>
                <w:sz w:val="24"/>
              </w:rPr>
              <w:t xml:space="preserve"> </w:t>
            </w:r>
            <w:r>
              <w:rPr>
                <w:rFonts w:hint="eastAsia" w:ascii="宋体" w:hAnsi="宋体" w:cs="宋体"/>
                <w:sz w:val="24"/>
              </w:rPr>
              <w:t xml:space="preserve">  </w:t>
            </w:r>
            <w:r>
              <w:rPr>
                <w:rFonts w:hint="eastAsia" w:ascii="宋体" w:hAnsi="宋体" w:cs="宋体"/>
                <w:sz w:val="24"/>
              </w:rPr>
              <w:sym w:font="Wingdings" w:char="00A8"/>
            </w:r>
            <w:r>
              <w:rPr>
                <w:rFonts w:hint="eastAsia" w:ascii="宋体" w:hAnsi="宋体" w:cs="宋体"/>
                <w:sz w:val="24"/>
              </w:rPr>
              <w:t>分析师会议</w:t>
            </w:r>
          </w:p>
          <w:p w14:paraId="28452811">
            <w:pPr>
              <w:spacing w:line="360" w:lineRule="auto"/>
              <w:textAlignment w:val="baseline"/>
              <w:rPr>
                <w:rFonts w:ascii="宋体" w:hAnsi="宋体" w:cs="宋体"/>
                <w:sz w:val="24"/>
              </w:rPr>
            </w:pPr>
            <w:r>
              <w:rPr>
                <w:rFonts w:hint="eastAsia" w:ascii="宋体" w:hAnsi="宋体" w:cs="宋体"/>
                <w:sz w:val="24"/>
              </w:rPr>
              <w:sym w:font="Wingdings" w:char="00A8"/>
            </w:r>
            <w:r>
              <w:rPr>
                <w:rFonts w:hint="eastAsia" w:ascii="宋体" w:hAnsi="宋体" w:cs="宋体"/>
                <w:sz w:val="24"/>
              </w:rPr>
              <w:t xml:space="preserve">媒体采访          </w:t>
            </w:r>
            <w:r>
              <w:rPr>
                <w:rFonts w:hint="eastAsia" w:ascii="宋体" w:hAnsi="宋体" w:cs="宋体"/>
                <w:sz w:val="24"/>
              </w:rPr>
              <w:sym w:font="Wingdings" w:char="00FE"/>
            </w:r>
            <w:r>
              <w:rPr>
                <w:rFonts w:hint="eastAsia" w:ascii="宋体" w:hAnsi="宋体" w:cs="宋体"/>
                <w:sz w:val="24"/>
              </w:rPr>
              <w:t>业绩说明会</w:t>
            </w:r>
          </w:p>
          <w:p w14:paraId="0F994432">
            <w:pPr>
              <w:spacing w:line="360" w:lineRule="auto"/>
              <w:textAlignment w:val="baseline"/>
              <w:rPr>
                <w:rFonts w:ascii="宋体" w:hAnsi="宋体" w:cs="宋体"/>
                <w:sz w:val="24"/>
              </w:rPr>
            </w:pPr>
            <w:r>
              <w:rPr>
                <w:rFonts w:hint="eastAsia" w:ascii="宋体" w:hAnsi="宋体" w:cs="宋体"/>
                <w:sz w:val="24"/>
              </w:rPr>
              <w:sym w:font="Wingdings" w:char="00A8"/>
            </w:r>
            <w:r>
              <w:rPr>
                <w:rFonts w:hint="eastAsia" w:ascii="宋体" w:hAnsi="宋体" w:cs="宋体"/>
                <w:sz w:val="24"/>
              </w:rPr>
              <w:t xml:space="preserve">新闻发布会        </w:t>
            </w:r>
            <w:r>
              <w:rPr>
                <w:rFonts w:hint="eastAsia" w:ascii="宋体" w:hAnsi="宋体" w:cs="宋体"/>
                <w:sz w:val="24"/>
              </w:rPr>
              <w:sym w:font="Wingdings" w:char="00A8"/>
            </w:r>
            <w:r>
              <w:rPr>
                <w:rFonts w:hint="eastAsia" w:ascii="宋体" w:hAnsi="宋体" w:cs="宋体"/>
                <w:sz w:val="24"/>
              </w:rPr>
              <w:t>路演活动</w:t>
            </w:r>
          </w:p>
          <w:p w14:paraId="597EEFE3">
            <w:pPr>
              <w:spacing w:line="360" w:lineRule="auto"/>
              <w:textAlignment w:val="baseline"/>
              <w:rPr>
                <w:rFonts w:hint="eastAsia" w:ascii="宋体" w:hAnsi="宋体" w:eastAsia="宋体" w:cs="宋体"/>
                <w:sz w:val="24"/>
                <w:lang w:val="en-US" w:eastAsia="zh-CN"/>
              </w:rPr>
            </w:pPr>
            <w:r>
              <w:rPr>
                <w:rFonts w:hint="eastAsia" w:ascii="宋体" w:hAnsi="宋体" w:cs="宋体"/>
                <w:sz w:val="24"/>
              </w:rPr>
              <w:sym w:font="Wingdings" w:char="00A8"/>
            </w:r>
            <w:r>
              <w:rPr>
                <w:rFonts w:hint="eastAsia" w:ascii="宋体" w:hAnsi="宋体" w:cs="宋体"/>
                <w:sz w:val="24"/>
              </w:rPr>
              <w:t>现场参观</w:t>
            </w:r>
            <w:r>
              <w:rPr>
                <w:rFonts w:hint="eastAsia" w:ascii="宋体" w:hAnsi="宋体" w:cs="宋体"/>
                <w:sz w:val="24"/>
                <w:lang w:val="en-US" w:eastAsia="zh-CN"/>
              </w:rPr>
              <w:t>交流</w:t>
            </w:r>
          </w:p>
          <w:p w14:paraId="3C05C691">
            <w:pPr>
              <w:spacing w:line="360" w:lineRule="auto"/>
              <w:textAlignment w:val="baseline"/>
              <w:rPr>
                <w:rFonts w:hint="eastAsia" w:ascii="宋体" w:hAnsi="宋体" w:eastAsia="宋体" w:cs="宋体"/>
                <w:sz w:val="24"/>
                <w:lang w:eastAsia="zh-CN"/>
              </w:rPr>
            </w:pPr>
            <w:r>
              <w:rPr>
                <w:rFonts w:hint="eastAsia" w:ascii="宋体" w:hAnsi="宋体" w:cs="宋体"/>
                <w:sz w:val="24"/>
              </w:rPr>
              <w:sym w:font="Wingdings" w:char="00FE"/>
            </w:r>
            <w:r>
              <w:rPr>
                <w:rFonts w:hint="eastAsia" w:ascii="宋体" w:hAnsi="宋体" w:cs="宋体"/>
                <w:sz w:val="24"/>
              </w:rPr>
              <w:t>其他</w:t>
            </w:r>
            <w:r>
              <w:rPr>
                <w:rFonts w:hint="eastAsia" w:ascii="宋体" w:hAnsi="宋体" w:cs="宋体"/>
                <w:sz w:val="24"/>
                <w:lang w:eastAsia="zh-CN"/>
              </w:rPr>
              <w:t>（</w:t>
            </w:r>
            <w:r>
              <w:rPr>
                <w:rFonts w:hint="eastAsia" w:ascii="宋体" w:hAnsi="宋体" w:cs="宋体"/>
                <w:sz w:val="24"/>
                <w:lang w:val="en-US" w:eastAsia="zh-CN"/>
              </w:rPr>
              <w:t>线上交流</w:t>
            </w:r>
            <w:r>
              <w:rPr>
                <w:rFonts w:hint="eastAsia" w:ascii="宋体" w:hAnsi="宋体" w:cs="宋体"/>
                <w:sz w:val="24"/>
                <w:lang w:eastAsia="zh-CN"/>
              </w:rPr>
              <w:t>）</w:t>
            </w:r>
          </w:p>
        </w:tc>
      </w:tr>
      <w:tr w14:paraId="097F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5" w:type="pct"/>
            <w:vAlign w:val="center"/>
          </w:tcPr>
          <w:p w14:paraId="0A6495FD">
            <w:pPr>
              <w:spacing w:line="360" w:lineRule="auto"/>
              <w:jc w:val="center"/>
              <w:textAlignment w:val="baseline"/>
              <w:rPr>
                <w:rFonts w:ascii="宋体" w:hAnsi="宋体" w:cs="宋体"/>
                <w:sz w:val="24"/>
                <w:highlight w:val="none"/>
              </w:rPr>
            </w:pPr>
            <w:r>
              <w:rPr>
                <w:rFonts w:hint="eastAsia" w:ascii="宋体" w:hAnsi="宋体" w:cs="宋体"/>
                <w:sz w:val="24"/>
                <w:highlight w:val="none"/>
              </w:rPr>
              <w:t>参与单位</w:t>
            </w:r>
          </w:p>
          <w:p w14:paraId="0278A688">
            <w:pPr>
              <w:spacing w:line="360" w:lineRule="auto"/>
              <w:jc w:val="center"/>
              <w:textAlignment w:val="baseline"/>
              <w:rPr>
                <w:rFonts w:hint="eastAsia" w:ascii="宋体" w:hAnsi="宋体" w:cs="宋体"/>
                <w:sz w:val="24"/>
              </w:rPr>
            </w:pPr>
            <w:r>
              <w:rPr>
                <w:rFonts w:hint="eastAsia" w:ascii="宋体" w:hAnsi="宋体" w:cs="宋体"/>
                <w:sz w:val="24"/>
                <w:highlight w:val="none"/>
              </w:rPr>
              <w:t>名称</w:t>
            </w:r>
          </w:p>
        </w:tc>
        <w:tc>
          <w:tcPr>
            <w:tcW w:w="4144" w:type="pct"/>
            <w:vAlign w:val="center"/>
          </w:tcPr>
          <w:p w14:paraId="27E5DC8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微软雅黑"/>
                <w:sz w:val="24"/>
                <w:shd w:val="clear" w:color="auto" w:fill="FFFFFF"/>
                <w:lang w:val="en-US" w:eastAsia="zh-CN"/>
              </w:rPr>
            </w:pPr>
            <w:r>
              <w:rPr>
                <w:rFonts w:hint="default"/>
                <w:sz w:val="24"/>
                <w:szCs w:val="32"/>
                <w:lang w:val="en-US" w:eastAsia="zh-CN"/>
              </w:rPr>
              <w:t>中信证券</w:t>
            </w:r>
            <w:r>
              <w:rPr>
                <w:rFonts w:hint="eastAsia"/>
                <w:sz w:val="24"/>
                <w:szCs w:val="32"/>
                <w:lang w:val="en-US" w:eastAsia="zh-CN"/>
              </w:rPr>
              <w:t>、</w:t>
            </w:r>
            <w:r>
              <w:rPr>
                <w:rFonts w:hint="default"/>
                <w:sz w:val="24"/>
                <w:szCs w:val="32"/>
                <w:lang w:val="en-US" w:eastAsia="zh-CN"/>
              </w:rPr>
              <w:t>兴业证券</w:t>
            </w:r>
            <w:r>
              <w:rPr>
                <w:rFonts w:hint="eastAsia"/>
                <w:sz w:val="24"/>
                <w:szCs w:val="32"/>
                <w:lang w:val="en-US" w:eastAsia="zh-CN"/>
              </w:rPr>
              <w:t>、</w:t>
            </w:r>
            <w:r>
              <w:rPr>
                <w:rFonts w:hint="default"/>
                <w:sz w:val="24"/>
                <w:szCs w:val="32"/>
                <w:lang w:val="en-US" w:eastAsia="zh-CN"/>
              </w:rPr>
              <w:t>中信建投</w:t>
            </w:r>
            <w:r>
              <w:rPr>
                <w:rFonts w:hint="eastAsia"/>
                <w:sz w:val="24"/>
                <w:szCs w:val="32"/>
                <w:lang w:val="en-US" w:eastAsia="zh-CN"/>
              </w:rPr>
              <w:t>证券、</w:t>
            </w:r>
            <w:r>
              <w:rPr>
                <w:rFonts w:hint="default"/>
                <w:sz w:val="24"/>
                <w:szCs w:val="32"/>
                <w:lang w:val="en-US" w:eastAsia="zh-CN"/>
              </w:rPr>
              <w:t>国泰海通</w:t>
            </w:r>
            <w:r>
              <w:rPr>
                <w:rFonts w:hint="eastAsia"/>
                <w:sz w:val="24"/>
                <w:szCs w:val="32"/>
                <w:lang w:val="en-US" w:eastAsia="zh-CN"/>
              </w:rPr>
              <w:t>证券、</w:t>
            </w:r>
            <w:r>
              <w:rPr>
                <w:rFonts w:hint="default"/>
                <w:sz w:val="24"/>
                <w:szCs w:val="32"/>
                <w:lang w:val="en-US" w:eastAsia="zh-CN"/>
              </w:rPr>
              <w:t>开源证券</w:t>
            </w:r>
            <w:r>
              <w:rPr>
                <w:rFonts w:hint="eastAsia"/>
                <w:sz w:val="24"/>
                <w:szCs w:val="32"/>
                <w:lang w:val="en-US" w:eastAsia="zh-CN"/>
              </w:rPr>
              <w:t>、</w:t>
            </w:r>
            <w:r>
              <w:rPr>
                <w:rFonts w:hint="default"/>
                <w:sz w:val="24"/>
                <w:szCs w:val="32"/>
                <w:lang w:val="en-US" w:eastAsia="zh-CN"/>
              </w:rPr>
              <w:t>西南证券</w:t>
            </w:r>
            <w:r>
              <w:rPr>
                <w:rFonts w:hint="eastAsia"/>
                <w:sz w:val="24"/>
                <w:szCs w:val="32"/>
                <w:lang w:val="en-US" w:eastAsia="zh-CN"/>
              </w:rPr>
              <w:t>、</w:t>
            </w:r>
            <w:r>
              <w:rPr>
                <w:rFonts w:hint="default"/>
                <w:sz w:val="24"/>
                <w:szCs w:val="32"/>
                <w:lang w:val="en-US" w:eastAsia="zh-CN"/>
              </w:rPr>
              <w:t>国信证券</w:t>
            </w:r>
            <w:r>
              <w:rPr>
                <w:rFonts w:hint="eastAsia"/>
                <w:sz w:val="24"/>
                <w:szCs w:val="32"/>
                <w:lang w:val="en-US" w:eastAsia="zh-CN"/>
              </w:rPr>
              <w:t>、</w:t>
            </w:r>
            <w:r>
              <w:rPr>
                <w:rFonts w:hint="default"/>
                <w:sz w:val="24"/>
                <w:szCs w:val="32"/>
                <w:lang w:val="en-US" w:eastAsia="zh-CN"/>
              </w:rPr>
              <w:t>光大证券</w:t>
            </w:r>
            <w:r>
              <w:rPr>
                <w:rFonts w:hint="eastAsia"/>
                <w:sz w:val="24"/>
                <w:szCs w:val="32"/>
                <w:lang w:val="en-US" w:eastAsia="zh-CN"/>
              </w:rPr>
              <w:t>、</w:t>
            </w:r>
            <w:r>
              <w:rPr>
                <w:rFonts w:hint="default"/>
                <w:sz w:val="24"/>
                <w:szCs w:val="32"/>
                <w:lang w:val="en-US" w:eastAsia="zh-CN"/>
              </w:rPr>
              <w:t>东北证券</w:t>
            </w:r>
            <w:r>
              <w:rPr>
                <w:rFonts w:hint="eastAsia"/>
                <w:sz w:val="24"/>
                <w:szCs w:val="32"/>
                <w:lang w:val="en-US" w:eastAsia="zh-CN"/>
              </w:rPr>
              <w:t>、</w:t>
            </w:r>
            <w:r>
              <w:rPr>
                <w:rFonts w:hint="default"/>
                <w:sz w:val="24"/>
                <w:szCs w:val="32"/>
                <w:lang w:val="en-US" w:eastAsia="zh-CN"/>
              </w:rPr>
              <w:t>东吴证券</w:t>
            </w:r>
            <w:r>
              <w:rPr>
                <w:rFonts w:hint="eastAsia"/>
                <w:sz w:val="24"/>
                <w:szCs w:val="32"/>
                <w:lang w:val="en-US" w:eastAsia="zh-CN"/>
              </w:rPr>
              <w:t>、</w:t>
            </w:r>
            <w:r>
              <w:rPr>
                <w:rFonts w:hint="default"/>
                <w:sz w:val="24"/>
                <w:szCs w:val="32"/>
                <w:lang w:val="en-US" w:eastAsia="zh-CN"/>
              </w:rPr>
              <w:t>申万宏源</w:t>
            </w:r>
            <w:r>
              <w:rPr>
                <w:rFonts w:hint="eastAsia"/>
                <w:sz w:val="24"/>
                <w:szCs w:val="32"/>
                <w:lang w:val="en-US" w:eastAsia="zh-CN"/>
              </w:rPr>
              <w:t>、</w:t>
            </w:r>
            <w:r>
              <w:rPr>
                <w:rFonts w:hint="default"/>
                <w:sz w:val="24"/>
                <w:szCs w:val="32"/>
                <w:lang w:val="en-US" w:eastAsia="zh-CN"/>
              </w:rPr>
              <w:t>天风证券</w:t>
            </w:r>
            <w:r>
              <w:rPr>
                <w:rFonts w:hint="eastAsia"/>
                <w:sz w:val="24"/>
                <w:szCs w:val="32"/>
                <w:lang w:val="en-US" w:eastAsia="zh-CN"/>
              </w:rPr>
              <w:t>、</w:t>
            </w:r>
            <w:r>
              <w:rPr>
                <w:rFonts w:hint="default"/>
                <w:sz w:val="24"/>
                <w:szCs w:val="32"/>
                <w:lang w:val="en-US" w:eastAsia="zh-CN"/>
              </w:rPr>
              <w:t>国联民生</w:t>
            </w:r>
            <w:r>
              <w:rPr>
                <w:rFonts w:hint="eastAsia"/>
                <w:sz w:val="24"/>
                <w:szCs w:val="32"/>
                <w:lang w:val="en-US" w:eastAsia="zh-CN"/>
              </w:rPr>
              <w:t>、</w:t>
            </w:r>
            <w:r>
              <w:rPr>
                <w:rFonts w:hint="default"/>
                <w:sz w:val="24"/>
                <w:szCs w:val="32"/>
                <w:lang w:val="en-US" w:eastAsia="zh-CN"/>
              </w:rPr>
              <w:t>国金证券</w:t>
            </w:r>
            <w:r>
              <w:rPr>
                <w:rFonts w:hint="eastAsia"/>
                <w:sz w:val="24"/>
                <w:szCs w:val="32"/>
                <w:lang w:val="en-US" w:eastAsia="zh-CN"/>
              </w:rPr>
              <w:t>、</w:t>
            </w:r>
            <w:r>
              <w:rPr>
                <w:rFonts w:hint="default"/>
                <w:sz w:val="24"/>
                <w:szCs w:val="32"/>
                <w:lang w:val="en-US" w:eastAsia="zh-CN"/>
              </w:rPr>
              <w:t>中银证券</w:t>
            </w:r>
            <w:r>
              <w:rPr>
                <w:rFonts w:hint="eastAsia"/>
                <w:sz w:val="24"/>
                <w:szCs w:val="32"/>
                <w:lang w:val="en-US" w:eastAsia="zh-CN"/>
              </w:rPr>
              <w:t>、</w:t>
            </w:r>
            <w:r>
              <w:rPr>
                <w:rFonts w:hint="default"/>
                <w:sz w:val="24"/>
                <w:szCs w:val="32"/>
                <w:lang w:val="en-US" w:eastAsia="zh-CN"/>
              </w:rPr>
              <w:t>方正证券</w:t>
            </w:r>
            <w:r>
              <w:rPr>
                <w:rFonts w:hint="eastAsia"/>
                <w:sz w:val="24"/>
                <w:szCs w:val="32"/>
                <w:lang w:val="en-US" w:eastAsia="zh-CN"/>
              </w:rPr>
              <w:t>、</w:t>
            </w:r>
            <w:r>
              <w:rPr>
                <w:rFonts w:hint="default"/>
                <w:sz w:val="24"/>
                <w:szCs w:val="32"/>
                <w:lang w:val="en-US" w:eastAsia="zh-CN"/>
              </w:rPr>
              <w:t>华鑫证券</w:t>
            </w:r>
            <w:r>
              <w:rPr>
                <w:rFonts w:hint="eastAsia"/>
                <w:sz w:val="24"/>
                <w:szCs w:val="32"/>
                <w:lang w:val="en-US" w:eastAsia="zh-CN"/>
              </w:rPr>
              <w:t>、</w:t>
            </w:r>
            <w:r>
              <w:rPr>
                <w:rFonts w:hint="default"/>
                <w:sz w:val="24"/>
                <w:szCs w:val="32"/>
                <w:lang w:val="en-US" w:eastAsia="zh-CN"/>
              </w:rPr>
              <w:t>中泰证券</w:t>
            </w:r>
            <w:r>
              <w:rPr>
                <w:rFonts w:hint="eastAsia"/>
                <w:sz w:val="24"/>
                <w:szCs w:val="32"/>
                <w:lang w:val="en-US" w:eastAsia="zh-CN"/>
              </w:rPr>
              <w:t>、</w:t>
            </w:r>
            <w:r>
              <w:rPr>
                <w:rFonts w:hint="default"/>
                <w:sz w:val="24"/>
                <w:szCs w:val="32"/>
                <w:lang w:val="en-US" w:eastAsia="zh-CN"/>
              </w:rPr>
              <w:t>中邮证券</w:t>
            </w:r>
            <w:r>
              <w:rPr>
                <w:rFonts w:hint="eastAsia"/>
                <w:sz w:val="24"/>
                <w:szCs w:val="32"/>
                <w:lang w:val="en-US" w:eastAsia="zh-CN"/>
              </w:rPr>
              <w:t>、</w:t>
            </w:r>
            <w:r>
              <w:rPr>
                <w:rFonts w:hint="default"/>
                <w:sz w:val="24"/>
                <w:szCs w:val="32"/>
                <w:lang w:val="en-US" w:eastAsia="zh-CN"/>
              </w:rPr>
              <w:t>中金公司</w:t>
            </w:r>
            <w:r>
              <w:rPr>
                <w:rFonts w:hint="eastAsia"/>
                <w:sz w:val="24"/>
                <w:szCs w:val="32"/>
                <w:lang w:val="en-US" w:eastAsia="zh-CN"/>
              </w:rPr>
              <w:t>、</w:t>
            </w:r>
            <w:r>
              <w:rPr>
                <w:rFonts w:hint="default"/>
                <w:sz w:val="24"/>
                <w:szCs w:val="32"/>
                <w:lang w:val="en-US" w:eastAsia="zh-CN"/>
              </w:rPr>
              <w:t>东方财富证券</w:t>
            </w:r>
            <w:r>
              <w:rPr>
                <w:rFonts w:hint="eastAsia"/>
                <w:sz w:val="24"/>
                <w:szCs w:val="32"/>
                <w:lang w:val="en-US" w:eastAsia="zh-CN"/>
              </w:rPr>
              <w:t>、</w:t>
            </w:r>
            <w:r>
              <w:rPr>
                <w:rFonts w:hint="default"/>
                <w:sz w:val="24"/>
                <w:szCs w:val="32"/>
                <w:lang w:val="en-US" w:eastAsia="zh-CN"/>
              </w:rPr>
              <w:t>国寿养老</w:t>
            </w:r>
            <w:r>
              <w:rPr>
                <w:rFonts w:hint="eastAsia"/>
                <w:sz w:val="24"/>
                <w:szCs w:val="32"/>
                <w:lang w:val="en-US" w:eastAsia="zh-CN"/>
              </w:rPr>
              <w:t>、</w:t>
            </w:r>
            <w:r>
              <w:rPr>
                <w:rFonts w:hint="default"/>
                <w:sz w:val="24"/>
                <w:szCs w:val="32"/>
                <w:lang w:val="en-US" w:eastAsia="zh-CN"/>
              </w:rPr>
              <w:t>西部利得基金</w:t>
            </w:r>
            <w:r>
              <w:rPr>
                <w:rFonts w:hint="eastAsia"/>
                <w:sz w:val="24"/>
                <w:szCs w:val="32"/>
                <w:lang w:val="en-US" w:eastAsia="zh-CN"/>
              </w:rPr>
              <w:t>、</w:t>
            </w:r>
            <w:r>
              <w:rPr>
                <w:rFonts w:hint="default"/>
                <w:sz w:val="24"/>
                <w:szCs w:val="32"/>
                <w:lang w:val="en-US" w:eastAsia="zh-CN"/>
              </w:rPr>
              <w:t>瑞橡资本</w:t>
            </w:r>
            <w:r>
              <w:rPr>
                <w:rFonts w:hint="eastAsia"/>
                <w:sz w:val="24"/>
                <w:szCs w:val="32"/>
                <w:lang w:val="en-US" w:eastAsia="zh-CN"/>
              </w:rPr>
              <w:t>、</w:t>
            </w:r>
            <w:r>
              <w:rPr>
                <w:rFonts w:hint="default"/>
                <w:sz w:val="24"/>
                <w:szCs w:val="32"/>
                <w:lang w:val="en-US" w:eastAsia="zh-CN"/>
              </w:rPr>
              <w:t>国寿资产</w:t>
            </w:r>
            <w:r>
              <w:rPr>
                <w:rFonts w:hint="eastAsia"/>
                <w:sz w:val="24"/>
                <w:szCs w:val="32"/>
                <w:lang w:val="en-US" w:eastAsia="zh-CN"/>
              </w:rPr>
              <w:t>、</w:t>
            </w:r>
            <w:r>
              <w:rPr>
                <w:rFonts w:hint="default"/>
                <w:sz w:val="24"/>
                <w:szCs w:val="32"/>
                <w:lang w:val="en-US" w:eastAsia="zh-CN"/>
              </w:rPr>
              <w:t>浙商资管</w:t>
            </w:r>
            <w:r>
              <w:rPr>
                <w:rFonts w:hint="eastAsia"/>
                <w:sz w:val="24"/>
                <w:szCs w:val="32"/>
                <w:lang w:val="en-US" w:eastAsia="zh-CN"/>
              </w:rPr>
              <w:t>、</w:t>
            </w:r>
            <w:r>
              <w:rPr>
                <w:rFonts w:hint="default"/>
                <w:sz w:val="24"/>
                <w:szCs w:val="32"/>
                <w:lang w:val="en-US" w:eastAsia="zh-CN"/>
              </w:rPr>
              <w:t>中融汇信</w:t>
            </w:r>
            <w:r>
              <w:rPr>
                <w:rFonts w:hint="eastAsia"/>
                <w:sz w:val="24"/>
                <w:szCs w:val="32"/>
                <w:lang w:val="en-US" w:eastAsia="zh-CN"/>
              </w:rPr>
              <w:t>、</w:t>
            </w:r>
            <w:r>
              <w:rPr>
                <w:rFonts w:hint="default"/>
                <w:sz w:val="24"/>
                <w:szCs w:val="32"/>
                <w:lang w:val="en-US" w:eastAsia="zh-CN"/>
              </w:rPr>
              <w:t>荷荷私募基金</w:t>
            </w:r>
            <w:r>
              <w:rPr>
                <w:rFonts w:hint="eastAsia"/>
                <w:sz w:val="24"/>
                <w:szCs w:val="32"/>
                <w:lang w:val="en-US" w:eastAsia="zh-CN"/>
              </w:rPr>
              <w:t>、</w:t>
            </w:r>
            <w:r>
              <w:rPr>
                <w:rFonts w:hint="default"/>
                <w:sz w:val="24"/>
                <w:szCs w:val="32"/>
                <w:lang w:val="en-US" w:eastAsia="zh-CN"/>
              </w:rPr>
              <w:t>呈瑞投资</w:t>
            </w:r>
            <w:r>
              <w:rPr>
                <w:rFonts w:hint="eastAsia"/>
                <w:sz w:val="24"/>
                <w:szCs w:val="32"/>
                <w:lang w:val="en-US" w:eastAsia="zh-CN"/>
              </w:rPr>
              <w:t>、</w:t>
            </w:r>
            <w:r>
              <w:rPr>
                <w:rFonts w:hint="default"/>
                <w:sz w:val="24"/>
                <w:szCs w:val="32"/>
                <w:lang w:val="en-US" w:eastAsia="zh-CN"/>
              </w:rPr>
              <w:t>易鑫安投研</w:t>
            </w:r>
            <w:r>
              <w:rPr>
                <w:rFonts w:hint="eastAsia"/>
                <w:sz w:val="24"/>
                <w:szCs w:val="32"/>
                <w:lang w:val="en-US" w:eastAsia="zh-CN"/>
              </w:rPr>
              <w:t>、</w:t>
            </w:r>
            <w:r>
              <w:rPr>
                <w:rFonts w:hint="default"/>
                <w:sz w:val="24"/>
                <w:szCs w:val="32"/>
                <w:lang w:val="en-US" w:eastAsia="zh-CN"/>
              </w:rPr>
              <w:t>中英人寿</w:t>
            </w:r>
            <w:r>
              <w:rPr>
                <w:rFonts w:hint="eastAsia"/>
                <w:sz w:val="24"/>
                <w:szCs w:val="32"/>
                <w:lang w:val="en-US" w:eastAsia="zh-CN"/>
              </w:rPr>
              <w:t>、</w:t>
            </w:r>
            <w:r>
              <w:rPr>
                <w:rFonts w:hint="default"/>
                <w:sz w:val="24"/>
                <w:szCs w:val="32"/>
                <w:lang w:val="en-US" w:eastAsia="zh-CN"/>
              </w:rPr>
              <w:t>红土创新基金</w:t>
            </w:r>
            <w:r>
              <w:rPr>
                <w:rFonts w:hint="eastAsia"/>
                <w:sz w:val="24"/>
                <w:szCs w:val="32"/>
                <w:lang w:val="en-US" w:eastAsia="zh-CN"/>
              </w:rPr>
              <w:t>、</w:t>
            </w:r>
            <w:r>
              <w:rPr>
                <w:rFonts w:hint="default"/>
                <w:sz w:val="24"/>
                <w:szCs w:val="32"/>
                <w:lang w:val="en-US" w:eastAsia="zh-CN"/>
              </w:rPr>
              <w:t>华杰高景</w:t>
            </w:r>
            <w:r>
              <w:rPr>
                <w:rFonts w:hint="eastAsia"/>
                <w:sz w:val="24"/>
                <w:szCs w:val="32"/>
                <w:lang w:val="en-US" w:eastAsia="zh-CN"/>
              </w:rPr>
              <w:t>、</w:t>
            </w:r>
            <w:r>
              <w:rPr>
                <w:rFonts w:hint="default"/>
                <w:sz w:val="24"/>
                <w:szCs w:val="32"/>
                <w:lang w:val="en-US" w:eastAsia="zh-CN"/>
              </w:rPr>
              <w:t>和谐汇一</w:t>
            </w:r>
            <w:r>
              <w:rPr>
                <w:rFonts w:hint="eastAsia"/>
                <w:sz w:val="24"/>
                <w:szCs w:val="32"/>
                <w:lang w:val="en-US" w:eastAsia="zh-CN"/>
              </w:rPr>
              <w:t>、</w:t>
            </w:r>
            <w:r>
              <w:rPr>
                <w:rFonts w:hint="default"/>
                <w:sz w:val="24"/>
                <w:szCs w:val="32"/>
                <w:lang w:val="en-US" w:eastAsia="zh-CN"/>
              </w:rPr>
              <w:t>承势资本</w:t>
            </w:r>
          </w:p>
        </w:tc>
      </w:tr>
      <w:tr w14:paraId="1F0A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5" w:type="pct"/>
            <w:vAlign w:val="center"/>
          </w:tcPr>
          <w:p w14:paraId="1E4E99EE">
            <w:pPr>
              <w:spacing w:line="360" w:lineRule="auto"/>
              <w:jc w:val="center"/>
              <w:textAlignment w:val="baseline"/>
              <w:rPr>
                <w:rFonts w:ascii="宋体" w:hAnsi="宋体" w:cs="宋体"/>
                <w:sz w:val="24"/>
              </w:rPr>
            </w:pPr>
            <w:r>
              <w:rPr>
                <w:rFonts w:hint="eastAsia" w:ascii="宋体" w:hAnsi="宋体" w:cs="宋体"/>
                <w:sz w:val="24"/>
              </w:rPr>
              <w:t>时间</w:t>
            </w:r>
          </w:p>
        </w:tc>
        <w:tc>
          <w:tcPr>
            <w:tcW w:w="4144" w:type="pct"/>
            <w:vAlign w:val="center"/>
          </w:tcPr>
          <w:p w14:paraId="2849956F">
            <w:pPr>
              <w:spacing w:line="360" w:lineRule="auto"/>
              <w:rPr>
                <w:rFonts w:hint="default" w:ascii="宋体" w:hAnsi="宋体" w:eastAsia="宋体" w:cs="微软雅黑"/>
                <w:color w:val="auto"/>
                <w:sz w:val="24"/>
                <w:shd w:val="clear" w:color="auto" w:fill="FFFFFF"/>
                <w:lang w:val="en-US" w:eastAsia="zh-CN"/>
              </w:rPr>
            </w:pPr>
            <w:r>
              <w:rPr>
                <w:rFonts w:hint="default" w:ascii="宋体" w:hAnsi="宋体" w:eastAsia="宋体" w:cs="微软雅黑"/>
                <w:color w:val="auto"/>
                <w:sz w:val="24"/>
                <w:shd w:val="clear" w:color="auto" w:fill="FFFFFF"/>
                <w:lang w:val="en-US" w:eastAsia="zh-CN"/>
              </w:rPr>
              <w:t>2026年</w:t>
            </w:r>
            <w:r>
              <w:rPr>
                <w:rFonts w:hint="eastAsia" w:ascii="宋体" w:hAnsi="宋体" w:cs="微软雅黑"/>
                <w:color w:val="auto"/>
                <w:sz w:val="24"/>
                <w:shd w:val="clear" w:color="auto" w:fill="FFFFFF"/>
                <w:lang w:val="en-US" w:eastAsia="zh-CN"/>
              </w:rPr>
              <w:t>9</w:t>
            </w:r>
            <w:r>
              <w:rPr>
                <w:rFonts w:hint="default" w:ascii="宋体" w:hAnsi="宋体" w:eastAsia="宋体" w:cs="微软雅黑"/>
                <w:color w:val="auto"/>
                <w:sz w:val="24"/>
                <w:shd w:val="clear" w:color="auto" w:fill="FFFFFF"/>
                <w:lang w:val="en-US" w:eastAsia="zh-CN"/>
              </w:rPr>
              <w:t>月</w:t>
            </w:r>
            <w:r>
              <w:rPr>
                <w:rFonts w:hint="eastAsia" w:ascii="宋体" w:hAnsi="宋体" w:cs="微软雅黑"/>
                <w:color w:val="auto"/>
                <w:sz w:val="24"/>
                <w:shd w:val="clear" w:color="auto" w:fill="FFFFFF"/>
                <w:lang w:val="en-US" w:eastAsia="zh-CN"/>
              </w:rPr>
              <w:t>1</w:t>
            </w:r>
            <w:r>
              <w:rPr>
                <w:rFonts w:hint="default" w:ascii="宋体" w:hAnsi="宋体" w:eastAsia="宋体" w:cs="微软雅黑"/>
                <w:color w:val="auto"/>
                <w:sz w:val="24"/>
                <w:shd w:val="clear" w:color="auto" w:fill="FFFFFF"/>
                <w:lang w:val="en-US" w:eastAsia="zh-CN"/>
              </w:rPr>
              <w:t>日</w:t>
            </w:r>
            <w:r>
              <w:rPr>
                <w:rFonts w:hint="eastAsia" w:ascii="宋体" w:hAnsi="宋体" w:cs="微软雅黑"/>
                <w:color w:val="auto"/>
                <w:sz w:val="24"/>
                <w:shd w:val="clear" w:color="auto" w:fill="FFFFFF"/>
                <w:lang w:val="en-US" w:eastAsia="zh-CN"/>
              </w:rPr>
              <w:t>—9月3日</w:t>
            </w:r>
          </w:p>
        </w:tc>
      </w:tr>
      <w:tr w14:paraId="477C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5" w:type="pct"/>
            <w:vAlign w:val="center"/>
          </w:tcPr>
          <w:p w14:paraId="44754076">
            <w:pPr>
              <w:spacing w:line="360" w:lineRule="auto"/>
              <w:jc w:val="center"/>
              <w:textAlignment w:val="baseline"/>
              <w:rPr>
                <w:rFonts w:ascii="宋体" w:hAnsi="宋体" w:cs="宋体"/>
                <w:sz w:val="24"/>
              </w:rPr>
            </w:pPr>
            <w:r>
              <w:rPr>
                <w:rFonts w:hint="eastAsia" w:ascii="宋体" w:hAnsi="宋体" w:cs="宋体"/>
                <w:sz w:val="24"/>
              </w:rPr>
              <w:t>地点</w:t>
            </w:r>
          </w:p>
        </w:tc>
        <w:tc>
          <w:tcPr>
            <w:tcW w:w="4144" w:type="pct"/>
            <w:vAlign w:val="center"/>
          </w:tcPr>
          <w:p w14:paraId="031C52FE">
            <w:pPr>
              <w:spacing w:line="360" w:lineRule="auto"/>
              <w:rPr>
                <w:rFonts w:hint="default" w:ascii="宋体" w:hAnsi="宋体" w:eastAsia="宋体" w:cs="微软雅黑"/>
                <w:color w:val="auto"/>
                <w:sz w:val="24"/>
                <w:shd w:val="clear" w:color="auto" w:fill="FFFFFF"/>
                <w:lang w:val="en-US" w:eastAsia="zh-CN"/>
              </w:rPr>
            </w:pPr>
            <w:r>
              <w:rPr>
                <w:rFonts w:hint="eastAsia" w:ascii="宋体" w:hAnsi="宋体" w:cs="微软雅黑"/>
                <w:color w:val="auto"/>
                <w:sz w:val="24"/>
                <w:shd w:val="clear" w:color="auto" w:fill="FFFFFF"/>
                <w:lang w:val="en-US" w:eastAsia="zh-CN"/>
              </w:rPr>
              <w:t>线上交流</w:t>
            </w:r>
          </w:p>
        </w:tc>
      </w:tr>
      <w:tr w14:paraId="1D5B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5" w:type="pct"/>
            <w:vAlign w:val="center"/>
          </w:tcPr>
          <w:p w14:paraId="6E0FFB8C">
            <w:pPr>
              <w:spacing w:line="360" w:lineRule="auto"/>
              <w:jc w:val="center"/>
              <w:textAlignment w:val="baseline"/>
              <w:rPr>
                <w:rFonts w:ascii="宋体" w:hAnsi="宋体" w:cs="宋体"/>
                <w:sz w:val="24"/>
              </w:rPr>
            </w:pPr>
            <w:r>
              <w:rPr>
                <w:rFonts w:hint="eastAsia" w:ascii="宋体" w:hAnsi="宋体" w:cs="宋体"/>
                <w:sz w:val="24"/>
              </w:rPr>
              <w:t>上市公司接待人员姓名</w:t>
            </w:r>
          </w:p>
        </w:tc>
        <w:tc>
          <w:tcPr>
            <w:tcW w:w="4144" w:type="pct"/>
            <w:vAlign w:val="center"/>
          </w:tcPr>
          <w:p w14:paraId="799CE4AC">
            <w:pPr>
              <w:spacing w:line="360" w:lineRule="auto"/>
              <w:rPr>
                <w:rFonts w:hint="eastAsia" w:ascii="宋体" w:hAnsi="宋体" w:cs="宋体"/>
                <w:b w:val="0"/>
                <w:bCs w:val="0"/>
                <w:sz w:val="24"/>
                <w:lang w:val="en-US" w:eastAsia="zh-CN"/>
              </w:rPr>
            </w:pPr>
            <w:r>
              <w:rPr>
                <w:rFonts w:hint="eastAsia" w:ascii="宋体" w:hAnsi="宋体" w:cs="宋体"/>
                <w:b w:val="0"/>
                <w:bCs w:val="0"/>
                <w:sz w:val="24"/>
                <w:lang w:val="en-US" w:eastAsia="zh-CN"/>
              </w:rPr>
              <w:t>董事长、总经理、技术总监：何永正</w:t>
            </w:r>
          </w:p>
          <w:p w14:paraId="74B40A0F">
            <w:pPr>
              <w:spacing w:line="360" w:lineRule="auto"/>
              <w:rPr>
                <w:rFonts w:hint="default" w:ascii="宋体" w:hAnsi="宋体" w:cs="宋体"/>
                <w:b w:val="0"/>
                <w:bCs w:val="0"/>
                <w:sz w:val="24"/>
                <w:lang w:val="en-US" w:eastAsia="zh-CN"/>
              </w:rPr>
            </w:pPr>
            <w:r>
              <w:rPr>
                <w:rFonts w:hint="eastAsia" w:ascii="宋体" w:hAnsi="宋体" w:cs="宋体"/>
                <w:b w:val="0"/>
                <w:bCs w:val="0"/>
                <w:sz w:val="24"/>
                <w:lang w:val="en-US" w:eastAsia="zh-CN"/>
              </w:rPr>
              <w:t>财务总监：金宏峰</w:t>
            </w:r>
          </w:p>
          <w:p w14:paraId="080260B1">
            <w:pPr>
              <w:spacing w:line="360" w:lineRule="auto"/>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董秘助理、投资总监：</w:t>
            </w:r>
            <w:r>
              <w:rPr>
                <w:rFonts w:hint="eastAsia" w:ascii="宋体" w:hAnsi="宋体" w:eastAsia="宋体" w:cs="宋体"/>
                <w:b w:val="0"/>
                <w:bCs w:val="0"/>
                <w:sz w:val="24"/>
                <w:lang w:val="en-US" w:eastAsia="zh-CN"/>
              </w:rPr>
              <w:t>史晓夏</w:t>
            </w:r>
          </w:p>
          <w:p w14:paraId="500C1FC5">
            <w:pPr>
              <w:spacing w:line="360" w:lineRule="auto"/>
              <w:rPr>
                <w:rFonts w:hint="default" w:ascii="宋体" w:hAnsi="宋体" w:eastAsia="宋体" w:cs="宋体"/>
                <w:b w:val="0"/>
                <w:bCs w:val="0"/>
                <w:sz w:val="24"/>
                <w:lang w:val="en-US" w:eastAsia="zh-CN"/>
              </w:rPr>
            </w:pPr>
            <w:r>
              <w:rPr>
                <w:rFonts w:hint="eastAsia" w:ascii="宋体" w:hAnsi="宋体" w:cs="宋体"/>
                <w:b w:val="0"/>
                <w:bCs w:val="0"/>
                <w:sz w:val="24"/>
                <w:lang w:val="en-US" w:eastAsia="zh-CN"/>
              </w:rPr>
              <w:t>证券事务代表：吴利东</w:t>
            </w:r>
          </w:p>
        </w:tc>
      </w:tr>
      <w:tr w14:paraId="32A0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55" w:type="pct"/>
            <w:vAlign w:val="center"/>
          </w:tcPr>
          <w:p w14:paraId="3974E488">
            <w:pPr>
              <w:spacing w:line="360" w:lineRule="auto"/>
              <w:jc w:val="center"/>
              <w:textAlignment w:val="baseline"/>
              <w:rPr>
                <w:rFonts w:ascii="宋体" w:hAnsi="宋体" w:cs="宋体"/>
                <w:sz w:val="24"/>
              </w:rPr>
            </w:pPr>
            <w:r>
              <w:rPr>
                <w:rFonts w:hint="eastAsia" w:ascii="宋体" w:hAnsi="宋体" w:cs="宋体"/>
                <w:sz w:val="24"/>
              </w:rPr>
              <w:t>投资者关系活动主要内容介绍</w:t>
            </w:r>
          </w:p>
        </w:tc>
        <w:tc>
          <w:tcPr>
            <w:tcW w:w="4144" w:type="pct"/>
            <w:vAlign w:val="center"/>
          </w:tcPr>
          <w:p w14:paraId="59055B3D">
            <w:pPr>
              <w:spacing w:line="360" w:lineRule="auto"/>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一、2026年上半年经营概览</w:t>
            </w:r>
          </w:p>
          <w:p w14:paraId="5F4A9ED3">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上半年公司实现营业收入37,316.80万元，同比增长3.93%；归母净利润3,965.62万元，同比增长12.04%；扣非后归母净利润2,892.88万元，同比增长25.59%；扣除股份支付影响后净利润5,857.04万元，同比增长87.79%。利润增速显著快于收入增速，扣非后净利润增速又快于扣非前净利润增速，盈利拐点进一步确认。</w:t>
            </w:r>
          </w:p>
          <w:p w14:paraId="0C2B5496">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盈利改善的背后，是营销体系的提质增效。上半年销售费用同比下降5.30%，公司在收入保持稳定增长的同时实现对销售费用的有效管控，得益于营销团队结构优化和精细化管理，费用效率在有效提升。</w:t>
            </w:r>
          </w:p>
          <w:p w14:paraId="5B55953B">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两个先行指标决定下半年的确定性：一是合同负债2.01亿元，较年初增长10.75%，公司采取预收款模式，合同负债即订单蓄水池；二是存货较年初增加5,386.90万元，系为在手订单主动备货，经营性现金流的阶段性下降正源于此。</w:t>
            </w:r>
          </w:p>
          <w:p w14:paraId="7ACB78BC">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战略层面最大的变化，是脑机接口从技术布局进入商业化兑现期。政策端，国家医保局已为脑机接口单独立项收费，全国近20个省份出台价格标准，临床收费通道全面打通；产品端，多款非侵入式脑电诱发设备取得二类医疗器械注册证，产品进入全国数百家三甲医院；平台端，公司牵头获批国内首个省级脑机接口康复设备技术创新中心，并牵头国家重点研发计划“新一代数智化针灸诊疗关键技术和产品研发”项目。上半年新增注册证34项，累计428项；研发投入8,669.14万元，占营业收入的23.23%，保持行业领先的研发强度。公司已披露上市以来首个定增预案，募集资金将集中投向脑机接口和康复机器人，把先发优势转化为规模优势。</w:t>
            </w:r>
          </w:p>
          <w:p w14:paraId="59790546">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财务方面，公司货币资金及理财类现金资产合计约9.5亿元，覆盖全部有息负债后净现金约3.8亿元；公司分红比例持续保持在30%以上，2026年度将坚持分红比例不低于30%，持续践行“提质增效重回报”行动方案。</w:t>
            </w:r>
            <w:bookmarkStart w:id="0" w:name="_GoBack"/>
            <w:bookmarkEnd w:id="0"/>
          </w:p>
          <w:p w14:paraId="4397F161">
            <w:pPr>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总结而言，公司坚定认为当前正处于康复医疗智能化升级的黄金布局期。</w:t>
            </w:r>
          </w:p>
          <w:p w14:paraId="6F2F7C96">
            <w:pPr>
              <w:spacing w:line="360" w:lineRule="auto"/>
              <w:ind w:firstLine="482" w:firstLineChars="200"/>
              <w:rPr>
                <w:rFonts w:hint="default" w:ascii="宋体" w:hAnsi="宋体" w:cs="宋体"/>
                <w:b/>
                <w:bCs/>
                <w:sz w:val="24"/>
                <w:szCs w:val="24"/>
                <w:lang w:val="en-US" w:eastAsia="zh-CN"/>
              </w:rPr>
            </w:pPr>
            <w:r>
              <w:rPr>
                <w:rFonts w:hint="eastAsia" w:ascii="宋体" w:hAnsi="宋体" w:cs="宋体"/>
                <w:b/>
                <w:bCs/>
                <w:sz w:val="24"/>
                <w:szCs w:val="24"/>
                <w:lang w:val="en-US" w:eastAsia="zh-CN"/>
              </w:rPr>
              <w:t>二</w:t>
            </w: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问答交流</w:t>
            </w:r>
          </w:p>
          <w:p w14:paraId="3AA7D9E0">
            <w:pPr>
              <w:spacing w:line="360" w:lineRule="auto"/>
              <w:ind w:firstLine="482" w:firstLineChars="200"/>
              <w:rPr>
                <w:rFonts w:hint="default" w:ascii="宋体" w:hAnsi="宋体" w:cs="宋体"/>
                <w:sz w:val="24"/>
                <w:szCs w:val="24"/>
                <w:lang w:val="en-US" w:eastAsia="zh-CN"/>
              </w:rPr>
            </w:pPr>
            <w:r>
              <w:rPr>
                <w:rFonts w:hint="default" w:ascii="宋体" w:hAnsi="宋体" w:eastAsia="宋体" w:cs="宋体"/>
                <w:b/>
                <w:bCs/>
                <w:sz w:val="24"/>
                <w:szCs w:val="24"/>
                <w:lang w:val="en-US" w:eastAsia="zh-CN"/>
              </w:rPr>
              <w:t>1、作为国内首个聚焦磁共振技术方向的脑机接口专项创新联盟——磁共振脑机接口创新联盟重要成员单位，请问公司后续如何与天津大学等携手，共同推进脑机接口的产业化应用？</w:t>
            </w:r>
          </w:p>
          <w:p w14:paraId="1E746631">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公司在非侵入式脑机接口领域，除产业化布局外，同步开展产学研工作。公司参与共建磁共振脑机接口创新联盟，对比脑机接口康复训练前后患者核磁共振等脑功能检测结果，为疗效提供高质量的循证医学证据。作为联盟重要成员单位，翔宇医疗将与天津大学、联影医疗等行业顶尖力量携手，全力打通“采集</w:t>
            </w:r>
            <w:r>
              <w:rPr>
                <w:rFonts w:hint="eastAsia" w:ascii="宋体" w:hAnsi="宋体" w:cs="宋体"/>
                <w:sz w:val="24"/>
                <w:szCs w:val="24"/>
                <w:lang w:val="en-US" w:eastAsia="zh-CN"/>
              </w:rPr>
              <w:t>－</w:t>
            </w:r>
            <w:r>
              <w:rPr>
                <w:rFonts w:hint="default" w:ascii="宋体" w:hAnsi="宋体" w:cs="宋体"/>
                <w:sz w:val="24"/>
                <w:szCs w:val="24"/>
                <w:lang w:val="en-US" w:eastAsia="zh-CN"/>
              </w:rPr>
              <w:t>解码</w:t>
            </w:r>
            <w:r>
              <w:rPr>
                <w:rFonts w:hint="eastAsia" w:ascii="宋体" w:hAnsi="宋体" w:cs="宋体"/>
                <w:sz w:val="24"/>
                <w:szCs w:val="24"/>
                <w:lang w:val="en-US" w:eastAsia="zh-CN"/>
              </w:rPr>
              <w:t>－</w:t>
            </w:r>
            <w:r>
              <w:rPr>
                <w:rFonts w:hint="default" w:ascii="宋体" w:hAnsi="宋体" w:cs="宋体"/>
                <w:sz w:val="24"/>
                <w:szCs w:val="24"/>
                <w:lang w:val="en-US" w:eastAsia="zh-CN"/>
              </w:rPr>
              <w:t>调控</w:t>
            </w:r>
            <w:r>
              <w:rPr>
                <w:rFonts w:hint="eastAsia" w:ascii="宋体" w:hAnsi="宋体" w:cs="宋体"/>
                <w:sz w:val="24"/>
                <w:szCs w:val="24"/>
                <w:lang w:val="en-US" w:eastAsia="zh-CN"/>
              </w:rPr>
              <w:t>－</w:t>
            </w:r>
            <w:r>
              <w:rPr>
                <w:rFonts w:hint="default" w:ascii="宋体" w:hAnsi="宋体" w:cs="宋体"/>
                <w:sz w:val="24"/>
                <w:szCs w:val="24"/>
                <w:lang w:val="en-US" w:eastAsia="zh-CN"/>
              </w:rPr>
              <w:t>评估”全链条，推动我国脑机接口技术从科研攻关加速走向规模化产业应用。</w:t>
            </w:r>
          </w:p>
          <w:p w14:paraId="00E33DCF">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2、脑机接口医保收费目录各地方落地情况？若全面落地，潜在人群规模、渗透率以及市场规模预期？</w:t>
            </w:r>
          </w:p>
          <w:p w14:paraId="08857F4C">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根据国家医保局发布对脑机接口康复收费的指导意见，目前已有约20个省市出台脑机接口相关收费标准，这些都是推进脑机接口产业快速发展的积极信号。随着行业发展及政策推进，后续收费标准的清晰度和适配性将进一步提升。各地具体执行细则（如收费涵盖内容、频次限制、与传统项目关系等）仍在明确中，公司将持续关注政策动态。潜在人群适应症包含脑卒中、脊髓损伤、帕金森等认知障碍、睡眠障碍等，适用人群基数庞大，但市场落地仍需一定时间。</w:t>
            </w:r>
          </w:p>
          <w:p w14:paraId="6F8F4049">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3、公司今年上半年Top5产品拆分占比、增长情况，对比往年有无变化？国家药监局脑机接口医疗器械分类界定指导原则出台后，公司产品研发与临床试验是否会加快？后续研发费用率如何展望？</w:t>
            </w:r>
          </w:p>
          <w:p w14:paraId="5D09971E">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答：公司Top5产品整体占比维持原有水平并略有提升，冲击波等部分产品的市场占有率位居行业前列，新产品销售额不断增加。</w:t>
            </w:r>
          </w:p>
          <w:p w14:paraId="5023271F">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国家药监局分类界定标准出台后，公司多款脑机接口产品注册准备工作正在有序推进，公司“脑机接口技术+自有康复设备”的一体化产品整合优势，有望进一步提升公司的产品竞争力。公司坚持研发引领、创新驱动发展战略，研发投入将保持稳定合理水平；后续将在现有研发基础上进行细化、深化、升级，研发费用率将维持在稳定水平。</w:t>
            </w:r>
          </w:p>
          <w:p w14:paraId="0792FFA2">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4、公司如何看待侵入式与非侵入式两条技术路线下脑机接口的发展潜力？结合国家近年来的各项政策与指导意见，如何解读行业发展前景？</w:t>
            </w:r>
          </w:p>
          <w:p w14:paraId="664E9BBB">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公司目前在脑机接口领域的技术路径以非侵入式为主。非侵入式脑机接口技术具有安全有效、适应症广等优势，应用场景聚焦康复医疗，与公司二十余年的康复医疗器械主业高度契合。公司对侵入式持谨慎态度，但持续关注该方向的基础研究，两者均在损伤控制、信号精度与治疗效果间寻找平衡，最终会实现技术及治疗效果的高度统一。目前，多地已陆续发布相关收费目录，可结合传统康复收费、脑电采集收费等方式实现临床应用。</w:t>
            </w:r>
          </w:p>
          <w:p w14:paraId="124674E1">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5、脑机接口康复设备对比传统被动康复设备的定价溢价、毛利率水平？技术壁垒预计能维持多久？</w:t>
            </w:r>
          </w:p>
          <w:p w14:paraId="63AD4EB8">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w:t>
            </w:r>
            <w:r>
              <w:rPr>
                <w:rFonts w:hint="eastAsia" w:ascii="宋体" w:hAnsi="宋体" w:cs="宋体"/>
                <w:sz w:val="24"/>
                <w:szCs w:val="24"/>
                <w:lang w:val="en-US" w:eastAsia="zh-CN"/>
              </w:rPr>
              <w:t>在</w:t>
            </w:r>
            <w:r>
              <w:rPr>
                <w:rFonts w:hint="default" w:ascii="宋体" w:hAnsi="宋体" w:cs="宋体"/>
                <w:sz w:val="24"/>
                <w:szCs w:val="24"/>
                <w:lang w:val="en-US" w:eastAsia="zh-CN"/>
              </w:rPr>
              <w:t>市场定价上，公司综合考虑医院支付能力、医保支付标准以及研发投入回收，最终会根据医院端接受度和医保标准动态调整。相比依赖外购核心部件或单纯提供采集装置的公司，翔宇医疗具备较强的成本竞争力。</w:t>
            </w:r>
          </w:p>
          <w:p w14:paraId="0B564F33">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公司的核心优势在于“脑机接口技术+自有康复设备”的深度融合，公司自研芯片、电极、算法、整机等脑机接口核心部件和技术，同时具备行业内较全体系的康复装备基础，且脑电采集装置和康复设备实现了较好的兼容性及链接。公司提供的是脑机接口赋能的整套解决方案，而非单点产品。这种“一体化”研发模式在设备兼容性、稳定性和迭代速度上，为公司脑机接口布局与发展构建了较宽的护城河。</w:t>
            </w:r>
          </w:p>
          <w:p w14:paraId="3636B280">
            <w:pPr>
              <w:spacing w:line="360" w:lineRule="auto"/>
              <w:ind w:firstLine="482" w:firstLineChars="200"/>
              <w:rPr>
                <w:rFonts w:hint="default" w:ascii="宋体" w:hAnsi="宋体" w:cs="宋体"/>
                <w:sz w:val="24"/>
                <w:szCs w:val="24"/>
                <w:lang w:val="en-US" w:eastAsia="zh-CN"/>
              </w:rPr>
            </w:pPr>
            <w:r>
              <w:rPr>
                <w:rFonts w:hint="default" w:ascii="宋体" w:hAnsi="宋体" w:eastAsia="宋体" w:cs="宋体"/>
                <w:b/>
                <w:bCs/>
                <w:sz w:val="24"/>
                <w:szCs w:val="24"/>
                <w:lang w:val="en-US" w:eastAsia="zh-CN"/>
              </w:rPr>
              <w:t>6、从今年情况看，康复设备行业整体景气度如何，是否受到行业监管政策影响？请展望全年及未来2至3年行业增长情况。</w:t>
            </w:r>
          </w:p>
          <w:p w14:paraId="71AC4CA2">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答：从政策支持、需求升级、技术迭代等方面看，康复行业整体结构向好。但受多重压力的影响，院端购买力恢复还需要一个过程。</w:t>
            </w:r>
          </w:p>
          <w:p w14:paraId="69EAAC0E">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公司基于专病专科临床需求和康复市场发展需要，持续研发、优化临床所需的康复装备，完善专病专科及全院临床康复一体化解决方案。在优势领域精耕细作的同时，将在康复机器人、脑机接口、AI医疗、精神心理、心肺康复等领域推出更多满足临床需求和医康养护市场需求的产品及解决方案。同时，公司加大院外、居家、出口等业务的营销力度，积极开辟新的增长曲线。</w:t>
            </w:r>
          </w:p>
          <w:p w14:paraId="6EDA8976">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7、公司下肢外骨骼机器人布局，叠加非侵入式脑机接口产品进展，商业化目标？</w:t>
            </w:r>
          </w:p>
          <w:p w14:paraId="1BCC60F0">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公司外骨骼机器人是一个产品系列，包括刚性的、柔性的，医用级、消费级，带脑机接口的、不带脑机接口的等全面的布局，可以满足多元化的市场需求。短期内公司外骨骼机器人仍以医用为主，适用于康复医院、社区康复中心等场景。中长期，公司将逐步完善家用版产品，针对术后康复、居家训练及老年人辅助行走等方向，打造“医院—家庭”双场景产品的布局。</w:t>
            </w:r>
          </w:p>
          <w:p w14:paraId="66CDE648">
            <w:pPr>
              <w:spacing w:line="360" w:lineRule="auto"/>
              <w:ind w:firstLine="482" w:firstLineChars="200"/>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8、请展望公司全年收入与利润的体量？</w:t>
            </w:r>
          </w:p>
          <w:p w14:paraId="3C6816F9">
            <w:pPr>
              <w:spacing w:line="360" w:lineRule="auto"/>
              <w:ind w:firstLine="480" w:firstLineChars="200"/>
              <w:rPr>
                <w:rFonts w:hint="default" w:ascii="宋体" w:hAnsi="宋体" w:cs="宋体"/>
                <w:sz w:val="24"/>
                <w:szCs w:val="24"/>
                <w:lang w:val="en-US" w:eastAsia="zh-CN"/>
              </w:rPr>
            </w:pPr>
            <w:r>
              <w:rPr>
                <w:rFonts w:hint="default" w:ascii="宋体" w:hAnsi="宋体" w:cs="宋体"/>
                <w:sz w:val="24"/>
                <w:szCs w:val="24"/>
                <w:lang w:val="en-US" w:eastAsia="zh-CN"/>
              </w:rPr>
              <w:t>答：从一、二季度单季的同比与环比表现看，公司经营态势稳中向好，具备延续性，对下半年更有信心：一是合同负债约2亿元，处于近年高位，较年初增长10%以上，快于营收增速；二是在手订单主动备货充分，营销团队正积极推动脑机接口产品的招标转化，以及通过科研合作、科研经费</w:t>
            </w:r>
            <w:r>
              <w:rPr>
                <w:rFonts w:hint="eastAsia" w:ascii="宋体" w:hAnsi="宋体" w:cs="宋体"/>
                <w:sz w:val="24"/>
                <w:szCs w:val="24"/>
                <w:lang w:val="en-US" w:eastAsia="zh-CN"/>
              </w:rPr>
              <w:t>等</w:t>
            </w:r>
            <w:r>
              <w:rPr>
                <w:rFonts w:hint="default" w:ascii="宋体" w:hAnsi="宋体" w:cs="宋体"/>
                <w:sz w:val="24"/>
                <w:szCs w:val="24"/>
                <w:lang w:val="en-US" w:eastAsia="zh-CN"/>
              </w:rPr>
              <w:t>方式实现销售收入转化，公司预计下半年有望好于上半年，短期内对市场环境仍须保持谨慎乐观。</w:t>
            </w:r>
          </w:p>
        </w:tc>
      </w:tr>
      <w:tr w14:paraId="7A36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855" w:type="pct"/>
            <w:vAlign w:val="center"/>
          </w:tcPr>
          <w:p w14:paraId="583E074C">
            <w:pPr>
              <w:spacing w:line="360" w:lineRule="auto"/>
              <w:jc w:val="both"/>
              <w:textAlignment w:val="baseline"/>
              <w:rPr>
                <w:rFonts w:ascii="宋体" w:hAnsi="宋体" w:cs="宋体"/>
                <w:sz w:val="24"/>
              </w:rPr>
            </w:pPr>
            <w:r>
              <w:rPr>
                <w:rFonts w:hint="eastAsia" w:ascii="宋体" w:hAnsi="宋体" w:cs="宋体"/>
                <w:sz w:val="24"/>
              </w:rPr>
              <w:t>是否涉及应披露重大信息</w:t>
            </w:r>
          </w:p>
        </w:tc>
        <w:tc>
          <w:tcPr>
            <w:tcW w:w="4144" w:type="pct"/>
            <w:vAlign w:val="center"/>
          </w:tcPr>
          <w:p w14:paraId="6660C29C">
            <w:pPr>
              <w:widowControl/>
              <w:spacing w:line="360" w:lineRule="auto"/>
              <w:jc w:val="left"/>
              <w:textAlignment w:val="baseline"/>
              <w:rPr>
                <w:rFonts w:ascii="宋体" w:hAnsi="宋体" w:cs="微软雅黑"/>
                <w:sz w:val="24"/>
                <w:shd w:val="clear" w:color="auto" w:fill="FFFFFF"/>
              </w:rPr>
            </w:pPr>
            <w:r>
              <w:rPr>
                <w:rFonts w:hint="eastAsia" w:ascii="宋体" w:hAnsi="宋体" w:cs="微软雅黑"/>
                <w:sz w:val="24"/>
                <w:shd w:val="clear" w:color="auto" w:fill="FFFFFF"/>
                <w:lang w:val="en-US" w:eastAsia="zh-CN"/>
              </w:rPr>
              <w:t>否</w:t>
            </w:r>
          </w:p>
        </w:tc>
      </w:tr>
    </w:tbl>
    <w:p w14:paraId="16947F36">
      <w:pPr>
        <w:textAlignment w:val="baseline"/>
        <w:rPr>
          <w:sz w:val="20"/>
        </w:rPr>
      </w:pP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5CAFA">
    <w:pPr>
      <w:pStyle w:val="3"/>
      <w:jc w:val="center"/>
      <w:rPr>
        <w:caps/>
        <w:color w:val="auto"/>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C535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DC535A">
                    <w:pPr>
                      <w:pStyle w:val="3"/>
                    </w:pPr>
                    <w:r>
                      <w:fldChar w:fldCharType="begin"/>
                    </w:r>
                    <w:r>
                      <w:instrText xml:space="preserve"> PAGE  \* MERGEFORMAT </w:instrText>
                    </w:r>
                    <w:r>
                      <w:fldChar w:fldCharType="separate"/>
                    </w:r>
                    <w:r>
                      <w:t>1</w:t>
                    </w:r>
                    <w:r>
                      <w:fldChar w:fldCharType="end"/>
                    </w:r>
                  </w:p>
                </w:txbxContent>
              </v:textbox>
            </v:shape>
          </w:pict>
        </mc:Fallback>
      </mc:AlternateContent>
    </w:r>
  </w:p>
  <w:p w14:paraId="4890581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A4D90">
    <w:pPr>
      <w:pStyle w:val="4"/>
      <w:jc w:val="both"/>
    </w:pPr>
    <w:r>
      <w:rPr>
        <w:rFonts w:hint="eastAsia"/>
      </w:rPr>
      <w:t>河南翔宇医疗设备股份有限公司　　　　　　　　　　　　　　　　　　　　　　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0YWI5NjM4MDkyZmVmN2FjYzA3OWY1NWUwY2ZhNWMifQ=="/>
  </w:docVars>
  <w:rsids>
    <w:rsidRoot w:val="0072654A"/>
    <w:rsid w:val="00002A90"/>
    <w:rsid w:val="00061E2F"/>
    <w:rsid w:val="00071BDA"/>
    <w:rsid w:val="00090744"/>
    <w:rsid w:val="00090D99"/>
    <w:rsid w:val="000B3089"/>
    <w:rsid w:val="000D16C2"/>
    <w:rsid w:val="000F388C"/>
    <w:rsid w:val="001027F3"/>
    <w:rsid w:val="00112C76"/>
    <w:rsid w:val="00122929"/>
    <w:rsid w:val="001538C7"/>
    <w:rsid w:val="00166E26"/>
    <w:rsid w:val="001713DC"/>
    <w:rsid w:val="00184F08"/>
    <w:rsid w:val="00194D33"/>
    <w:rsid w:val="001A619B"/>
    <w:rsid w:val="001A6FC8"/>
    <w:rsid w:val="001B3565"/>
    <w:rsid w:val="001D3996"/>
    <w:rsid w:val="0020000B"/>
    <w:rsid w:val="00200F3B"/>
    <w:rsid w:val="0020477D"/>
    <w:rsid w:val="00265360"/>
    <w:rsid w:val="002730E9"/>
    <w:rsid w:val="00277FE1"/>
    <w:rsid w:val="00280499"/>
    <w:rsid w:val="00281878"/>
    <w:rsid w:val="00291023"/>
    <w:rsid w:val="00293330"/>
    <w:rsid w:val="002A0256"/>
    <w:rsid w:val="002F3B18"/>
    <w:rsid w:val="00303A2C"/>
    <w:rsid w:val="00323809"/>
    <w:rsid w:val="003400F4"/>
    <w:rsid w:val="003906F4"/>
    <w:rsid w:val="003912FE"/>
    <w:rsid w:val="003A56F9"/>
    <w:rsid w:val="003C3902"/>
    <w:rsid w:val="003C468C"/>
    <w:rsid w:val="003C6B02"/>
    <w:rsid w:val="003C6C54"/>
    <w:rsid w:val="003D3CF7"/>
    <w:rsid w:val="003E4232"/>
    <w:rsid w:val="003E636C"/>
    <w:rsid w:val="00407B4C"/>
    <w:rsid w:val="00410F58"/>
    <w:rsid w:val="00414B3F"/>
    <w:rsid w:val="00445184"/>
    <w:rsid w:val="004543A5"/>
    <w:rsid w:val="004824B2"/>
    <w:rsid w:val="0049022A"/>
    <w:rsid w:val="004956FD"/>
    <w:rsid w:val="0049761A"/>
    <w:rsid w:val="004A06DB"/>
    <w:rsid w:val="004A18E2"/>
    <w:rsid w:val="004B764D"/>
    <w:rsid w:val="004D627E"/>
    <w:rsid w:val="004E2521"/>
    <w:rsid w:val="004E6193"/>
    <w:rsid w:val="00501FF1"/>
    <w:rsid w:val="0051185C"/>
    <w:rsid w:val="005132F3"/>
    <w:rsid w:val="00531C0A"/>
    <w:rsid w:val="00531C0B"/>
    <w:rsid w:val="005459A4"/>
    <w:rsid w:val="00555EA6"/>
    <w:rsid w:val="0056105E"/>
    <w:rsid w:val="005639E4"/>
    <w:rsid w:val="005767CB"/>
    <w:rsid w:val="005850FF"/>
    <w:rsid w:val="005A0F63"/>
    <w:rsid w:val="005B44FB"/>
    <w:rsid w:val="005D66E5"/>
    <w:rsid w:val="005E22D4"/>
    <w:rsid w:val="005E538B"/>
    <w:rsid w:val="005F0E7E"/>
    <w:rsid w:val="00622DE1"/>
    <w:rsid w:val="00630567"/>
    <w:rsid w:val="0063110A"/>
    <w:rsid w:val="00635B09"/>
    <w:rsid w:val="006502CD"/>
    <w:rsid w:val="00661A2F"/>
    <w:rsid w:val="006720EB"/>
    <w:rsid w:val="00675FBC"/>
    <w:rsid w:val="00685BF1"/>
    <w:rsid w:val="006A51F7"/>
    <w:rsid w:val="006A6851"/>
    <w:rsid w:val="006C5E02"/>
    <w:rsid w:val="006D38A2"/>
    <w:rsid w:val="00707E6C"/>
    <w:rsid w:val="0072654A"/>
    <w:rsid w:val="00734497"/>
    <w:rsid w:val="00757C95"/>
    <w:rsid w:val="00780630"/>
    <w:rsid w:val="0079190C"/>
    <w:rsid w:val="00796E6F"/>
    <w:rsid w:val="007A13D8"/>
    <w:rsid w:val="007A6C08"/>
    <w:rsid w:val="007A6F63"/>
    <w:rsid w:val="007B3BC8"/>
    <w:rsid w:val="007C0D89"/>
    <w:rsid w:val="007C1500"/>
    <w:rsid w:val="007F374B"/>
    <w:rsid w:val="007F444E"/>
    <w:rsid w:val="00817C5C"/>
    <w:rsid w:val="008271DE"/>
    <w:rsid w:val="00827D77"/>
    <w:rsid w:val="0083294B"/>
    <w:rsid w:val="00836C81"/>
    <w:rsid w:val="00850AB6"/>
    <w:rsid w:val="00850E66"/>
    <w:rsid w:val="0085148B"/>
    <w:rsid w:val="00857E39"/>
    <w:rsid w:val="00876D7C"/>
    <w:rsid w:val="00884C1B"/>
    <w:rsid w:val="00895799"/>
    <w:rsid w:val="008973C6"/>
    <w:rsid w:val="008B1769"/>
    <w:rsid w:val="008C2330"/>
    <w:rsid w:val="008C67CD"/>
    <w:rsid w:val="008D0240"/>
    <w:rsid w:val="008D59DF"/>
    <w:rsid w:val="008F3AC0"/>
    <w:rsid w:val="0090421E"/>
    <w:rsid w:val="00927F62"/>
    <w:rsid w:val="00936276"/>
    <w:rsid w:val="00957C63"/>
    <w:rsid w:val="00967066"/>
    <w:rsid w:val="009835B2"/>
    <w:rsid w:val="00985E64"/>
    <w:rsid w:val="00994101"/>
    <w:rsid w:val="00997B29"/>
    <w:rsid w:val="009C7177"/>
    <w:rsid w:val="009E5B45"/>
    <w:rsid w:val="00A21519"/>
    <w:rsid w:val="00A25E07"/>
    <w:rsid w:val="00A71235"/>
    <w:rsid w:val="00AA2B1B"/>
    <w:rsid w:val="00AA46FE"/>
    <w:rsid w:val="00AA5961"/>
    <w:rsid w:val="00AC33D4"/>
    <w:rsid w:val="00AC5918"/>
    <w:rsid w:val="00AD230A"/>
    <w:rsid w:val="00B24267"/>
    <w:rsid w:val="00B47B55"/>
    <w:rsid w:val="00B47BE6"/>
    <w:rsid w:val="00B50EED"/>
    <w:rsid w:val="00B55469"/>
    <w:rsid w:val="00B569DF"/>
    <w:rsid w:val="00B616E6"/>
    <w:rsid w:val="00B6429E"/>
    <w:rsid w:val="00B661D9"/>
    <w:rsid w:val="00B84064"/>
    <w:rsid w:val="00B957DD"/>
    <w:rsid w:val="00BB2517"/>
    <w:rsid w:val="00BC7195"/>
    <w:rsid w:val="00BD058B"/>
    <w:rsid w:val="00BF50AD"/>
    <w:rsid w:val="00C12D15"/>
    <w:rsid w:val="00C12F1C"/>
    <w:rsid w:val="00C4402D"/>
    <w:rsid w:val="00C530FF"/>
    <w:rsid w:val="00C540F6"/>
    <w:rsid w:val="00C66869"/>
    <w:rsid w:val="00C929DC"/>
    <w:rsid w:val="00CA3903"/>
    <w:rsid w:val="00CB725A"/>
    <w:rsid w:val="00CC2A5B"/>
    <w:rsid w:val="00CC718A"/>
    <w:rsid w:val="00CD6961"/>
    <w:rsid w:val="00CF7326"/>
    <w:rsid w:val="00D03091"/>
    <w:rsid w:val="00D03637"/>
    <w:rsid w:val="00D11EAB"/>
    <w:rsid w:val="00D1745D"/>
    <w:rsid w:val="00D51017"/>
    <w:rsid w:val="00D61963"/>
    <w:rsid w:val="00D9012D"/>
    <w:rsid w:val="00DA1D31"/>
    <w:rsid w:val="00DA5A6A"/>
    <w:rsid w:val="00DB1BE5"/>
    <w:rsid w:val="00DB31DE"/>
    <w:rsid w:val="00DD039E"/>
    <w:rsid w:val="00DE66D3"/>
    <w:rsid w:val="00DE6A81"/>
    <w:rsid w:val="00E15234"/>
    <w:rsid w:val="00E17768"/>
    <w:rsid w:val="00E312E9"/>
    <w:rsid w:val="00E4211D"/>
    <w:rsid w:val="00E47AEF"/>
    <w:rsid w:val="00E6246D"/>
    <w:rsid w:val="00EB2269"/>
    <w:rsid w:val="00EF1D4B"/>
    <w:rsid w:val="00EF7950"/>
    <w:rsid w:val="00F025E3"/>
    <w:rsid w:val="00F054FA"/>
    <w:rsid w:val="00F22474"/>
    <w:rsid w:val="00F53756"/>
    <w:rsid w:val="00F601E1"/>
    <w:rsid w:val="00F76C9B"/>
    <w:rsid w:val="00F91A22"/>
    <w:rsid w:val="00F9327F"/>
    <w:rsid w:val="00FA4B8D"/>
    <w:rsid w:val="00FC05DB"/>
    <w:rsid w:val="00FC51D8"/>
    <w:rsid w:val="00FD5D58"/>
    <w:rsid w:val="00FE7B94"/>
    <w:rsid w:val="00FF3586"/>
    <w:rsid w:val="010B2314"/>
    <w:rsid w:val="01121891"/>
    <w:rsid w:val="012D66CB"/>
    <w:rsid w:val="01336F77"/>
    <w:rsid w:val="016A6FD7"/>
    <w:rsid w:val="017D31AE"/>
    <w:rsid w:val="01870265"/>
    <w:rsid w:val="01A26920"/>
    <w:rsid w:val="01D23781"/>
    <w:rsid w:val="01DA7420"/>
    <w:rsid w:val="0216715F"/>
    <w:rsid w:val="0224362A"/>
    <w:rsid w:val="02671768"/>
    <w:rsid w:val="02691984"/>
    <w:rsid w:val="02A97FD3"/>
    <w:rsid w:val="02B93EDE"/>
    <w:rsid w:val="02BC1AB4"/>
    <w:rsid w:val="02CD49E7"/>
    <w:rsid w:val="02D24770"/>
    <w:rsid w:val="02E01C47"/>
    <w:rsid w:val="030E7E36"/>
    <w:rsid w:val="03217B69"/>
    <w:rsid w:val="033B559F"/>
    <w:rsid w:val="03443858"/>
    <w:rsid w:val="034872E6"/>
    <w:rsid w:val="03575C81"/>
    <w:rsid w:val="035B20F9"/>
    <w:rsid w:val="036439CE"/>
    <w:rsid w:val="03B804CE"/>
    <w:rsid w:val="03C81CAD"/>
    <w:rsid w:val="04041965"/>
    <w:rsid w:val="041D6583"/>
    <w:rsid w:val="04212517"/>
    <w:rsid w:val="04277401"/>
    <w:rsid w:val="043833BC"/>
    <w:rsid w:val="045F053F"/>
    <w:rsid w:val="04637F7B"/>
    <w:rsid w:val="046B00D8"/>
    <w:rsid w:val="04722D72"/>
    <w:rsid w:val="04910D1F"/>
    <w:rsid w:val="04986A7C"/>
    <w:rsid w:val="049D5915"/>
    <w:rsid w:val="049D6C81"/>
    <w:rsid w:val="04AC5B58"/>
    <w:rsid w:val="04BE1293"/>
    <w:rsid w:val="04BF220D"/>
    <w:rsid w:val="04CE3D21"/>
    <w:rsid w:val="04D72AF2"/>
    <w:rsid w:val="04E64653"/>
    <w:rsid w:val="04FF212C"/>
    <w:rsid w:val="050339CA"/>
    <w:rsid w:val="05080FE1"/>
    <w:rsid w:val="05157BA2"/>
    <w:rsid w:val="0518526D"/>
    <w:rsid w:val="05216ABC"/>
    <w:rsid w:val="0526590B"/>
    <w:rsid w:val="054364BD"/>
    <w:rsid w:val="055511AF"/>
    <w:rsid w:val="05557F9E"/>
    <w:rsid w:val="055661F0"/>
    <w:rsid w:val="055E570F"/>
    <w:rsid w:val="05A81F59"/>
    <w:rsid w:val="05B9677F"/>
    <w:rsid w:val="05E01F5E"/>
    <w:rsid w:val="062E0EE8"/>
    <w:rsid w:val="066849C1"/>
    <w:rsid w:val="067D59FE"/>
    <w:rsid w:val="068224FD"/>
    <w:rsid w:val="06930D7E"/>
    <w:rsid w:val="06C13B3D"/>
    <w:rsid w:val="06E17D3B"/>
    <w:rsid w:val="06E93094"/>
    <w:rsid w:val="06F832D7"/>
    <w:rsid w:val="070114A5"/>
    <w:rsid w:val="071F0864"/>
    <w:rsid w:val="072721A9"/>
    <w:rsid w:val="07277EE5"/>
    <w:rsid w:val="07321FCE"/>
    <w:rsid w:val="07574EF8"/>
    <w:rsid w:val="076B3AA9"/>
    <w:rsid w:val="07920EE6"/>
    <w:rsid w:val="07A72EEE"/>
    <w:rsid w:val="07AA2823"/>
    <w:rsid w:val="07E61381"/>
    <w:rsid w:val="07FB307F"/>
    <w:rsid w:val="080428EA"/>
    <w:rsid w:val="081439D5"/>
    <w:rsid w:val="08716E9D"/>
    <w:rsid w:val="088272FC"/>
    <w:rsid w:val="08836BD0"/>
    <w:rsid w:val="088A7F5F"/>
    <w:rsid w:val="089438EA"/>
    <w:rsid w:val="08B35707"/>
    <w:rsid w:val="08C77405"/>
    <w:rsid w:val="08F5760F"/>
    <w:rsid w:val="08FA50E4"/>
    <w:rsid w:val="090B4D2E"/>
    <w:rsid w:val="090F7D20"/>
    <w:rsid w:val="092C3269"/>
    <w:rsid w:val="09300B06"/>
    <w:rsid w:val="09357AE4"/>
    <w:rsid w:val="09385383"/>
    <w:rsid w:val="09434CDD"/>
    <w:rsid w:val="0972111F"/>
    <w:rsid w:val="099159BD"/>
    <w:rsid w:val="09A3340A"/>
    <w:rsid w:val="09AB63DF"/>
    <w:rsid w:val="09B23C11"/>
    <w:rsid w:val="09C56BAD"/>
    <w:rsid w:val="09E55D95"/>
    <w:rsid w:val="09E85EF0"/>
    <w:rsid w:val="09EA33AB"/>
    <w:rsid w:val="0A005A20"/>
    <w:rsid w:val="0A053D41"/>
    <w:rsid w:val="0A140428"/>
    <w:rsid w:val="0A1E12A6"/>
    <w:rsid w:val="0A23066B"/>
    <w:rsid w:val="0A28754A"/>
    <w:rsid w:val="0A290C66"/>
    <w:rsid w:val="0A3665F0"/>
    <w:rsid w:val="0A3C34DB"/>
    <w:rsid w:val="0A430D0D"/>
    <w:rsid w:val="0A4D56E8"/>
    <w:rsid w:val="0A56459C"/>
    <w:rsid w:val="0A5B1BB3"/>
    <w:rsid w:val="0A726EFC"/>
    <w:rsid w:val="0A821835"/>
    <w:rsid w:val="0A911A78"/>
    <w:rsid w:val="0AA55524"/>
    <w:rsid w:val="0AAF62C1"/>
    <w:rsid w:val="0AB15C77"/>
    <w:rsid w:val="0AB93691"/>
    <w:rsid w:val="0ACA5492"/>
    <w:rsid w:val="0ADF0A36"/>
    <w:rsid w:val="0AE01955"/>
    <w:rsid w:val="0AE53B72"/>
    <w:rsid w:val="0AF344E1"/>
    <w:rsid w:val="0B19118C"/>
    <w:rsid w:val="0B377B97"/>
    <w:rsid w:val="0B6902FF"/>
    <w:rsid w:val="0B7044F0"/>
    <w:rsid w:val="0B731780"/>
    <w:rsid w:val="0B770C6E"/>
    <w:rsid w:val="0BA53A2D"/>
    <w:rsid w:val="0BEB51B8"/>
    <w:rsid w:val="0BF0588E"/>
    <w:rsid w:val="0C060244"/>
    <w:rsid w:val="0C0F70F9"/>
    <w:rsid w:val="0C191D25"/>
    <w:rsid w:val="0C48260B"/>
    <w:rsid w:val="0C4E121F"/>
    <w:rsid w:val="0C5F0ACF"/>
    <w:rsid w:val="0C762CD4"/>
    <w:rsid w:val="0C7E602C"/>
    <w:rsid w:val="0C8841C3"/>
    <w:rsid w:val="0C9375A0"/>
    <w:rsid w:val="0CB7144A"/>
    <w:rsid w:val="0CCF4ADA"/>
    <w:rsid w:val="0CD57240"/>
    <w:rsid w:val="0D0E115E"/>
    <w:rsid w:val="0D183D8B"/>
    <w:rsid w:val="0D38267F"/>
    <w:rsid w:val="0D5D3E94"/>
    <w:rsid w:val="0D913B3D"/>
    <w:rsid w:val="0DAC5CEB"/>
    <w:rsid w:val="0DE7790B"/>
    <w:rsid w:val="0DEE30B8"/>
    <w:rsid w:val="0E5F5558"/>
    <w:rsid w:val="0E756D80"/>
    <w:rsid w:val="0E76520D"/>
    <w:rsid w:val="0E963B01"/>
    <w:rsid w:val="0EBA07CE"/>
    <w:rsid w:val="0EE9136F"/>
    <w:rsid w:val="0EEA1757"/>
    <w:rsid w:val="0EED1247"/>
    <w:rsid w:val="0EFA57E8"/>
    <w:rsid w:val="0F136F00"/>
    <w:rsid w:val="0F227143"/>
    <w:rsid w:val="0F3A71A4"/>
    <w:rsid w:val="0F4378A5"/>
    <w:rsid w:val="0F56503F"/>
    <w:rsid w:val="0F6B0AEA"/>
    <w:rsid w:val="0FAC24A5"/>
    <w:rsid w:val="0FAC2EB1"/>
    <w:rsid w:val="0FBA381F"/>
    <w:rsid w:val="0FBF2BE4"/>
    <w:rsid w:val="0FC14074"/>
    <w:rsid w:val="0FF21D8D"/>
    <w:rsid w:val="10321608"/>
    <w:rsid w:val="103A2E1F"/>
    <w:rsid w:val="10615A49"/>
    <w:rsid w:val="1077526D"/>
    <w:rsid w:val="10797237"/>
    <w:rsid w:val="10A87B1C"/>
    <w:rsid w:val="10BB5843"/>
    <w:rsid w:val="10C250C5"/>
    <w:rsid w:val="10CA5CE4"/>
    <w:rsid w:val="10D3390C"/>
    <w:rsid w:val="10DF5FFA"/>
    <w:rsid w:val="10F92125"/>
    <w:rsid w:val="110E3E08"/>
    <w:rsid w:val="112453F4"/>
    <w:rsid w:val="114E06C3"/>
    <w:rsid w:val="114F7F97"/>
    <w:rsid w:val="116A4DD1"/>
    <w:rsid w:val="11A304BB"/>
    <w:rsid w:val="11A32BFD"/>
    <w:rsid w:val="11B20C52"/>
    <w:rsid w:val="11D90AD7"/>
    <w:rsid w:val="12130FC5"/>
    <w:rsid w:val="121A6C9D"/>
    <w:rsid w:val="124F22DB"/>
    <w:rsid w:val="126F6B43"/>
    <w:rsid w:val="128679E9"/>
    <w:rsid w:val="129475EE"/>
    <w:rsid w:val="12A762DD"/>
    <w:rsid w:val="12A83E03"/>
    <w:rsid w:val="12AD766B"/>
    <w:rsid w:val="12C55D71"/>
    <w:rsid w:val="12C56763"/>
    <w:rsid w:val="12DD62D4"/>
    <w:rsid w:val="12E34E3B"/>
    <w:rsid w:val="12F64B6E"/>
    <w:rsid w:val="132E255A"/>
    <w:rsid w:val="133D454B"/>
    <w:rsid w:val="135B2C24"/>
    <w:rsid w:val="13603781"/>
    <w:rsid w:val="13797C51"/>
    <w:rsid w:val="13A10F7E"/>
    <w:rsid w:val="13A91BE1"/>
    <w:rsid w:val="13B81E24"/>
    <w:rsid w:val="13DC2025"/>
    <w:rsid w:val="13F714E7"/>
    <w:rsid w:val="14011A1D"/>
    <w:rsid w:val="140E413A"/>
    <w:rsid w:val="14315CBA"/>
    <w:rsid w:val="147D6BCA"/>
    <w:rsid w:val="14887A48"/>
    <w:rsid w:val="14A44C48"/>
    <w:rsid w:val="14AB7BDB"/>
    <w:rsid w:val="14C211B5"/>
    <w:rsid w:val="14C8253B"/>
    <w:rsid w:val="14CA2EEF"/>
    <w:rsid w:val="14CD18FF"/>
    <w:rsid w:val="14DA6B1B"/>
    <w:rsid w:val="14FB4921"/>
    <w:rsid w:val="151612A0"/>
    <w:rsid w:val="151614F8"/>
    <w:rsid w:val="151632A6"/>
    <w:rsid w:val="15264B7B"/>
    <w:rsid w:val="15354CAF"/>
    <w:rsid w:val="154E494C"/>
    <w:rsid w:val="15712BD2"/>
    <w:rsid w:val="158226E9"/>
    <w:rsid w:val="15826B8D"/>
    <w:rsid w:val="159468C1"/>
    <w:rsid w:val="159E329B"/>
    <w:rsid w:val="15B34F99"/>
    <w:rsid w:val="15B5551D"/>
    <w:rsid w:val="15C26F8A"/>
    <w:rsid w:val="15D64855"/>
    <w:rsid w:val="15E736F6"/>
    <w:rsid w:val="16057099"/>
    <w:rsid w:val="16092405"/>
    <w:rsid w:val="161F6448"/>
    <w:rsid w:val="16342C9E"/>
    <w:rsid w:val="16377978"/>
    <w:rsid w:val="163A1216"/>
    <w:rsid w:val="163D0D06"/>
    <w:rsid w:val="163F682C"/>
    <w:rsid w:val="165A18B8"/>
    <w:rsid w:val="16646293"/>
    <w:rsid w:val="167F131F"/>
    <w:rsid w:val="16806E4B"/>
    <w:rsid w:val="16981584"/>
    <w:rsid w:val="16B74615"/>
    <w:rsid w:val="16BD32EE"/>
    <w:rsid w:val="16DA6555"/>
    <w:rsid w:val="16DE7B60"/>
    <w:rsid w:val="16E83311"/>
    <w:rsid w:val="16EA49EA"/>
    <w:rsid w:val="16F001A5"/>
    <w:rsid w:val="16F969DB"/>
    <w:rsid w:val="16FA375F"/>
    <w:rsid w:val="170830C2"/>
    <w:rsid w:val="171657DF"/>
    <w:rsid w:val="17306175"/>
    <w:rsid w:val="174340FA"/>
    <w:rsid w:val="17471E3D"/>
    <w:rsid w:val="174A2515"/>
    <w:rsid w:val="177B4D4E"/>
    <w:rsid w:val="178A7F7B"/>
    <w:rsid w:val="17C422E5"/>
    <w:rsid w:val="17CF19E0"/>
    <w:rsid w:val="17F11DA8"/>
    <w:rsid w:val="18253800"/>
    <w:rsid w:val="18504D21"/>
    <w:rsid w:val="18506ACF"/>
    <w:rsid w:val="18574301"/>
    <w:rsid w:val="186500A0"/>
    <w:rsid w:val="18D271F5"/>
    <w:rsid w:val="18E2051C"/>
    <w:rsid w:val="18FF22A3"/>
    <w:rsid w:val="192F2B88"/>
    <w:rsid w:val="194505FE"/>
    <w:rsid w:val="197113F3"/>
    <w:rsid w:val="19721FA4"/>
    <w:rsid w:val="197B5DCD"/>
    <w:rsid w:val="19CC03D7"/>
    <w:rsid w:val="19D379B8"/>
    <w:rsid w:val="19D43730"/>
    <w:rsid w:val="19E660B9"/>
    <w:rsid w:val="19FF69FF"/>
    <w:rsid w:val="1A1558FF"/>
    <w:rsid w:val="1A173C59"/>
    <w:rsid w:val="1A226249"/>
    <w:rsid w:val="1A2B77F4"/>
    <w:rsid w:val="1A2C531A"/>
    <w:rsid w:val="1A2E1092"/>
    <w:rsid w:val="1A2F7AB3"/>
    <w:rsid w:val="1A311D2E"/>
    <w:rsid w:val="1A403AC3"/>
    <w:rsid w:val="1A8B7128"/>
    <w:rsid w:val="1A917F0F"/>
    <w:rsid w:val="1AA650CC"/>
    <w:rsid w:val="1ACC31A4"/>
    <w:rsid w:val="1B18764C"/>
    <w:rsid w:val="1B216501"/>
    <w:rsid w:val="1B304996"/>
    <w:rsid w:val="1B324BB2"/>
    <w:rsid w:val="1B3E3557"/>
    <w:rsid w:val="1B593C49"/>
    <w:rsid w:val="1B6A60FA"/>
    <w:rsid w:val="1B6F7443"/>
    <w:rsid w:val="1B701236"/>
    <w:rsid w:val="1BA15D3E"/>
    <w:rsid w:val="1BA62EAA"/>
    <w:rsid w:val="1BA86C22"/>
    <w:rsid w:val="1BD32E67"/>
    <w:rsid w:val="1BF70B1B"/>
    <w:rsid w:val="1C1147C7"/>
    <w:rsid w:val="1C47643B"/>
    <w:rsid w:val="1C4B24C6"/>
    <w:rsid w:val="1C6074FD"/>
    <w:rsid w:val="1C6251ED"/>
    <w:rsid w:val="1C705992"/>
    <w:rsid w:val="1C7555A5"/>
    <w:rsid w:val="1C794E17"/>
    <w:rsid w:val="1C941A40"/>
    <w:rsid w:val="1CA70C88"/>
    <w:rsid w:val="1CAB4C1C"/>
    <w:rsid w:val="1CAF0AA6"/>
    <w:rsid w:val="1CB515F6"/>
    <w:rsid w:val="1CC0489D"/>
    <w:rsid w:val="1CC740CD"/>
    <w:rsid w:val="1CCE26B8"/>
    <w:rsid w:val="1CDA2E0B"/>
    <w:rsid w:val="1CEE0AE4"/>
    <w:rsid w:val="1CF6536C"/>
    <w:rsid w:val="1CFA16FF"/>
    <w:rsid w:val="1CFF0FE4"/>
    <w:rsid w:val="1D3369BF"/>
    <w:rsid w:val="1D434E54"/>
    <w:rsid w:val="1D4D7A81"/>
    <w:rsid w:val="1D641DA6"/>
    <w:rsid w:val="1D7A64B7"/>
    <w:rsid w:val="1D862F93"/>
    <w:rsid w:val="1DAF24EA"/>
    <w:rsid w:val="1E0345E3"/>
    <w:rsid w:val="1E2E78B2"/>
    <w:rsid w:val="1E401394"/>
    <w:rsid w:val="1E552791"/>
    <w:rsid w:val="1E636E30"/>
    <w:rsid w:val="1E6E4153"/>
    <w:rsid w:val="1E71154D"/>
    <w:rsid w:val="1E786D7F"/>
    <w:rsid w:val="1E7A4A8B"/>
    <w:rsid w:val="1E7D6144"/>
    <w:rsid w:val="1EA41923"/>
    <w:rsid w:val="1EAB40D4"/>
    <w:rsid w:val="1EE03162"/>
    <w:rsid w:val="1EFE0C05"/>
    <w:rsid w:val="1F0B19A2"/>
    <w:rsid w:val="1F432FF9"/>
    <w:rsid w:val="1F444EB4"/>
    <w:rsid w:val="1F465160"/>
    <w:rsid w:val="1F770DE5"/>
    <w:rsid w:val="1F817EB6"/>
    <w:rsid w:val="1F8C5A11"/>
    <w:rsid w:val="1F9A0F77"/>
    <w:rsid w:val="1F9A2D26"/>
    <w:rsid w:val="1FA2783D"/>
    <w:rsid w:val="1FBC7140"/>
    <w:rsid w:val="200D1749"/>
    <w:rsid w:val="201725C8"/>
    <w:rsid w:val="20733DD8"/>
    <w:rsid w:val="207944D2"/>
    <w:rsid w:val="208F03B0"/>
    <w:rsid w:val="20AA6F98"/>
    <w:rsid w:val="20AE4CDA"/>
    <w:rsid w:val="20EA1A41"/>
    <w:rsid w:val="211508B6"/>
    <w:rsid w:val="21313216"/>
    <w:rsid w:val="2139763B"/>
    <w:rsid w:val="213A54CB"/>
    <w:rsid w:val="215A6C10"/>
    <w:rsid w:val="21815F4B"/>
    <w:rsid w:val="219F2875"/>
    <w:rsid w:val="21A9479F"/>
    <w:rsid w:val="21BE0F4D"/>
    <w:rsid w:val="21DF2A1E"/>
    <w:rsid w:val="220617F3"/>
    <w:rsid w:val="223848B6"/>
    <w:rsid w:val="22574677"/>
    <w:rsid w:val="225B2C40"/>
    <w:rsid w:val="226513C9"/>
    <w:rsid w:val="22743BFB"/>
    <w:rsid w:val="22743D02"/>
    <w:rsid w:val="2277734E"/>
    <w:rsid w:val="227E692E"/>
    <w:rsid w:val="22825B11"/>
    <w:rsid w:val="22927307"/>
    <w:rsid w:val="22D4654E"/>
    <w:rsid w:val="22E5075C"/>
    <w:rsid w:val="22EE0215"/>
    <w:rsid w:val="22F32E79"/>
    <w:rsid w:val="232625C2"/>
    <w:rsid w:val="233174FD"/>
    <w:rsid w:val="234126F3"/>
    <w:rsid w:val="2366364A"/>
    <w:rsid w:val="237815D0"/>
    <w:rsid w:val="23953F30"/>
    <w:rsid w:val="23A221A9"/>
    <w:rsid w:val="23A674E7"/>
    <w:rsid w:val="23C95987"/>
    <w:rsid w:val="23E4297B"/>
    <w:rsid w:val="23F30C56"/>
    <w:rsid w:val="241B58CB"/>
    <w:rsid w:val="242B03F0"/>
    <w:rsid w:val="242B4894"/>
    <w:rsid w:val="242E3CA9"/>
    <w:rsid w:val="2432352D"/>
    <w:rsid w:val="24516CBE"/>
    <w:rsid w:val="24653902"/>
    <w:rsid w:val="2492221D"/>
    <w:rsid w:val="24A843FE"/>
    <w:rsid w:val="24B9191D"/>
    <w:rsid w:val="24DD5B8E"/>
    <w:rsid w:val="24EA0140"/>
    <w:rsid w:val="24EC4023"/>
    <w:rsid w:val="25125E18"/>
    <w:rsid w:val="25221195"/>
    <w:rsid w:val="25222DF7"/>
    <w:rsid w:val="252B4B4C"/>
    <w:rsid w:val="252C2672"/>
    <w:rsid w:val="2530083E"/>
    <w:rsid w:val="25367329"/>
    <w:rsid w:val="25535E50"/>
    <w:rsid w:val="25641E0C"/>
    <w:rsid w:val="25742DCE"/>
    <w:rsid w:val="258473A0"/>
    <w:rsid w:val="25A93CC2"/>
    <w:rsid w:val="25AD37B3"/>
    <w:rsid w:val="25AE6362"/>
    <w:rsid w:val="25AE752B"/>
    <w:rsid w:val="25B032A3"/>
    <w:rsid w:val="25B83894"/>
    <w:rsid w:val="25D076AC"/>
    <w:rsid w:val="25EF7300"/>
    <w:rsid w:val="260809E9"/>
    <w:rsid w:val="26103D41"/>
    <w:rsid w:val="262275D1"/>
    <w:rsid w:val="262D66A1"/>
    <w:rsid w:val="26377A39"/>
    <w:rsid w:val="264A3940"/>
    <w:rsid w:val="26527412"/>
    <w:rsid w:val="266A6868"/>
    <w:rsid w:val="26760048"/>
    <w:rsid w:val="26860D7D"/>
    <w:rsid w:val="268D3829"/>
    <w:rsid w:val="268F4C66"/>
    <w:rsid w:val="269D11AE"/>
    <w:rsid w:val="26B469DD"/>
    <w:rsid w:val="26B82C5E"/>
    <w:rsid w:val="26C64400"/>
    <w:rsid w:val="26CD1C32"/>
    <w:rsid w:val="26EE4F80"/>
    <w:rsid w:val="270519ED"/>
    <w:rsid w:val="27076EF2"/>
    <w:rsid w:val="27221F7E"/>
    <w:rsid w:val="27315D1D"/>
    <w:rsid w:val="27473D41"/>
    <w:rsid w:val="27AE4545"/>
    <w:rsid w:val="27B568E6"/>
    <w:rsid w:val="27BF5A1F"/>
    <w:rsid w:val="27F136FF"/>
    <w:rsid w:val="28011B94"/>
    <w:rsid w:val="28137B19"/>
    <w:rsid w:val="2835183D"/>
    <w:rsid w:val="284B1061"/>
    <w:rsid w:val="284C582A"/>
    <w:rsid w:val="28524CE0"/>
    <w:rsid w:val="286D7229"/>
    <w:rsid w:val="28775A25"/>
    <w:rsid w:val="28924EE2"/>
    <w:rsid w:val="28A6141D"/>
    <w:rsid w:val="28AB04B8"/>
    <w:rsid w:val="28BF18AD"/>
    <w:rsid w:val="28C01A4F"/>
    <w:rsid w:val="28C64B8B"/>
    <w:rsid w:val="28E60D8A"/>
    <w:rsid w:val="29042E92"/>
    <w:rsid w:val="29080D00"/>
    <w:rsid w:val="291D0077"/>
    <w:rsid w:val="291F7550"/>
    <w:rsid w:val="293164A9"/>
    <w:rsid w:val="29366C06"/>
    <w:rsid w:val="29417EE1"/>
    <w:rsid w:val="2949408B"/>
    <w:rsid w:val="295C32BB"/>
    <w:rsid w:val="29934A6D"/>
    <w:rsid w:val="29975175"/>
    <w:rsid w:val="29AC3D81"/>
    <w:rsid w:val="29DA08EE"/>
    <w:rsid w:val="29DD3F3B"/>
    <w:rsid w:val="2A1536D4"/>
    <w:rsid w:val="2A24600D"/>
    <w:rsid w:val="2A2F1425"/>
    <w:rsid w:val="2A5561C7"/>
    <w:rsid w:val="2A6B533B"/>
    <w:rsid w:val="2A7F1496"/>
    <w:rsid w:val="2A9328B0"/>
    <w:rsid w:val="2A97233B"/>
    <w:rsid w:val="2AAF3B29"/>
    <w:rsid w:val="2B05199B"/>
    <w:rsid w:val="2B057BED"/>
    <w:rsid w:val="2B150495"/>
    <w:rsid w:val="2B41357D"/>
    <w:rsid w:val="2B520958"/>
    <w:rsid w:val="2B595843"/>
    <w:rsid w:val="2B6D2330"/>
    <w:rsid w:val="2BA52670"/>
    <w:rsid w:val="2BDA4BD6"/>
    <w:rsid w:val="2BDE5160"/>
    <w:rsid w:val="2BE23A8A"/>
    <w:rsid w:val="2C041C52"/>
    <w:rsid w:val="2C0559CB"/>
    <w:rsid w:val="2C2B4480"/>
    <w:rsid w:val="2C550700"/>
    <w:rsid w:val="2C600318"/>
    <w:rsid w:val="2C723060"/>
    <w:rsid w:val="2C780B98"/>
    <w:rsid w:val="2CB82A3D"/>
    <w:rsid w:val="2CC34063"/>
    <w:rsid w:val="2CE43832"/>
    <w:rsid w:val="2CFA6009"/>
    <w:rsid w:val="2CFE66A2"/>
    <w:rsid w:val="2CFF241A"/>
    <w:rsid w:val="2D0839C4"/>
    <w:rsid w:val="2D173BB4"/>
    <w:rsid w:val="2D313E78"/>
    <w:rsid w:val="2D341132"/>
    <w:rsid w:val="2D5E3404"/>
    <w:rsid w:val="2D637583"/>
    <w:rsid w:val="2D640380"/>
    <w:rsid w:val="2D7C3FFA"/>
    <w:rsid w:val="2D83304B"/>
    <w:rsid w:val="2D9708C0"/>
    <w:rsid w:val="2DBF0527"/>
    <w:rsid w:val="2DD45655"/>
    <w:rsid w:val="2DEA131C"/>
    <w:rsid w:val="2DEF248E"/>
    <w:rsid w:val="2DFD4BAB"/>
    <w:rsid w:val="2E764C99"/>
    <w:rsid w:val="2E76670C"/>
    <w:rsid w:val="2E8337A3"/>
    <w:rsid w:val="2EAD4823"/>
    <w:rsid w:val="2EB85F02"/>
    <w:rsid w:val="2EC706A8"/>
    <w:rsid w:val="2F00709D"/>
    <w:rsid w:val="2F1C30A3"/>
    <w:rsid w:val="2F31338F"/>
    <w:rsid w:val="2F3E191F"/>
    <w:rsid w:val="2F5C026A"/>
    <w:rsid w:val="2F740E9D"/>
    <w:rsid w:val="2F863D2C"/>
    <w:rsid w:val="2F8F1030"/>
    <w:rsid w:val="2F903980"/>
    <w:rsid w:val="2F947791"/>
    <w:rsid w:val="2F9C068E"/>
    <w:rsid w:val="2FA10F19"/>
    <w:rsid w:val="2FC811E9"/>
    <w:rsid w:val="2FE34275"/>
    <w:rsid w:val="2FF75A01"/>
    <w:rsid w:val="301B3A0F"/>
    <w:rsid w:val="3047022C"/>
    <w:rsid w:val="30474804"/>
    <w:rsid w:val="304B4C56"/>
    <w:rsid w:val="306A22A0"/>
    <w:rsid w:val="3091782D"/>
    <w:rsid w:val="3095556F"/>
    <w:rsid w:val="30986E0B"/>
    <w:rsid w:val="30995F4B"/>
    <w:rsid w:val="30B3704F"/>
    <w:rsid w:val="30B41D76"/>
    <w:rsid w:val="30B67293"/>
    <w:rsid w:val="30EA3353"/>
    <w:rsid w:val="310E70CF"/>
    <w:rsid w:val="31814DC1"/>
    <w:rsid w:val="31A06404"/>
    <w:rsid w:val="31CC4FC0"/>
    <w:rsid w:val="31CC6CDF"/>
    <w:rsid w:val="321E1594"/>
    <w:rsid w:val="322F7A53"/>
    <w:rsid w:val="32346316"/>
    <w:rsid w:val="324C7EAF"/>
    <w:rsid w:val="32566604"/>
    <w:rsid w:val="32594F85"/>
    <w:rsid w:val="3264344B"/>
    <w:rsid w:val="32650132"/>
    <w:rsid w:val="32851613"/>
    <w:rsid w:val="328707EE"/>
    <w:rsid w:val="32D22AAA"/>
    <w:rsid w:val="32E27CAC"/>
    <w:rsid w:val="32E87544"/>
    <w:rsid w:val="32EC48A6"/>
    <w:rsid w:val="32EC51EE"/>
    <w:rsid w:val="32F83B93"/>
    <w:rsid w:val="33114C55"/>
    <w:rsid w:val="334D0383"/>
    <w:rsid w:val="3369683F"/>
    <w:rsid w:val="33890C8F"/>
    <w:rsid w:val="3390201E"/>
    <w:rsid w:val="33AB1A51"/>
    <w:rsid w:val="33B51A84"/>
    <w:rsid w:val="34007320"/>
    <w:rsid w:val="341E587B"/>
    <w:rsid w:val="342235BE"/>
    <w:rsid w:val="343230D5"/>
    <w:rsid w:val="343D21A6"/>
    <w:rsid w:val="343E1D06"/>
    <w:rsid w:val="34533777"/>
    <w:rsid w:val="3462005A"/>
    <w:rsid w:val="346B5B38"/>
    <w:rsid w:val="34821163"/>
    <w:rsid w:val="34983880"/>
    <w:rsid w:val="34C603ED"/>
    <w:rsid w:val="34F14D3E"/>
    <w:rsid w:val="35411821"/>
    <w:rsid w:val="355C0E34"/>
    <w:rsid w:val="355E5766"/>
    <w:rsid w:val="357D65D2"/>
    <w:rsid w:val="35A56E1E"/>
    <w:rsid w:val="35A61EE2"/>
    <w:rsid w:val="35A95619"/>
    <w:rsid w:val="35AE5EFA"/>
    <w:rsid w:val="35C11842"/>
    <w:rsid w:val="35E30136"/>
    <w:rsid w:val="360A255B"/>
    <w:rsid w:val="360B667B"/>
    <w:rsid w:val="362353CB"/>
    <w:rsid w:val="36266C69"/>
    <w:rsid w:val="36343134"/>
    <w:rsid w:val="363F7524"/>
    <w:rsid w:val="36A24542"/>
    <w:rsid w:val="36B14785"/>
    <w:rsid w:val="36CD5966"/>
    <w:rsid w:val="36D52B69"/>
    <w:rsid w:val="3709636F"/>
    <w:rsid w:val="372617C9"/>
    <w:rsid w:val="37362EDC"/>
    <w:rsid w:val="37500442"/>
    <w:rsid w:val="37670924"/>
    <w:rsid w:val="376D0FF4"/>
    <w:rsid w:val="377F0D27"/>
    <w:rsid w:val="378C172C"/>
    <w:rsid w:val="378D6B0A"/>
    <w:rsid w:val="37985945"/>
    <w:rsid w:val="37AE6F16"/>
    <w:rsid w:val="37AF33BA"/>
    <w:rsid w:val="37C41AA9"/>
    <w:rsid w:val="37DD6B7C"/>
    <w:rsid w:val="37F1176D"/>
    <w:rsid w:val="38141215"/>
    <w:rsid w:val="38286CC9"/>
    <w:rsid w:val="38451629"/>
    <w:rsid w:val="385059E9"/>
    <w:rsid w:val="38552705"/>
    <w:rsid w:val="38575800"/>
    <w:rsid w:val="38887767"/>
    <w:rsid w:val="38AA0E16"/>
    <w:rsid w:val="38BB2AC2"/>
    <w:rsid w:val="38E76B84"/>
    <w:rsid w:val="38E77EB3"/>
    <w:rsid w:val="39365415"/>
    <w:rsid w:val="394144E6"/>
    <w:rsid w:val="3944168C"/>
    <w:rsid w:val="394B7FDD"/>
    <w:rsid w:val="395D29A2"/>
    <w:rsid w:val="396957EB"/>
    <w:rsid w:val="39730417"/>
    <w:rsid w:val="398443D3"/>
    <w:rsid w:val="398A2A8C"/>
    <w:rsid w:val="39916AF0"/>
    <w:rsid w:val="39974106"/>
    <w:rsid w:val="39A622D7"/>
    <w:rsid w:val="39A875B5"/>
    <w:rsid w:val="39F33306"/>
    <w:rsid w:val="39F50D55"/>
    <w:rsid w:val="3A3C2EFF"/>
    <w:rsid w:val="3A4F7251"/>
    <w:rsid w:val="3A5B15D7"/>
    <w:rsid w:val="3A654204"/>
    <w:rsid w:val="3A876247"/>
    <w:rsid w:val="3A985CA7"/>
    <w:rsid w:val="3AB17449"/>
    <w:rsid w:val="3AB331C1"/>
    <w:rsid w:val="3ACF6EC9"/>
    <w:rsid w:val="3AD256A8"/>
    <w:rsid w:val="3ADE5D64"/>
    <w:rsid w:val="3AEC222F"/>
    <w:rsid w:val="3B023801"/>
    <w:rsid w:val="3B037265"/>
    <w:rsid w:val="3B102E3D"/>
    <w:rsid w:val="3B220900"/>
    <w:rsid w:val="3B6C3370"/>
    <w:rsid w:val="3B9052B1"/>
    <w:rsid w:val="3BA40D5C"/>
    <w:rsid w:val="3BCB0097"/>
    <w:rsid w:val="3BD258C9"/>
    <w:rsid w:val="3BF21AC7"/>
    <w:rsid w:val="3BFA660F"/>
    <w:rsid w:val="3C021254"/>
    <w:rsid w:val="3C175910"/>
    <w:rsid w:val="3C215F09"/>
    <w:rsid w:val="3C266594"/>
    <w:rsid w:val="3C2C1E7C"/>
    <w:rsid w:val="3C5462DE"/>
    <w:rsid w:val="3C6504EB"/>
    <w:rsid w:val="3C964B49"/>
    <w:rsid w:val="3CBA5241"/>
    <w:rsid w:val="3D0A1093"/>
    <w:rsid w:val="3D0B03CE"/>
    <w:rsid w:val="3D186896"/>
    <w:rsid w:val="3D232155"/>
    <w:rsid w:val="3D6267D9"/>
    <w:rsid w:val="3D6562C9"/>
    <w:rsid w:val="3D6E1622"/>
    <w:rsid w:val="3D901194"/>
    <w:rsid w:val="3DA74B34"/>
    <w:rsid w:val="3DAF5796"/>
    <w:rsid w:val="3DB46334"/>
    <w:rsid w:val="3DE43692"/>
    <w:rsid w:val="3E10092B"/>
    <w:rsid w:val="3E292AC9"/>
    <w:rsid w:val="3E5720B6"/>
    <w:rsid w:val="3E886713"/>
    <w:rsid w:val="3EB76FF8"/>
    <w:rsid w:val="3EDB4A95"/>
    <w:rsid w:val="3EFB28CA"/>
    <w:rsid w:val="3F1E1189"/>
    <w:rsid w:val="3F591E5E"/>
    <w:rsid w:val="3F6470DE"/>
    <w:rsid w:val="3F7D3D9E"/>
    <w:rsid w:val="3F9472A1"/>
    <w:rsid w:val="3F984734"/>
    <w:rsid w:val="3FA11C4E"/>
    <w:rsid w:val="3FA3758D"/>
    <w:rsid w:val="3FB7045D"/>
    <w:rsid w:val="3FF90202"/>
    <w:rsid w:val="400D03D9"/>
    <w:rsid w:val="401A339B"/>
    <w:rsid w:val="406805AA"/>
    <w:rsid w:val="40827192"/>
    <w:rsid w:val="40A11D0E"/>
    <w:rsid w:val="40A81C49"/>
    <w:rsid w:val="40B90E06"/>
    <w:rsid w:val="40C652D1"/>
    <w:rsid w:val="40F57964"/>
    <w:rsid w:val="40F63F8E"/>
    <w:rsid w:val="40F956A6"/>
    <w:rsid w:val="41184DD1"/>
    <w:rsid w:val="41314E40"/>
    <w:rsid w:val="415E375B"/>
    <w:rsid w:val="41782A6F"/>
    <w:rsid w:val="41990C37"/>
    <w:rsid w:val="419B050B"/>
    <w:rsid w:val="419E624E"/>
    <w:rsid w:val="41AF045B"/>
    <w:rsid w:val="41D13032"/>
    <w:rsid w:val="41DA54D8"/>
    <w:rsid w:val="41E33C60"/>
    <w:rsid w:val="4243599A"/>
    <w:rsid w:val="42597579"/>
    <w:rsid w:val="429743D8"/>
    <w:rsid w:val="429F7DBC"/>
    <w:rsid w:val="42B42504"/>
    <w:rsid w:val="42C910A8"/>
    <w:rsid w:val="42FE64BD"/>
    <w:rsid w:val="43082452"/>
    <w:rsid w:val="43192030"/>
    <w:rsid w:val="43217136"/>
    <w:rsid w:val="43267CD4"/>
    <w:rsid w:val="4348021F"/>
    <w:rsid w:val="435E3EE6"/>
    <w:rsid w:val="43747266"/>
    <w:rsid w:val="43811A9E"/>
    <w:rsid w:val="4392187A"/>
    <w:rsid w:val="439C056B"/>
    <w:rsid w:val="43B753A5"/>
    <w:rsid w:val="43CF6B92"/>
    <w:rsid w:val="43E724A1"/>
    <w:rsid w:val="43FD36FF"/>
    <w:rsid w:val="441A605F"/>
    <w:rsid w:val="443133A9"/>
    <w:rsid w:val="44346AF1"/>
    <w:rsid w:val="444B2BC9"/>
    <w:rsid w:val="4464552C"/>
    <w:rsid w:val="446A45CF"/>
    <w:rsid w:val="448B4867"/>
    <w:rsid w:val="44972FAA"/>
    <w:rsid w:val="44A00989"/>
    <w:rsid w:val="44C63AF1"/>
    <w:rsid w:val="44DC56E3"/>
    <w:rsid w:val="44E346A3"/>
    <w:rsid w:val="44E81D12"/>
    <w:rsid w:val="44F00B6E"/>
    <w:rsid w:val="45294080"/>
    <w:rsid w:val="453256B7"/>
    <w:rsid w:val="45440EBA"/>
    <w:rsid w:val="454F7F8B"/>
    <w:rsid w:val="4550785F"/>
    <w:rsid w:val="45667082"/>
    <w:rsid w:val="45837C34"/>
    <w:rsid w:val="45A831F7"/>
    <w:rsid w:val="45B646EB"/>
    <w:rsid w:val="45BE2A1A"/>
    <w:rsid w:val="45CA5863"/>
    <w:rsid w:val="45DD34FC"/>
    <w:rsid w:val="45EA1A61"/>
    <w:rsid w:val="45FF21BE"/>
    <w:rsid w:val="46050649"/>
    <w:rsid w:val="46051679"/>
    <w:rsid w:val="4606438D"/>
    <w:rsid w:val="46090BDE"/>
    <w:rsid w:val="46133AD2"/>
    <w:rsid w:val="461B7E6D"/>
    <w:rsid w:val="462705C0"/>
    <w:rsid w:val="462C3E28"/>
    <w:rsid w:val="464E1FF0"/>
    <w:rsid w:val="46603AD2"/>
    <w:rsid w:val="46815F57"/>
    <w:rsid w:val="46A83CD3"/>
    <w:rsid w:val="46AA19E5"/>
    <w:rsid w:val="46D87B0C"/>
    <w:rsid w:val="473E02B7"/>
    <w:rsid w:val="475573AE"/>
    <w:rsid w:val="47767A51"/>
    <w:rsid w:val="478F0B12"/>
    <w:rsid w:val="47C00CCC"/>
    <w:rsid w:val="47D14C87"/>
    <w:rsid w:val="481608EC"/>
    <w:rsid w:val="481C1C7A"/>
    <w:rsid w:val="48284AC3"/>
    <w:rsid w:val="48427933"/>
    <w:rsid w:val="485564BC"/>
    <w:rsid w:val="48CF1343"/>
    <w:rsid w:val="48D013E2"/>
    <w:rsid w:val="48E56510"/>
    <w:rsid w:val="48E629B4"/>
    <w:rsid w:val="490177EE"/>
    <w:rsid w:val="491A3F69"/>
    <w:rsid w:val="49274D7D"/>
    <w:rsid w:val="49561C02"/>
    <w:rsid w:val="49831FB1"/>
    <w:rsid w:val="498E0956"/>
    <w:rsid w:val="499C12C5"/>
    <w:rsid w:val="49A308A5"/>
    <w:rsid w:val="49C56A6D"/>
    <w:rsid w:val="49CF51F6"/>
    <w:rsid w:val="49EA2030"/>
    <w:rsid w:val="4A114D9C"/>
    <w:rsid w:val="4AAD0D44"/>
    <w:rsid w:val="4AB13D76"/>
    <w:rsid w:val="4AB37677"/>
    <w:rsid w:val="4AD827D0"/>
    <w:rsid w:val="4AE34681"/>
    <w:rsid w:val="4AE9678B"/>
    <w:rsid w:val="4AF8077D"/>
    <w:rsid w:val="4B066536"/>
    <w:rsid w:val="4B1F3F5B"/>
    <w:rsid w:val="4B307A26"/>
    <w:rsid w:val="4B387D17"/>
    <w:rsid w:val="4B413ED2"/>
    <w:rsid w:val="4B4E1CA3"/>
    <w:rsid w:val="4B4E65EF"/>
    <w:rsid w:val="4B7122DD"/>
    <w:rsid w:val="4B842010"/>
    <w:rsid w:val="4B991F60"/>
    <w:rsid w:val="4BAA266A"/>
    <w:rsid w:val="4BDE3E16"/>
    <w:rsid w:val="4BE1003F"/>
    <w:rsid w:val="4BEB208F"/>
    <w:rsid w:val="4C1F3C81"/>
    <w:rsid w:val="4C237A7B"/>
    <w:rsid w:val="4C435E69"/>
    <w:rsid w:val="4C4D4AF8"/>
    <w:rsid w:val="4C55063A"/>
    <w:rsid w:val="4C59349D"/>
    <w:rsid w:val="4C5D11DF"/>
    <w:rsid w:val="4C6F2904"/>
    <w:rsid w:val="4CBE46CE"/>
    <w:rsid w:val="4CCD0AB5"/>
    <w:rsid w:val="4CDB2EB0"/>
    <w:rsid w:val="4CFD3C38"/>
    <w:rsid w:val="4D151ABA"/>
    <w:rsid w:val="4D875DE8"/>
    <w:rsid w:val="4DA47E55"/>
    <w:rsid w:val="4DB017E2"/>
    <w:rsid w:val="4DB82445"/>
    <w:rsid w:val="4DCC13C3"/>
    <w:rsid w:val="4DD205EF"/>
    <w:rsid w:val="4DD86643"/>
    <w:rsid w:val="4DF54449"/>
    <w:rsid w:val="4DFA78CC"/>
    <w:rsid w:val="4E08517B"/>
    <w:rsid w:val="4E402B66"/>
    <w:rsid w:val="4E4D7B93"/>
    <w:rsid w:val="4E5E7A74"/>
    <w:rsid w:val="4E67795E"/>
    <w:rsid w:val="4ECA2430"/>
    <w:rsid w:val="4ED7529B"/>
    <w:rsid w:val="4EFA0F67"/>
    <w:rsid w:val="4F0B3174"/>
    <w:rsid w:val="4F257D14"/>
    <w:rsid w:val="4F3065A0"/>
    <w:rsid w:val="4F493C9D"/>
    <w:rsid w:val="4F5A4477"/>
    <w:rsid w:val="4F5F526E"/>
    <w:rsid w:val="4F6A54BA"/>
    <w:rsid w:val="4F6C34E7"/>
    <w:rsid w:val="4F8C3B89"/>
    <w:rsid w:val="4F8D1B6C"/>
    <w:rsid w:val="4F952A3E"/>
    <w:rsid w:val="4F997C78"/>
    <w:rsid w:val="4FA64C4B"/>
    <w:rsid w:val="4FA64CF5"/>
    <w:rsid w:val="4FB629B4"/>
    <w:rsid w:val="4FD25A40"/>
    <w:rsid w:val="4FE70DC0"/>
    <w:rsid w:val="4FE74646"/>
    <w:rsid w:val="4FEE03A0"/>
    <w:rsid w:val="4FF80DAE"/>
    <w:rsid w:val="501778F7"/>
    <w:rsid w:val="5038206F"/>
    <w:rsid w:val="503B1837"/>
    <w:rsid w:val="50463D38"/>
    <w:rsid w:val="504B30B2"/>
    <w:rsid w:val="505228B2"/>
    <w:rsid w:val="50630D8E"/>
    <w:rsid w:val="50642410"/>
    <w:rsid w:val="50854860"/>
    <w:rsid w:val="50A176B3"/>
    <w:rsid w:val="50AF7B2F"/>
    <w:rsid w:val="50B82E88"/>
    <w:rsid w:val="50BE1359"/>
    <w:rsid w:val="50E52925"/>
    <w:rsid w:val="51022355"/>
    <w:rsid w:val="51112019"/>
    <w:rsid w:val="512D7E41"/>
    <w:rsid w:val="51312C3A"/>
    <w:rsid w:val="515472E0"/>
    <w:rsid w:val="5179696D"/>
    <w:rsid w:val="51917235"/>
    <w:rsid w:val="51962A9D"/>
    <w:rsid w:val="51A11906"/>
    <w:rsid w:val="51B86EB8"/>
    <w:rsid w:val="51C92E73"/>
    <w:rsid w:val="51EB103B"/>
    <w:rsid w:val="520D7203"/>
    <w:rsid w:val="52157E66"/>
    <w:rsid w:val="52383B54"/>
    <w:rsid w:val="523D116B"/>
    <w:rsid w:val="52614E59"/>
    <w:rsid w:val="526A01B2"/>
    <w:rsid w:val="527137BB"/>
    <w:rsid w:val="52B7716F"/>
    <w:rsid w:val="52C06024"/>
    <w:rsid w:val="52CA6EA2"/>
    <w:rsid w:val="52CF44B9"/>
    <w:rsid w:val="52D8149A"/>
    <w:rsid w:val="52E141EC"/>
    <w:rsid w:val="52ED4A5D"/>
    <w:rsid w:val="53283BC9"/>
    <w:rsid w:val="534327B1"/>
    <w:rsid w:val="53515E9C"/>
    <w:rsid w:val="537F5ABB"/>
    <w:rsid w:val="53994B4A"/>
    <w:rsid w:val="53A4251F"/>
    <w:rsid w:val="53B01CE2"/>
    <w:rsid w:val="53B20A76"/>
    <w:rsid w:val="53B813F1"/>
    <w:rsid w:val="53DD0E57"/>
    <w:rsid w:val="53FA37B7"/>
    <w:rsid w:val="53FC2370"/>
    <w:rsid w:val="53FC4FDD"/>
    <w:rsid w:val="53FE280A"/>
    <w:rsid w:val="540E1FEE"/>
    <w:rsid w:val="541D74A6"/>
    <w:rsid w:val="54216F96"/>
    <w:rsid w:val="543933C3"/>
    <w:rsid w:val="543C5B7E"/>
    <w:rsid w:val="544D5624"/>
    <w:rsid w:val="54596730"/>
    <w:rsid w:val="5465429B"/>
    <w:rsid w:val="547C241E"/>
    <w:rsid w:val="548A4B3B"/>
    <w:rsid w:val="549C486F"/>
    <w:rsid w:val="54AA0D3A"/>
    <w:rsid w:val="54E3249D"/>
    <w:rsid w:val="5504053B"/>
    <w:rsid w:val="5520724E"/>
    <w:rsid w:val="55346855"/>
    <w:rsid w:val="553B4087"/>
    <w:rsid w:val="554C0043"/>
    <w:rsid w:val="554F7B33"/>
    <w:rsid w:val="55540CA5"/>
    <w:rsid w:val="55B41744"/>
    <w:rsid w:val="55E13102"/>
    <w:rsid w:val="55EE1F87"/>
    <w:rsid w:val="561D4A15"/>
    <w:rsid w:val="56226FF5"/>
    <w:rsid w:val="563947B3"/>
    <w:rsid w:val="563C00B7"/>
    <w:rsid w:val="563C1E65"/>
    <w:rsid w:val="563F1955"/>
    <w:rsid w:val="566969D2"/>
    <w:rsid w:val="56701B0F"/>
    <w:rsid w:val="567D422C"/>
    <w:rsid w:val="56837A94"/>
    <w:rsid w:val="56892BD1"/>
    <w:rsid w:val="56934835"/>
    <w:rsid w:val="56B57CAD"/>
    <w:rsid w:val="56BB2A06"/>
    <w:rsid w:val="56D842AC"/>
    <w:rsid w:val="56FA587C"/>
    <w:rsid w:val="570566FB"/>
    <w:rsid w:val="570A1F63"/>
    <w:rsid w:val="570A5ABF"/>
    <w:rsid w:val="570D63DD"/>
    <w:rsid w:val="572F3F71"/>
    <w:rsid w:val="57323268"/>
    <w:rsid w:val="5794182D"/>
    <w:rsid w:val="579F3F38"/>
    <w:rsid w:val="57CF2865"/>
    <w:rsid w:val="57D165DD"/>
    <w:rsid w:val="57FA1FD8"/>
    <w:rsid w:val="57FA3D86"/>
    <w:rsid w:val="57FA43F1"/>
    <w:rsid w:val="581872E3"/>
    <w:rsid w:val="58284A5C"/>
    <w:rsid w:val="58465272"/>
    <w:rsid w:val="58532F19"/>
    <w:rsid w:val="58635BDD"/>
    <w:rsid w:val="587F00E5"/>
    <w:rsid w:val="58AB32C3"/>
    <w:rsid w:val="58B063F2"/>
    <w:rsid w:val="58B8154B"/>
    <w:rsid w:val="58BE23EE"/>
    <w:rsid w:val="58E87019"/>
    <w:rsid w:val="58F307D5"/>
    <w:rsid w:val="59017499"/>
    <w:rsid w:val="59044790"/>
    <w:rsid w:val="59092D25"/>
    <w:rsid w:val="590D5382"/>
    <w:rsid w:val="594A2AEB"/>
    <w:rsid w:val="594E52BA"/>
    <w:rsid w:val="59637709"/>
    <w:rsid w:val="5975743C"/>
    <w:rsid w:val="59C12681"/>
    <w:rsid w:val="59D96D24"/>
    <w:rsid w:val="59DB3743"/>
    <w:rsid w:val="59E44CEE"/>
    <w:rsid w:val="5A0A63EF"/>
    <w:rsid w:val="5A1153B7"/>
    <w:rsid w:val="5A3B0686"/>
    <w:rsid w:val="5A3C6FC5"/>
    <w:rsid w:val="5A461504"/>
    <w:rsid w:val="5A470DD9"/>
    <w:rsid w:val="5A4F5EDF"/>
    <w:rsid w:val="5A50759E"/>
    <w:rsid w:val="5A517EA9"/>
    <w:rsid w:val="5A856C30"/>
    <w:rsid w:val="5A961489"/>
    <w:rsid w:val="5A963B0E"/>
    <w:rsid w:val="5AAD1584"/>
    <w:rsid w:val="5AB126F6"/>
    <w:rsid w:val="5ABE5803"/>
    <w:rsid w:val="5AC661A1"/>
    <w:rsid w:val="5AE623A0"/>
    <w:rsid w:val="5AE96B3B"/>
    <w:rsid w:val="5AEB3E5A"/>
    <w:rsid w:val="5AF05506"/>
    <w:rsid w:val="5AF251E8"/>
    <w:rsid w:val="5AF34ABD"/>
    <w:rsid w:val="5B101B12"/>
    <w:rsid w:val="5B1A473F"/>
    <w:rsid w:val="5B1F3B03"/>
    <w:rsid w:val="5B2A7F91"/>
    <w:rsid w:val="5B3D4FB9"/>
    <w:rsid w:val="5B5B0FE0"/>
    <w:rsid w:val="5B6D3D29"/>
    <w:rsid w:val="5B8C350C"/>
    <w:rsid w:val="5BA41A87"/>
    <w:rsid w:val="5BC528FD"/>
    <w:rsid w:val="5BCD153A"/>
    <w:rsid w:val="5BD448EE"/>
    <w:rsid w:val="5BD83D69"/>
    <w:rsid w:val="5BEA4A06"/>
    <w:rsid w:val="5BF64864"/>
    <w:rsid w:val="5C0532CB"/>
    <w:rsid w:val="5C3972D9"/>
    <w:rsid w:val="5C3B2BBF"/>
    <w:rsid w:val="5C4264A7"/>
    <w:rsid w:val="5C460B25"/>
    <w:rsid w:val="5C473312"/>
    <w:rsid w:val="5C533A65"/>
    <w:rsid w:val="5C582B91"/>
    <w:rsid w:val="5C6320AB"/>
    <w:rsid w:val="5C645C72"/>
    <w:rsid w:val="5C8400C2"/>
    <w:rsid w:val="5D0336DD"/>
    <w:rsid w:val="5D041203"/>
    <w:rsid w:val="5D145BCA"/>
    <w:rsid w:val="5D1F763C"/>
    <w:rsid w:val="5D243653"/>
    <w:rsid w:val="5D3C0503"/>
    <w:rsid w:val="5D535CE6"/>
    <w:rsid w:val="5D5C2DED"/>
    <w:rsid w:val="5D610403"/>
    <w:rsid w:val="5D6879E4"/>
    <w:rsid w:val="5D6F0D72"/>
    <w:rsid w:val="5D906F22"/>
    <w:rsid w:val="5DB26EB1"/>
    <w:rsid w:val="5DC42740"/>
    <w:rsid w:val="5DEC23C3"/>
    <w:rsid w:val="5DFB0858"/>
    <w:rsid w:val="5DFC134E"/>
    <w:rsid w:val="5DFD3EE8"/>
    <w:rsid w:val="5E153AB1"/>
    <w:rsid w:val="5E2D4789"/>
    <w:rsid w:val="5E40626B"/>
    <w:rsid w:val="5E443FAD"/>
    <w:rsid w:val="5F166FCB"/>
    <w:rsid w:val="5F2611DD"/>
    <w:rsid w:val="5F2D37C3"/>
    <w:rsid w:val="5F4B34EA"/>
    <w:rsid w:val="5F577D10"/>
    <w:rsid w:val="5F702B80"/>
    <w:rsid w:val="5F731C30"/>
    <w:rsid w:val="5F881C77"/>
    <w:rsid w:val="5F900245"/>
    <w:rsid w:val="5FCD7FD2"/>
    <w:rsid w:val="60065292"/>
    <w:rsid w:val="6008725C"/>
    <w:rsid w:val="6031230F"/>
    <w:rsid w:val="604F224F"/>
    <w:rsid w:val="6051475F"/>
    <w:rsid w:val="60583D40"/>
    <w:rsid w:val="605C4EB2"/>
    <w:rsid w:val="60AE3960"/>
    <w:rsid w:val="60B30F76"/>
    <w:rsid w:val="60BB7E2A"/>
    <w:rsid w:val="60D84E80"/>
    <w:rsid w:val="60EC59B8"/>
    <w:rsid w:val="6101310B"/>
    <w:rsid w:val="610C68D8"/>
    <w:rsid w:val="611A7D93"/>
    <w:rsid w:val="61266653"/>
    <w:rsid w:val="61644A53"/>
    <w:rsid w:val="617A1A94"/>
    <w:rsid w:val="619D4FB6"/>
    <w:rsid w:val="61D03DA9"/>
    <w:rsid w:val="61D1753E"/>
    <w:rsid w:val="61DB360A"/>
    <w:rsid w:val="62035F2D"/>
    <w:rsid w:val="6215177B"/>
    <w:rsid w:val="6232236E"/>
    <w:rsid w:val="6259543B"/>
    <w:rsid w:val="62683FE2"/>
    <w:rsid w:val="628506F0"/>
    <w:rsid w:val="62AA0157"/>
    <w:rsid w:val="62BF00A6"/>
    <w:rsid w:val="62C6161E"/>
    <w:rsid w:val="62D46BC5"/>
    <w:rsid w:val="62D84CC4"/>
    <w:rsid w:val="6304778E"/>
    <w:rsid w:val="63057A83"/>
    <w:rsid w:val="630755A9"/>
    <w:rsid w:val="630C65BC"/>
    <w:rsid w:val="63302D52"/>
    <w:rsid w:val="634405AB"/>
    <w:rsid w:val="63495BC1"/>
    <w:rsid w:val="634B7B8C"/>
    <w:rsid w:val="63502DF1"/>
    <w:rsid w:val="635400CA"/>
    <w:rsid w:val="636447A9"/>
    <w:rsid w:val="63780255"/>
    <w:rsid w:val="638C5AAE"/>
    <w:rsid w:val="6390559E"/>
    <w:rsid w:val="63A63014"/>
    <w:rsid w:val="63B741AB"/>
    <w:rsid w:val="63C45248"/>
    <w:rsid w:val="63FF0976"/>
    <w:rsid w:val="640D4E41"/>
    <w:rsid w:val="641053E9"/>
    <w:rsid w:val="6457430E"/>
    <w:rsid w:val="64680FC0"/>
    <w:rsid w:val="646D58E0"/>
    <w:rsid w:val="647924D6"/>
    <w:rsid w:val="64925346"/>
    <w:rsid w:val="64B968FB"/>
    <w:rsid w:val="64CF20F6"/>
    <w:rsid w:val="64D15E6F"/>
    <w:rsid w:val="64F16511"/>
    <w:rsid w:val="64FB0EFC"/>
    <w:rsid w:val="650049A6"/>
    <w:rsid w:val="651641C9"/>
    <w:rsid w:val="653308D7"/>
    <w:rsid w:val="653C401F"/>
    <w:rsid w:val="655D3BA6"/>
    <w:rsid w:val="656211BC"/>
    <w:rsid w:val="65662279"/>
    <w:rsid w:val="65670581"/>
    <w:rsid w:val="659A6B77"/>
    <w:rsid w:val="65A672FB"/>
    <w:rsid w:val="65B807DC"/>
    <w:rsid w:val="65DF0A5F"/>
    <w:rsid w:val="66164CAE"/>
    <w:rsid w:val="66430FEE"/>
    <w:rsid w:val="66567A27"/>
    <w:rsid w:val="666A0329"/>
    <w:rsid w:val="668F5FE1"/>
    <w:rsid w:val="66AC6CBF"/>
    <w:rsid w:val="66C739CD"/>
    <w:rsid w:val="66D0277B"/>
    <w:rsid w:val="66ED2D08"/>
    <w:rsid w:val="66F81DD8"/>
    <w:rsid w:val="672524A2"/>
    <w:rsid w:val="6751773B"/>
    <w:rsid w:val="67763AC2"/>
    <w:rsid w:val="677B0314"/>
    <w:rsid w:val="677B47B7"/>
    <w:rsid w:val="679703E1"/>
    <w:rsid w:val="679D64DC"/>
    <w:rsid w:val="67BF277A"/>
    <w:rsid w:val="67D0065F"/>
    <w:rsid w:val="67D11A4E"/>
    <w:rsid w:val="67DD306E"/>
    <w:rsid w:val="67F5421D"/>
    <w:rsid w:val="681349F0"/>
    <w:rsid w:val="681C56E8"/>
    <w:rsid w:val="681F4C58"/>
    <w:rsid w:val="6821710D"/>
    <w:rsid w:val="6826630B"/>
    <w:rsid w:val="684162B1"/>
    <w:rsid w:val="687F26E6"/>
    <w:rsid w:val="68A5237F"/>
    <w:rsid w:val="68C741D6"/>
    <w:rsid w:val="68E5013A"/>
    <w:rsid w:val="69024A99"/>
    <w:rsid w:val="6917406C"/>
    <w:rsid w:val="693004E4"/>
    <w:rsid w:val="695A0B28"/>
    <w:rsid w:val="69676DA1"/>
    <w:rsid w:val="69704AFB"/>
    <w:rsid w:val="69974DA1"/>
    <w:rsid w:val="69B30239"/>
    <w:rsid w:val="69D41F5D"/>
    <w:rsid w:val="69D56401"/>
    <w:rsid w:val="69E431A6"/>
    <w:rsid w:val="69F34AD9"/>
    <w:rsid w:val="69F83E9D"/>
    <w:rsid w:val="6A210F7F"/>
    <w:rsid w:val="6A22716C"/>
    <w:rsid w:val="6A505A87"/>
    <w:rsid w:val="6A902328"/>
    <w:rsid w:val="6AB57FE0"/>
    <w:rsid w:val="6AC56475"/>
    <w:rsid w:val="6AD77F57"/>
    <w:rsid w:val="6AD9782B"/>
    <w:rsid w:val="6AE52674"/>
    <w:rsid w:val="6AEA7C8A"/>
    <w:rsid w:val="6AFE54E3"/>
    <w:rsid w:val="6B0A3E88"/>
    <w:rsid w:val="6B111D2C"/>
    <w:rsid w:val="6B12567A"/>
    <w:rsid w:val="6B19056F"/>
    <w:rsid w:val="6B2B0AAB"/>
    <w:rsid w:val="6B377539"/>
    <w:rsid w:val="6B5D66AE"/>
    <w:rsid w:val="6B95269F"/>
    <w:rsid w:val="6B9D6AAA"/>
    <w:rsid w:val="6BB362CE"/>
    <w:rsid w:val="6BFC6846"/>
    <w:rsid w:val="6C0D22B3"/>
    <w:rsid w:val="6C494E84"/>
    <w:rsid w:val="6C537AB1"/>
    <w:rsid w:val="6C613F7C"/>
    <w:rsid w:val="6C8934D3"/>
    <w:rsid w:val="6C9A45DE"/>
    <w:rsid w:val="6C9C4FB4"/>
    <w:rsid w:val="6CA200F0"/>
    <w:rsid w:val="6CB81EF4"/>
    <w:rsid w:val="6CC12C6C"/>
    <w:rsid w:val="6CC87B57"/>
    <w:rsid w:val="6CDF2B8A"/>
    <w:rsid w:val="6CFC1EF7"/>
    <w:rsid w:val="6D0A20C6"/>
    <w:rsid w:val="6D0A63C2"/>
    <w:rsid w:val="6D2531FB"/>
    <w:rsid w:val="6D473E2C"/>
    <w:rsid w:val="6D5C2995"/>
    <w:rsid w:val="6D633D24"/>
    <w:rsid w:val="6D7952F5"/>
    <w:rsid w:val="6D837F22"/>
    <w:rsid w:val="6DA55F71"/>
    <w:rsid w:val="6DC347C2"/>
    <w:rsid w:val="6DD469CF"/>
    <w:rsid w:val="6DF36E56"/>
    <w:rsid w:val="6DFB3F5C"/>
    <w:rsid w:val="6E1B50CF"/>
    <w:rsid w:val="6E443B55"/>
    <w:rsid w:val="6E5C0E9F"/>
    <w:rsid w:val="6E694ECD"/>
    <w:rsid w:val="6E7B6E4B"/>
    <w:rsid w:val="6E7C509D"/>
    <w:rsid w:val="6E865F1C"/>
    <w:rsid w:val="6E922B12"/>
    <w:rsid w:val="6E963C85"/>
    <w:rsid w:val="6EC5521F"/>
    <w:rsid w:val="6ECE341F"/>
    <w:rsid w:val="6ED70525"/>
    <w:rsid w:val="6EEB2223"/>
    <w:rsid w:val="6F3F341C"/>
    <w:rsid w:val="6F4656AB"/>
    <w:rsid w:val="6F9C351D"/>
    <w:rsid w:val="6FA67EF8"/>
    <w:rsid w:val="6FAF5BE3"/>
    <w:rsid w:val="6FB548D7"/>
    <w:rsid w:val="6FC77E64"/>
    <w:rsid w:val="6FCF38F2"/>
    <w:rsid w:val="6FD1766A"/>
    <w:rsid w:val="6FDB2297"/>
    <w:rsid w:val="6FE746A6"/>
    <w:rsid w:val="6FEA6736"/>
    <w:rsid w:val="6FF13869"/>
    <w:rsid w:val="700E45FE"/>
    <w:rsid w:val="70206492"/>
    <w:rsid w:val="702B2CA3"/>
    <w:rsid w:val="7036127C"/>
    <w:rsid w:val="707A1AB0"/>
    <w:rsid w:val="709F32C5"/>
    <w:rsid w:val="70CC4358"/>
    <w:rsid w:val="70D15E8E"/>
    <w:rsid w:val="70D50E7A"/>
    <w:rsid w:val="70E92792"/>
    <w:rsid w:val="70EE5FFA"/>
    <w:rsid w:val="70F3716D"/>
    <w:rsid w:val="70FC0717"/>
    <w:rsid w:val="70FC24C5"/>
    <w:rsid w:val="71426181"/>
    <w:rsid w:val="715916C6"/>
    <w:rsid w:val="716B31A7"/>
    <w:rsid w:val="71870F05"/>
    <w:rsid w:val="718A6DE4"/>
    <w:rsid w:val="71900706"/>
    <w:rsid w:val="71902C0D"/>
    <w:rsid w:val="71A234AE"/>
    <w:rsid w:val="71AF75F9"/>
    <w:rsid w:val="71E27C5B"/>
    <w:rsid w:val="72005FE5"/>
    <w:rsid w:val="72231CD3"/>
    <w:rsid w:val="723D0FE7"/>
    <w:rsid w:val="725956F5"/>
    <w:rsid w:val="726A6B4B"/>
    <w:rsid w:val="726D3825"/>
    <w:rsid w:val="727D3192"/>
    <w:rsid w:val="72AE3C93"/>
    <w:rsid w:val="72E871A5"/>
    <w:rsid w:val="72F04FBF"/>
    <w:rsid w:val="73117D7E"/>
    <w:rsid w:val="73217FC1"/>
    <w:rsid w:val="73287B32"/>
    <w:rsid w:val="73397A01"/>
    <w:rsid w:val="733F2B3D"/>
    <w:rsid w:val="73412411"/>
    <w:rsid w:val="73467A28"/>
    <w:rsid w:val="73604214"/>
    <w:rsid w:val="736842D5"/>
    <w:rsid w:val="73724CC1"/>
    <w:rsid w:val="737C4FC7"/>
    <w:rsid w:val="73AD3F4B"/>
    <w:rsid w:val="73D2575F"/>
    <w:rsid w:val="73D64EF9"/>
    <w:rsid w:val="73E07E7C"/>
    <w:rsid w:val="73E13BF4"/>
    <w:rsid w:val="73F86BA7"/>
    <w:rsid w:val="741D62AC"/>
    <w:rsid w:val="74235FBB"/>
    <w:rsid w:val="745A5011"/>
    <w:rsid w:val="74654825"/>
    <w:rsid w:val="74A44A77"/>
    <w:rsid w:val="74B17A6A"/>
    <w:rsid w:val="74C3581E"/>
    <w:rsid w:val="74E7523A"/>
    <w:rsid w:val="75194855"/>
    <w:rsid w:val="75387D87"/>
    <w:rsid w:val="75393146"/>
    <w:rsid w:val="75680129"/>
    <w:rsid w:val="75790588"/>
    <w:rsid w:val="759B3BBA"/>
    <w:rsid w:val="75A153E9"/>
    <w:rsid w:val="75AF5D58"/>
    <w:rsid w:val="75B90985"/>
    <w:rsid w:val="75CA0DE4"/>
    <w:rsid w:val="75CF63FA"/>
    <w:rsid w:val="75D07FFD"/>
    <w:rsid w:val="75DC697D"/>
    <w:rsid w:val="75E35A02"/>
    <w:rsid w:val="75F77062"/>
    <w:rsid w:val="76327BDF"/>
    <w:rsid w:val="763715E5"/>
    <w:rsid w:val="76487F5B"/>
    <w:rsid w:val="76522B87"/>
    <w:rsid w:val="767D7C04"/>
    <w:rsid w:val="76876CD5"/>
    <w:rsid w:val="76F61765"/>
    <w:rsid w:val="76F84DDB"/>
    <w:rsid w:val="77254BCD"/>
    <w:rsid w:val="77307466"/>
    <w:rsid w:val="773B0B35"/>
    <w:rsid w:val="77400C32"/>
    <w:rsid w:val="7746487F"/>
    <w:rsid w:val="774D3A7A"/>
    <w:rsid w:val="77582D17"/>
    <w:rsid w:val="775B1CAC"/>
    <w:rsid w:val="776668EA"/>
    <w:rsid w:val="77752FD1"/>
    <w:rsid w:val="779600E9"/>
    <w:rsid w:val="77BA6C36"/>
    <w:rsid w:val="77D01FB6"/>
    <w:rsid w:val="77DE4C72"/>
    <w:rsid w:val="77E141C3"/>
    <w:rsid w:val="77ED2216"/>
    <w:rsid w:val="77F24622"/>
    <w:rsid w:val="78016A73"/>
    <w:rsid w:val="780305DD"/>
    <w:rsid w:val="781C344D"/>
    <w:rsid w:val="783267CC"/>
    <w:rsid w:val="784D1858"/>
    <w:rsid w:val="7855375D"/>
    <w:rsid w:val="78654DF4"/>
    <w:rsid w:val="786848E4"/>
    <w:rsid w:val="78801C2E"/>
    <w:rsid w:val="78E21FA1"/>
    <w:rsid w:val="78F97432"/>
    <w:rsid w:val="79021810"/>
    <w:rsid w:val="79060EF9"/>
    <w:rsid w:val="79110AD8"/>
    <w:rsid w:val="79162B2F"/>
    <w:rsid w:val="79362696"/>
    <w:rsid w:val="79501600"/>
    <w:rsid w:val="796F0529"/>
    <w:rsid w:val="79853D2E"/>
    <w:rsid w:val="799D236B"/>
    <w:rsid w:val="79CB6ED9"/>
    <w:rsid w:val="79D02741"/>
    <w:rsid w:val="79F53F55"/>
    <w:rsid w:val="7A001197"/>
    <w:rsid w:val="7A1A2041"/>
    <w:rsid w:val="7A4E3C65"/>
    <w:rsid w:val="7A991A46"/>
    <w:rsid w:val="7AB61937"/>
    <w:rsid w:val="7ABC3EBD"/>
    <w:rsid w:val="7AC13EAA"/>
    <w:rsid w:val="7AED10D1"/>
    <w:rsid w:val="7AFA627F"/>
    <w:rsid w:val="7B046B46"/>
    <w:rsid w:val="7B1E74DC"/>
    <w:rsid w:val="7B1F5C79"/>
    <w:rsid w:val="7B2749F3"/>
    <w:rsid w:val="7B2A40D3"/>
    <w:rsid w:val="7B2F16E9"/>
    <w:rsid w:val="7B3E48AE"/>
    <w:rsid w:val="7B626F04"/>
    <w:rsid w:val="7B643141"/>
    <w:rsid w:val="7B6E2211"/>
    <w:rsid w:val="7B801F03"/>
    <w:rsid w:val="7B8F3F36"/>
    <w:rsid w:val="7BAD1AA1"/>
    <w:rsid w:val="7BC938EC"/>
    <w:rsid w:val="7BD5403F"/>
    <w:rsid w:val="7BE654C8"/>
    <w:rsid w:val="7C2F7314"/>
    <w:rsid w:val="7C4E4C8C"/>
    <w:rsid w:val="7C6453C2"/>
    <w:rsid w:val="7C7278F9"/>
    <w:rsid w:val="7C743857"/>
    <w:rsid w:val="7C7750F6"/>
    <w:rsid w:val="7C99506C"/>
    <w:rsid w:val="7CA86672"/>
    <w:rsid w:val="7CBE0F77"/>
    <w:rsid w:val="7CC52305"/>
    <w:rsid w:val="7CCA3AE8"/>
    <w:rsid w:val="7CE0713F"/>
    <w:rsid w:val="7CFB1883"/>
    <w:rsid w:val="7D100033"/>
    <w:rsid w:val="7D197F5B"/>
    <w:rsid w:val="7D1C7A4B"/>
    <w:rsid w:val="7D2D571E"/>
    <w:rsid w:val="7D2E7EAA"/>
    <w:rsid w:val="7D32101D"/>
    <w:rsid w:val="7D3354C1"/>
    <w:rsid w:val="7D39684F"/>
    <w:rsid w:val="7D746E39"/>
    <w:rsid w:val="7D85105A"/>
    <w:rsid w:val="7D92107A"/>
    <w:rsid w:val="7DA939D5"/>
    <w:rsid w:val="7DAE0FEB"/>
    <w:rsid w:val="7DC720AD"/>
    <w:rsid w:val="7DCE6F97"/>
    <w:rsid w:val="7DDE1BA2"/>
    <w:rsid w:val="7DDF2F52"/>
    <w:rsid w:val="7DFF53A3"/>
    <w:rsid w:val="7E0B5511"/>
    <w:rsid w:val="7E320D2D"/>
    <w:rsid w:val="7E380D1F"/>
    <w:rsid w:val="7E3F7E95"/>
    <w:rsid w:val="7E543940"/>
    <w:rsid w:val="7E5820D7"/>
    <w:rsid w:val="7E617E0B"/>
    <w:rsid w:val="7E71140E"/>
    <w:rsid w:val="7E747B3F"/>
    <w:rsid w:val="7E81225C"/>
    <w:rsid w:val="7E830493"/>
    <w:rsid w:val="7E87391A"/>
    <w:rsid w:val="7E9957F7"/>
    <w:rsid w:val="7ED93E46"/>
    <w:rsid w:val="7EDF50F2"/>
    <w:rsid w:val="7EE06F82"/>
    <w:rsid w:val="7EE50A3C"/>
    <w:rsid w:val="7EE75640"/>
    <w:rsid w:val="7F0709B3"/>
    <w:rsid w:val="7F413799"/>
    <w:rsid w:val="7F437511"/>
    <w:rsid w:val="7F475253"/>
    <w:rsid w:val="7F5D5585"/>
    <w:rsid w:val="7F5E259D"/>
    <w:rsid w:val="7F7528DF"/>
    <w:rsid w:val="7F94415B"/>
    <w:rsid w:val="7FAC50B6"/>
    <w:rsid w:val="7FC75136"/>
    <w:rsid w:val="7FE900B8"/>
    <w:rsid w:val="7FF2742E"/>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qFormat/>
    <w:uiPriority w:val="0"/>
    <w:pPr>
      <w:jc w:val="left"/>
    </w:pPr>
  </w:style>
  <w:style w:type="paragraph" w:styleId="3">
    <w:name w:val="footer"/>
    <w:basedOn w:val="1"/>
    <w:link w:val="16"/>
    <w:autoRedefine/>
    <w:qFormat/>
    <w:uiPriority w:val="99"/>
    <w:pPr>
      <w:tabs>
        <w:tab w:val="center" w:pos="4153"/>
        <w:tab w:val="right" w:pos="8306"/>
      </w:tabs>
      <w:snapToGrid w:val="0"/>
      <w:jc w:val="left"/>
    </w:pPr>
    <w:rPr>
      <w:sz w:val="18"/>
      <w:szCs w:val="18"/>
    </w:rPr>
  </w:style>
  <w:style w:type="paragraph" w:styleId="4">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paragraph" w:styleId="6">
    <w:name w:val="annotation subject"/>
    <w:basedOn w:val="2"/>
    <w:next w:val="2"/>
    <w:link w:val="14"/>
    <w:autoRedefine/>
    <w:qFormat/>
    <w:uiPriority w:val="0"/>
    <w:rPr>
      <w:b/>
      <w:bCs/>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annotation reference"/>
    <w:basedOn w:val="9"/>
    <w:autoRedefine/>
    <w:qFormat/>
    <w:uiPriority w:val="0"/>
    <w:rPr>
      <w:sz w:val="21"/>
      <w:szCs w:val="21"/>
    </w:rPr>
  </w:style>
  <w:style w:type="paragraph" w:styleId="12">
    <w:name w:val="List Paragraph"/>
    <w:basedOn w:val="1"/>
    <w:autoRedefine/>
    <w:qFormat/>
    <w:uiPriority w:val="34"/>
    <w:pPr>
      <w:ind w:firstLine="420" w:firstLineChars="200"/>
    </w:pPr>
    <w:rPr>
      <w:rFonts w:ascii="等线" w:hAnsi="等线" w:eastAsia="等线"/>
      <w:szCs w:val="22"/>
    </w:rPr>
  </w:style>
  <w:style w:type="paragraph" w:customStyle="1" w:styleId="13">
    <w:name w:val="_Style 10"/>
    <w:autoRedefine/>
    <w:unhideWhenUsed/>
    <w:qFormat/>
    <w:uiPriority w:val="99"/>
    <w:rPr>
      <w:rFonts w:ascii="Calibri" w:hAnsi="Calibri" w:eastAsia="宋体" w:cs="Times New Roman"/>
      <w:kern w:val="2"/>
      <w:sz w:val="21"/>
      <w:szCs w:val="24"/>
      <w:lang w:val="en-US" w:eastAsia="zh-CN" w:bidi="ar-SA"/>
    </w:rPr>
  </w:style>
  <w:style w:type="character" w:customStyle="1" w:styleId="14">
    <w:name w:val="批注主题 字符"/>
    <w:link w:val="6"/>
    <w:autoRedefine/>
    <w:qFormat/>
    <w:uiPriority w:val="0"/>
    <w:rPr>
      <w:b/>
      <w:bCs/>
      <w:kern w:val="2"/>
      <w:sz w:val="21"/>
      <w:szCs w:val="24"/>
    </w:rPr>
  </w:style>
  <w:style w:type="character" w:customStyle="1" w:styleId="15">
    <w:name w:val="批注文字 字符"/>
    <w:link w:val="2"/>
    <w:autoRedefine/>
    <w:qFormat/>
    <w:uiPriority w:val="0"/>
    <w:rPr>
      <w:kern w:val="2"/>
      <w:sz w:val="21"/>
      <w:szCs w:val="24"/>
    </w:rPr>
  </w:style>
  <w:style w:type="character" w:customStyle="1" w:styleId="16">
    <w:name w:val="页脚 字符"/>
    <w:link w:val="3"/>
    <w:autoRedefine/>
    <w:qFormat/>
    <w:uiPriority w:val="99"/>
    <w:rPr>
      <w:rFonts w:ascii="Calibri" w:hAnsi="Calibri"/>
      <w:kern w:val="2"/>
      <w:sz w:val="18"/>
      <w:szCs w:val="18"/>
    </w:rPr>
  </w:style>
  <w:style w:type="character" w:customStyle="1" w:styleId="17">
    <w:name w:val="页眉 字符"/>
    <w:link w:val="4"/>
    <w:autoRedefine/>
    <w:qFormat/>
    <w:uiPriority w:val="0"/>
    <w:rPr>
      <w:rFonts w:ascii="Calibri" w:hAnsi="Calibri"/>
      <w:kern w:val="2"/>
      <w:sz w:val="18"/>
      <w:szCs w:val="18"/>
    </w:rPr>
  </w:style>
  <w:style w:type="paragraph" w:customStyle="1" w:styleId="18">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16cac52c-7f0b-4e8a-8db1-cd56e9d5015f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3AA7D9E0</paraID>
      <start>0</start>
      <end>2</end>
      <status>unmodified</status>
      <modifiedWord/>
      <trackRevisions>false</trackRevisions>
    </reviewItem>
    <reviewItem>
      <errorID>f96ae18f-516f-4930-ba82-d8bee0b759cf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E33DCF</paraID>
      <start>0</start>
      <end>2</end>
      <status>unmodified</status>
      <modifiedWord/>
      <trackRevisions>false</trackRevisions>
    </reviewItem>
    <reviewItem>
      <errorID>e01c144b-49bf-4c60-9b1d-958ef68998c8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6F8F4049</paraID>
      <start>0</start>
      <end>2</end>
      <status>unmodified</status>
      <modifiedWord/>
      <trackRevisions>false</trackRevisions>
    </reviewItem>
    <reviewItem>
      <errorID>2df27f26-b91b-42c5-8271-8d1bb36362cf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792FFA2</paraID>
      <start>0</start>
      <end>2</end>
      <status>unmodified</status>
      <modifiedWord/>
      <trackRevisions>false</trackRevisions>
    </reviewItem>
    <reviewItem>
      <errorID>a5090269-6254-4045-89f5-0fa0689b244d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124674E1</paraID>
      <start>0</start>
      <end>2</end>
      <status>unmodified</status>
      <modifiedWord/>
      <trackRevisions>false</trackRevisions>
    </reviewItem>
    <reviewItem>
      <errorID>14479b22-2611-42b0-a489-b4d3eb71422b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3636B280</paraID>
      <start>0</start>
      <end>2</end>
      <status>unmodified</status>
      <modifiedWord/>
      <trackRevisions>false</trackRevisions>
    </reviewItem>
    <reviewItem>
      <errorID>39b085b4-f360-4044-9799-78679092f816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6EDA8976</paraID>
      <start>0</start>
      <end>2</end>
      <status>unmodified</status>
      <modifiedWord/>
      <trackRevisions>false</trackRevisions>
    </reviewItem>
    <reviewItem>
      <errorID>9d1bb7c6-67b0-4017-ac62-cb28e4d39f09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66CDE648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f417fc-22ea-437d-ad17-2cc3e2df824e}">
  <ds:schemaRefs/>
</ds:datastoreItem>
</file>

<file path=docProps/app.xml><?xml version="1.0" encoding="utf-8"?>
<Properties xmlns="http://schemas.openxmlformats.org/officeDocument/2006/extended-properties" xmlns:vt="http://schemas.openxmlformats.org/officeDocument/2006/docPropsVTypes">
  <Template>Normal.dotm</Template>
  <Pages>5</Pages>
  <Words>3157</Words>
  <Characters>3277</Characters>
  <Lines>37</Lines>
  <Paragraphs>10</Paragraphs>
  <TotalTime>56</TotalTime>
  <ScaleCrop>false</ScaleCrop>
  <LinksUpToDate>false</LinksUpToDate>
  <CharactersWithSpaces>3323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2021-07-14T09:33:00Z</dcterms:created>
  <dc:creator>Administrator</dc:creator>
  <cp:lastModifiedBy>W.</cp:lastModifiedBy>
  <dcterms:modified xsi:type="dcterms:W3CDTF">2026-09-03T08:55:55Z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D5BE15988032492498677F5E3A90472A_13</vt:lpwstr>
  </property>
  <property fmtid="{D5CDD505-2E9C-101B-9397-08002B2CF9AE}" pid="4" name="KSOTemplateDocerSaveRecord">
    <vt:lpwstr>eyJoZGlkIjoiOGM0YWI5NjM4MDkyZmVmN2FjYzA3OWY1NWUwY2ZhNWMiLCJ1c2VySWQiOiIzMTU1NDExNTAifQ==</vt:lpwstr>
  </property>
</Properties>
</file>