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0596B">
      <w:pPr>
        <w:spacing w:before="240" w:beforeLines="100" w:after="240" w:afterLines="100" w:line="360" w:lineRule="auto"/>
        <w:rPr>
          <w:rFonts w:ascii="宋体" w:hAnsi="宋体" w:eastAsia="宋体" w:cs="Times New Roman"/>
        </w:rPr>
      </w:pPr>
      <w:r>
        <w:rPr>
          <w:rFonts w:ascii="宋体" w:hAnsi="宋体" w:eastAsia="宋体" w:cs="Times New Roman"/>
          <w:sz w:val="24"/>
        </w:rPr>
        <w:t>证券代码：</w:t>
      </w:r>
      <w:r>
        <w:rPr>
          <w:rFonts w:ascii="Times New Roman" w:hAnsi="Times New Roman" w:eastAsia="宋体" w:cs="Times New Roman"/>
          <w:sz w:val="24"/>
        </w:rPr>
        <w:t>688561</w:t>
      </w:r>
      <w:r>
        <w:rPr>
          <w:rFonts w:ascii="宋体" w:hAnsi="宋体" w:eastAsia="宋体" w:cs="Times New Roman"/>
          <w:sz w:val="24"/>
        </w:rPr>
        <w:t xml:space="preserve">                                     证券简称：奇安信</w:t>
      </w:r>
    </w:p>
    <w:p w14:paraId="3FD28077">
      <w:pPr>
        <w:spacing w:before="120" w:beforeLines="50" w:after="120" w:afterLines="50" w:line="240" w:lineRule="auto"/>
        <w:jc w:val="center"/>
        <w:rPr>
          <w:rFonts w:ascii="宋体" w:hAnsi="宋体" w:eastAsia="宋体" w:cs="Times New Roman"/>
          <w:b/>
          <w:bCs/>
          <w:sz w:val="32"/>
        </w:rPr>
      </w:pPr>
      <w:r>
        <w:rPr>
          <w:rFonts w:ascii="宋体" w:hAnsi="宋体" w:eastAsia="宋体" w:cs="Times New Roman"/>
          <w:b/>
          <w:bCs/>
          <w:sz w:val="32"/>
        </w:rPr>
        <w:t>奇安信科技集团股份有限公司</w:t>
      </w:r>
    </w:p>
    <w:p w14:paraId="2975C548">
      <w:pPr>
        <w:spacing w:before="120" w:beforeLines="50" w:after="120" w:afterLines="50" w:line="240" w:lineRule="auto"/>
        <w:jc w:val="center"/>
        <w:rPr>
          <w:rFonts w:ascii="宋体" w:hAnsi="宋体" w:eastAsia="宋体" w:cs="Times New Roman"/>
          <w:b/>
          <w:bCs/>
          <w:sz w:val="32"/>
        </w:rPr>
      </w:pPr>
      <w:r>
        <w:rPr>
          <w:rFonts w:ascii="宋体" w:hAnsi="宋体" w:eastAsia="宋体" w:cs="Times New Roman"/>
          <w:b/>
          <w:bCs/>
          <w:sz w:val="32"/>
        </w:rPr>
        <w:t>投资者关系活动记录表</w:t>
      </w:r>
    </w:p>
    <w:p w14:paraId="0F14F2D6">
      <w:pPr>
        <w:spacing w:after="0"/>
        <w:ind w:left="1179"/>
        <w:jc w:val="right"/>
        <w:rPr>
          <w:rFonts w:ascii="宋体" w:hAnsi="宋体" w:eastAsia="宋体" w:cs="Times New Roman"/>
        </w:rPr>
      </w:pPr>
      <w:r>
        <w:rPr>
          <w:rFonts w:ascii="宋体" w:hAnsi="宋体" w:eastAsia="宋体" w:cs="Times New Roman"/>
          <w:sz w:val="21"/>
        </w:rPr>
        <w:t>编号</w:t>
      </w:r>
      <w:r>
        <w:rPr>
          <w:rFonts w:ascii="Times New Roman" w:hAnsi="Times New Roman" w:eastAsia="宋体" w:cs="Times New Roman"/>
          <w:sz w:val="21"/>
        </w:rPr>
        <w:t>：2026-002</w:t>
      </w:r>
    </w:p>
    <w:tbl>
      <w:tblPr>
        <w:tblStyle w:val="6"/>
        <w:tblW w:w="9976" w:type="dxa"/>
        <w:jc w:val="center"/>
        <w:tblLayout w:type="fixed"/>
        <w:tblCellMar>
          <w:top w:w="0" w:type="dxa"/>
          <w:left w:w="108" w:type="dxa"/>
          <w:bottom w:w="41" w:type="dxa"/>
          <w:right w:w="0" w:type="dxa"/>
        </w:tblCellMar>
      </w:tblPr>
      <w:tblGrid>
        <w:gridCol w:w="1980"/>
        <w:gridCol w:w="7996"/>
      </w:tblGrid>
      <w:tr w14:paraId="1B7BFE45">
        <w:tblPrEx>
          <w:tblCellMar>
            <w:top w:w="0" w:type="dxa"/>
            <w:left w:w="108" w:type="dxa"/>
            <w:bottom w:w="41" w:type="dxa"/>
            <w:right w:w="0" w:type="dxa"/>
          </w:tblCellMar>
        </w:tblPrEx>
        <w:trPr>
          <w:trHeight w:val="1673"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2A07">
            <w:pPr>
              <w:snapToGrid w:val="0"/>
              <w:spacing w:after="0" w:line="360" w:lineRule="auto"/>
              <w:jc w:val="center"/>
              <w:rPr>
                <w:rFonts w:ascii="宋体" w:hAnsi="宋体" w:eastAsia="宋体" w:cs="等线"/>
                <w:sz w:val="24"/>
                <w:szCs w:val="24"/>
              </w:rPr>
            </w:pPr>
            <w:r>
              <w:rPr>
                <w:rFonts w:hint="eastAsia" w:ascii="宋体" w:hAnsi="宋体" w:eastAsia="宋体" w:cs="等线"/>
                <w:sz w:val="24"/>
                <w:szCs w:val="24"/>
              </w:rPr>
              <w:t>投资者关系活动类别</w:t>
            </w:r>
          </w:p>
        </w:tc>
        <w:tc>
          <w:tcPr>
            <w:tcW w:w="79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07245A">
            <w:pPr>
              <w:snapToGrid w:val="0"/>
              <w:spacing w:after="0" w:line="360" w:lineRule="auto"/>
              <w:rPr>
                <w:rFonts w:ascii="宋体" w:hAnsi="宋体" w:eastAsia="宋体" w:cs="等线"/>
                <w:sz w:val="24"/>
                <w:szCs w:val="24"/>
              </w:rPr>
            </w:pPr>
            <w:r>
              <w:rPr>
                <w:rFonts w:hint="eastAsia" w:ascii="宋体" w:hAnsi="宋体" w:eastAsia="宋体" w:cs="等线"/>
                <w:sz w:val="24"/>
                <w:szCs w:val="24"/>
              </w:rPr>
              <w:sym w:font="Wingdings 2" w:char="00A3"/>
            </w:r>
            <w:r>
              <w:rPr>
                <w:rFonts w:ascii="宋体" w:hAnsi="宋体" w:eastAsia="宋体" w:cs="等线"/>
                <w:sz w:val="24"/>
                <w:szCs w:val="24"/>
              </w:rPr>
              <w:t xml:space="preserve"> </w:t>
            </w:r>
            <w:r>
              <w:rPr>
                <w:rFonts w:hint="eastAsia" w:ascii="宋体" w:hAnsi="宋体" w:eastAsia="宋体" w:cs="等线"/>
                <w:sz w:val="24"/>
                <w:szCs w:val="24"/>
              </w:rPr>
              <w:t xml:space="preserve">特定对象调研        </w:t>
            </w:r>
            <w:r>
              <w:rPr>
                <w:rFonts w:hint="eastAsia" w:ascii="宋体" w:hAnsi="宋体" w:eastAsia="宋体" w:cs="等线"/>
                <w:sz w:val="24"/>
                <w:szCs w:val="24"/>
              </w:rPr>
              <w:sym w:font="Wingdings 2" w:char="00A3"/>
            </w:r>
            <w:r>
              <w:rPr>
                <w:rFonts w:hint="eastAsia" w:ascii="宋体" w:hAnsi="宋体" w:eastAsia="宋体" w:cs="等线"/>
                <w:sz w:val="24"/>
                <w:szCs w:val="24"/>
              </w:rPr>
              <w:t xml:space="preserve">分析师会议     </w:t>
            </w:r>
            <w:r>
              <w:rPr>
                <w:rFonts w:hint="eastAsia" w:ascii="宋体" w:hAnsi="宋体" w:eastAsia="宋体" w:cs="等线"/>
                <w:sz w:val="24"/>
                <w:szCs w:val="24"/>
              </w:rPr>
              <w:sym w:font="Wingdings 2" w:char="00A3"/>
            </w:r>
            <w:r>
              <w:rPr>
                <w:rFonts w:hint="eastAsia" w:ascii="宋体" w:hAnsi="宋体" w:eastAsia="宋体" w:cs="等线"/>
                <w:sz w:val="24"/>
                <w:szCs w:val="24"/>
              </w:rPr>
              <w:t xml:space="preserve">媒体采访     </w:t>
            </w:r>
            <w:r>
              <w:rPr>
                <w:rFonts w:hint="eastAsia" w:ascii="宋体" w:hAnsi="宋体" w:eastAsia="宋体" w:cs="等线"/>
                <w:sz w:val="24"/>
                <w:szCs w:val="24"/>
              </w:rPr>
              <w:sym w:font="Wingdings 2" w:char="00A3"/>
            </w:r>
            <w:r>
              <w:rPr>
                <w:rFonts w:hint="eastAsia" w:ascii="宋体" w:hAnsi="宋体" w:eastAsia="宋体" w:cs="等线"/>
                <w:sz w:val="24"/>
                <w:szCs w:val="24"/>
              </w:rPr>
              <w:t xml:space="preserve">现场参观   </w:t>
            </w:r>
          </w:p>
          <w:p w14:paraId="0508D7B8">
            <w:pPr>
              <w:snapToGrid w:val="0"/>
              <w:spacing w:after="0" w:line="360" w:lineRule="auto"/>
              <w:rPr>
                <w:rFonts w:ascii="宋体" w:hAnsi="宋体" w:eastAsia="宋体" w:cs="等线"/>
                <w:sz w:val="24"/>
                <w:szCs w:val="24"/>
              </w:rPr>
            </w:pPr>
            <w:r>
              <w:rPr>
                <w:rFonts w:hint="eastAsia" w:ascii="宋体" w:hAnsi="宋体" w:eastAsia="宋体" w:cs="等线"/>
                <w:sz w:val="24"/>
                <w:szCs w:val="24"/>
              </w:rPr>
              <w:sym w:font="Wingdings 2" w:char="0052"/>
            </w:r>
            <w:r>
              <w:rPr>
                <w:rFonts w:hint="eastAsia" w:ascii="宋体" w:hAnsi="宋体" w:eastAsia="宋体" w:cs="等线"/>
                <w:sz w:val="24"/>
                <w:szCs w:val="24"/>
              </w:rPr>
              <w:t xml:space="preserve">业绩说明会         </w:t>
            </w:r>
            <w:r>
              <w:rPr>
                <w:rFonts w:ascii="宋体" w:hAnsi="宋体" w:eastAsia="宋体" w:cs="等线"/>
                <w:sz w:val="24"/>
                <w:szCs w:val="24"/>
              </w:rPr>
              <w:t xml:space="preserve"> </w:t>
            </w:r>
            <w:r>
              <w:rPr>
                <w:rFonts w:hint="eastAsia" w:ascii="宋体" w:hAnsi="宋体" w:eastAsia="宋体" w:cs="等线"/>
                <w:sz w:val="24"/>
                <w:szCs w:val="24"/>
              </w:rPr>
              <w:sym w:font="Wingdings 2" w:char="00A3"/>
            </w:r>
            <w:r>
              <w:rPr>
                <w:rFonts w:hint="eastAsia" w:ascii="宋体" w:hAnsi="宋体" w:eastAsia="宋体" w:cs="等线"/>
                <w:sz w:val="24"/>
                <w:szCs w:val="24"/>
              </w:rPr>
              <w:t xml:space="preserve">路演活动       </w:t>
            </w:r>
            <w:r>
              <w:rPr>
                <w:rFonts w:hint="eastAsia" w:ascii="宋体" w:hAnsi="宋体" w:eastAsia="宋体" w:cs="等线"/>
                <w:sz w:val="24"/>
                <w:szCs w:val="24"/>
              </w:rPr>
              <w:sym w:font="Wingdings 2" w:char="00A3"/>
            </w:r>
            <w:r>
              <w:rPr>
                <w:rFonts w:hint="eastAsia" w:ascii="宋体" w:hAnsi="宋体" w:eastAsia="宋体" w:cs="等线"/>
                <w:sz w:val="24"/>
                <w:szCs w:val="24"/>
              </w:rPr>
              <w:t xml:space="preserve">一对一沟通 </w:t>
            </w:r>
          </w:p>
          <w:p w14:paraId="76DEE62E">
            <w:pPr>
              <w:snapToGrid w:val="0"/>
              <w:spacing w:after="0" w:line="360" w:lineRule="auto"/>
              <w:rPr>
                <w:rFonts w:ascii="宋体" w:hAnsi="宋体" w:eastAsia="宋体" w:cs="等线"/>
                <w:sz w:val="24"/>
                <w:szCs w:val="24"/>
              </w:rPr>
            </w:pPr>
            <w:r>
              <w:rPr>
                <w:rFonts w:hint="eastAsia" w:ascii="宋体" w:hAnsi="宋体" w:eastAsia="宋体" w:cs="等线"/>
                <w:sz w:val="24"/>
                <w:szCs w:val="24"/>
              </w:rPr>
              <w:sym w:font="Wingdings 2" w:char="00A3"/>
            </w:r>
            <w:r>
              <w:rPr>
                <w:rFonts w:hint="eastAsia" w:ascii="宋体" w:hAnsi="宋体" w:eastAsia="宋体" w:cs="等线"/>
                <w:sz w:val="24"/>
                <w:szCs w:val="24"/>
              </w:rPr>
              <w:t xml:space="preserve">新闻发布会         </w:t>
            </w:r>
            <w:r>
              <w:rPr>
                <w:rFonts w:ascii="宋体" w:hAnsi="宋体" w:eastAsia="宋体" w:cs="等线"/>
                <w:sz w:val="24"/>
                <w:szCs w:val="24"/>
              </w:rPr>
              <w:t xml:space="preserve"> </w:t>
            </w:r>
            <w:r>
              <w:rPr>
                <w:rFonts w:hint="eastAsia" w:ascii="宋体" w:hAnsi="宋体" w:eastAsia="宋体" w:cs="等线"/>
                <w:sz w:val="24"/>
                <w:szCs w:val="24"/>
              </w:rPr>
              <w:t xml:space="preserve"> </w:t>
            </w:r>
            <w:r>
              <w:rPr>
                <w:rFonts w:hint="eastAsia" w:ascii="宋体" w:hAnsi="宋体" w:eastAsia="宋体" w:cs="等线"/>
                <w:sz w:val="24"/>
                <w:szCs w:val="24"/>
              </w:rPr>
              <w:sym w:font="Wingdings 2" w:char="00A3"/>
            </w:r>
            <w:r>
              <w:rPr>
                <w:rFonts w:hint="eastAsia" w:ascii="宋体" w:hAnsi="宋体" w:eastAsia="宋体" w:cs="等线"/>
                <w:sz w:val="24"/>
                <w:szCs w:val="24"/>
              </w:rPr>
              <w:t>其他</w:t>
            </w:r>
          </w:p>
        </w:tc>
      </w:tr>
      <w:tr w14:paraId="3228EAEB">
        <w:tblPrEx>
          <w:tblCellMar>
            <w:top w:w="0" w:type="dxa"/>
            <w:left w:w="108" w:type="dxa"/>
            <w:bottom w:w="41" w:type="dxa"/>
            <w:right w:w="0" w:type="dxa"/>
          </w:tblCellMar>
        </w:tblPrEx>
        <w:trPr>
          <w:trHeight w:val="495"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AF38">
            <w:pPr>
              <w:snapToGrid w:val="0"/>
              <w:spacing w:after="0" w:line="240" w:lineRule="auto"/>
              <w:ind w:right="110"/>
              <w:jc w:val="center"/>
              <w:rPr>
                <w:rFonts w:ascii="宋体" w:hAnsi="宋体" w:eastAsia="宋体" w:cs="等线"/>
                <w:sz w:val="24"/>
                <w:szCs w:val="24"/>
              </w:rPr>
            </w:pPr>
            <w:r>
              <w:rPr>
                <w:rFonts w:hint="eastAsia" w:ascii="宋体" w:hAnsi="宋体" w:eastAsia="宋体" w:cs="等线"/>
                <w:color w:val="auto"/>
                <w:sz w:val="24"/>
                <w:szCs w:val="24"/>
              </w:rPr>
              <w:t>参与单位及人员</w:t>
            </w:r>
          </w:p>
        </w:tc>
        <w:tc>
          <w:tcPr>
            <w:tcW w:w="7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67DA">
            <w:pPr>
              <w:snapToGrid w:val="0"/>
              <w:spacing w:after="0" w:line="240" w:lineRule="auto"/>
              <w:jc w:val="both"/>
              <w:rPr>
                <w:rFonts w:ascii="宋体" w:hAnsi="宋体" w:eastAsia="宋体" w:cs="等线"/>
                <w:color w:val="000000" w:themeColor="text1"/>
                <w:sz w:val="24"/>
                <w:szCs w:val="24"/>
                <w14:textFill>
                  <w14:solidFill>
                    <w14:schemeClr w14:val="tx1"/>
                  </w14:solidFill>
                </w14:textFill>
              </w:rPr>
            </w:pPr>
            <w:r>
              <w:rPr>
                <w:rFonts w:hint="eastAsia" w:ascii="宋体" w:hAnsi="宋体" w:eastAsia="宋体" w:cs="等线"/>
                <w:color w:val="000000" w:themeColor="text1"/>
                <w:sz w:val="24"/>
                <w:szCs w:val="24"/>
                <w14:textFill>
                  <w14:solidFill>
                    <w14:schemeClr w14:val="tx1"/>
                  </w14:solidFill>
                </w14:textFill>
              </w:rPr>
              <w:t>本次参会机构</w:t>
            </w:r>
            <w:r>
              <w:rPr>
                <w:rFonts w:ascii="Times New Roman" w:hAnsi="Times New Roman" w:eastAsia="宋体" w:cs="Times New Roman"/>
                <w:color w:val="000000" w:themeColor="text1"/>
                <w:sz w:val="24"/>
                <w:szCs w:val="24"/>
                <w14:textFill>
                  <w14:solidFill>
                    <w14:schemeClr w14:val="tx1"/>
                  </w14:solidFill>
                </w14:textFill>
              </w:rPr>
              <w:t>共</w:t>
            </w:r>
            <w:r>
              <w:rPr>
                <w:rFonts w:hint="eastAsia" w:ascii="Times New Roman" w:hAnsi="Times New Roman" w:eastAsia="宋体" w:cs="Times New Roman"/>
                <w:color w:val="000000" w:themeColor="text1"/>
                <w:sz w:val="24"/>
                <w:szCs w:val="24"/>
                <w14:textFill>
                  <w14:solidFill>
                    <w14:schemeClr w14:val="tx1"/>
                  </w14:solidFill>
                </w14:textFill>
              </w:rPr>
              <w:t>6</w:t>
            </w:r>
            <w:r>
              <w:rPr>
                <w:rFonts w:ascii="Times New Roman" w:hAnsi="Times New Roman" w:eastAsia="宋体" w:cs="Times New Roman"/>
                <w:color w:val="000000" w:themeColor="text1"/>
                <w:sz w:val="24"/>
                <w:szCs w:val="24"/>
                <w14:textFill>
                  <w14:solidFill>
                    <w14:schemeClr w14:val="tx1"/>
                  </w14:solidFill>
                </w14:textFill>
              </w:rPr>
              <w:t>9家，参会人员</w:t>
            </w:r>
            <w:r>
              <w:rPr>
                <w:rFonts w:hint="eastAsia" w:ascii="Times New Roman" w:hAnsi="Times New Roman" w:eastAsia="宋体" w:cs="Times New Roman"/>
                <w:color w:val="000000" w:themeColor="text1"/>
                <w:sz w:val="24"/>
                <w:szCs w:val="24"/>
                <w14:textFill>
                  <w14:solidFill>
                    <w14:schemeClr w14:val="tx1"/>
                  </w14:solidFill>
                </w14:textFill>
              </w:rPr>
              <w:t>7</w:t>
            </w:r>
            <w:r>
              <w:rPr>
                <w:rFonts w:ascii="Times New Roman" w:hAnsi="Times New Roman" w:eastAsia="宋体" w:cs="Times New Roman"/>
                <w:color w:val="000000" w:themeColor="text1"/>
                <w:sz w:val="24"/>
                <w:szCs w:val="24"/>
                <w14:textFill>
                  <w14:solidFill>
                    <w14:schemeClr w14:val="tx1"/>
                  </w14:solidFill>
                </w14:textFill>
              </w:rPr>
              <w:t>5人，具体名单详见</w:t>
            </w:r>
            <w:r>
              <w:rPr>
                <w:rFonts w:hint="eastAsia" w:ascii="宋体" w:hAnsi="宋体" w:eastAsia="宋体" w:cs="等线"/>
                <w:color w:val="000000" w:themeColor="text1"/>
                <w:sz w:val="24"/>
                <w:szCs w:val="24"/>
                <w14:textFill>
                  <w14:solidFill>
                    <w14:schemeClr w14:val="tx1"/>
                  </w14:solidFill>
                </w14:textFill>
              </w:rPr>
              <w:t>文后附录。</w:t>
            </w:r>
          </w:p>
        </w:tc>
      </w:tr>
      <w:tr w14:paraId="75D01647">
        <w:tblPrEx>
          <w:tblCellMar>
            <w:top w:w="0" w:type="dxa"/>
            <w:left w:w="108" w:type="dxa"/>
            <w:bottom w:w="41" w:type="dxa"/>
            <w:right w:w="0" w:type="dxa"/>
          </w:tblCellMar>
        </w:tblPrEx>
        <w:trPr>
          <w:trHeight w:val="527"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D3FBB">
            <w:pPr>
              <w:snapToGrid w:val="0"/>
              <w:spacing w:after="0" w:line="240" w:lineRule="auto"/>
              <w:jc w:val="center"/>
              <w:rPr>
                <w:rFonts w:ascii="宋体" w:hAnsi="宋体" w:eastAsia="宋体" w:cs="等线"/>
                <w:bCs/>
                <w:sz w:val="24"/>
                <w:szCs w:val="24"/>
              </w:rPr>
            </w:pPr>
            <w:r>
              <w:rPr>
                <w:rFonts w:hint="eastAsia" w:ascii="宋体" w:hAnsi="宋体" w:eastAsia="宋体" w:cs="等线"/>
                <w:bCs/>
                <w:sz w:val="24"/>
                <w:szCs w:val="24"/>
              </w:rPr>
              <w:t>时间</w:t>
            </w:r>
          </w:p>
        </w:tc>
        <w:tc>
          <w:tcPr>
            <w:tcW w:w="7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D0A7">
            <w:pPr>
              <w:snapToGrid w:val="0"/>
              <w:spacing w:after="0" w:line="240" w:lineRule="auto"/>
              <w:rPr>
                <w:rFonts w:ascii="Times New Roman" w:hAnsi="Times New Roman" w:eastAsia="宋体" w:cs="Times New Roman"/>
                <w:sz w:val="24"/>
                <w:szCs w:val="24"/>
              </w:rPr>
            </w:pPr>
            <w:r>
              <w:rPr>
                <w:rFonts w:ascii="Times New Roman" w:hAnsi="Times New Roman" w:eastAsia="宋体" w:cs="Times New Roman"/>
                <w:sz w:val="24"/>
                <w:szCs w:val="24"/>
              </w:rPr>
              <w:t>2026年8月28日10点00分-11点00分</w:t>
            </w:r>
          </w:p>
        </w:tc>
      </w:tr>
      <w:tr w14:paraId="35FFE2F2">
        <w:tblPrEx>
          <w:tblCellMar>
            <w:top w:w="0" w:type="dxa"/>
            <w:left w:w="108" w:type="dxa"/>
            <w:bottom w:w="41" w:type="dxa"/>
            <w:right w:w="0" w:type="dxa"/>
          </w:tblCellMar>
        </w:tblPrEx>
        <w:trPr>
          <w:trHeight w:val="490"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5DDF">
            <w:pPr>
              <w:snapToGrid w:val="0"/>
              <w:spacing w:after="0" w:line="240" w:lineRule="auto"/>
              <w:ind w:right="110"/>
              <w:jc w:val="center"/>
              <w:rPr>
                <w:rFonts w:ascii="宋体" w:hAnsi="宋体" w:eastAsia="宋体" w:cs="等线"/>
                <w:sz w:val="24"/>
                <w:szCs w:val="24"/>
              </w:rPr>
            </w:pPr>
            <w:r>
              <w:rPr>
                <w:rFonts w:hint="eastAsia" w:ascii="宋体" w:hAnsi="宋体" w:eastAsia="宋体" w:cs="等线"/>
                <w:sz w:val="24"/>
                <w:szCs w:val="24"/>
              </w:rPr>
              <w:t>方式</w:t>
            </w:r>
          </w:p>
        </w:tc>
        <w:tc>
          <w:tcPr>
            <w:tcW w:w="7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8556">
            <w:pPr>
              <w:snapToGrid w:val="0"/>
              <w:spacing w:after="0" w:line="240" w:lineRule="auto"/>
              <w:rPr>
                <w:rFonts w:ascii="宋体" w:hAnsi="宋体" w:eastAsia="宋体" w:cs="等线"/>
                <w:sz w:val="24"/>
                <w:szCs w:val="24"/>
              </w:rPr>
            </w:pPr>
            <w:r>
              <w:rPr>
                <w:rFonts w:hint="eastAsia" w:ascii="宋体" w:hAnsi="宋体" w:eastAsia="宋体" w:cs="等线"/>
                <w:sz w:val="24"/>
                <w:szCs w:val="24"/>
              </w:rPr>
              <w:t>线上会议</w:t>
            </w:r>
          </w:p>
        </w:tc>
      </w:tr>
      <w:tr w14:paraId="50F9BE01">
        <w:tblPrEx>
          <w:tblCellMar>
            <w:top w:w="0" w:type="dxa"/>
            <w:left w:w="108" w:type="dxa"/>
            <w:bottom w:w="41" w:type="dxa"/>
            <w:right w:w="0" w:type="dxa"/>
          </w:tblCellMar>
        </w:tblPrEx>
        <w:trPr>
          <w:trHeight w:val="108"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CBF8">
            <w:pPr>
              <w:snapToGrid w:val="0"/>
              <w:spacing w:before="60" w:beforeLines="25" w:after="60" w:afterLines="25" w:line="240" w:lineRule="auto"/>
              <w:ind w:right="110"/>
              <w:jc w:val="center"/>
              <w:rPr>
                <w:rFonts w:ascii="宋体" w:hAnsi="宋体" w:eastAsia="宋体" w:cs="等线"/>
                <w:sz w:val="24"/>
                <w:szCs w:val="24"/>
              </w:rPr>
            </w:pPr>
            <w:r>
              <w:rPr>
                <w:rFonts w:hint="eastAsia" w:ascii="宋体" w:hAnsi="宋体" w:eastAsia="宋体" w:cs="等线"/>
                <w:sz w:val="24"/>
                <w:szCs w:val="24"/>
              </w:rPr>
              <w:t>接待人员</w:t>
            </w:r>
          </w:p>
        </w:tc>
        <w:tc>
          <w:tcPr>
            <w:tcW w:w="799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F3ED9">
            <w:pPr>
              <w:snapToGrid w:val="0"/>
              <w:spacing w:before="60" w:beforeLines="25" w:after="60" w:afterLines="25" w:line="240" w:lineRule="auto"/>
              <w:rPr>
                <w:rFonts w:ascii="宋体" w:hAnsi="宋体" w:eastAsia="宋体" w:cs="等线"/>
                <w:b/>
                <w:bCs/>
                <w:sz w:val="24"/>
                <w:szCs w:val="21"/>
              </w:rPr>
            </w:pPr>
            <w:r>
              <w:rPr>
                <w:rFonts w:hint="eastAsia" w:ascii="宋体" w:hAnsi="宋体" w:eastAsia="宋体" w:cs="等线"/>
                <w:b/>
                <w:bCs/>
                <w:sz w:val="24"/>
                <w:szCs w:val="21"/>
              </w:rPr>
              <w:t>董事长、董事会秘书（代行）齐向东；</w:t>
            </w:r>
          </w:p>
          <w:p w14:paraId="515A0556">
            <w:pPr>
              <w:snapToGrid w:val="0"/>
              <w:spacing w:before="60" w:beforeLines="25" w:after="60" w:afterLines="25" w:line="240" w:lineRule="auto"/>
              <w:rPr>
                <w:rFonts w:ascii="宋体" w:hAnsi="宋体" w:eastAsia="宋体" w:cs="等线"/>
                <w:b/>
                <w:bCs/>
                <w:sz w:val="24"/>
                <w:szCs w:val="21"/>
              </w:rPr>
            </w:pPr>
            <w:r>
              <w:rPr>
                <w:rFonts w:hint="eastAsia" w:ascii="宋体" w:hAnsi="宋体" w:eastAsia="宋体" w:cs="等线"/>
                <w:b/>
                <w:bCs/>
                <w:sz w:val="24"/>
                <w:szCs w:val="21"/>
              </w:rPr>
              <w:t>奇安信人工智能科技（北京）有限公司总经理龚玉山；</w:t>
            </w:r>
          </w:p>
          <w:p w14:paraId="1C1B5EA9">
            <w:pPr>
              <w:snapToGrid w:val="0"/>
              <w:spacing w:before="60" w:beforeLines="25" w:after="60" w:afterLines="25" w:line="240" w:lineRule="auto"/>
              <w:rPr>
                <w:rFonts w:ascii="宋体" w:hAnsi="宋体" w:eastAsia="宋体" w:cs="等线"/>
                <w:b/>
                <w:bCs/>
                <w:sz w:val="21"/>
                <w:szCs w:val="21"/>
              </w:rPr>
            </w:pPr>
            <w:r>
              <w:rPr>
                <w:rFonts w:hint="eastAsia" w:ascii="宋体" w:hAnsi="宋体" w:eastAsia="宋体" w:cs="等线"/>
                <w:b/>
                <w:bCs/>
                <w:sz w:val="24"/>
                <w:szCs w:val="21"/>
              </w:rPr>
              <w:t>证券事务代表张腾；财务经理郑静</w:t>
            </w:r>
            <w:r>
              <w:rPr>
                <w:rFonts w:ascii="宋体" w:hAnsi="宋体" w:eastAsia="宋体" w:cs="等线"/>
                <w:b/>
                <w:bCs/>
                <w:sz w:val="21"/>
                <w:szCs w:val="21"/>
              </w:rPr>
              <w:t xml:space="preserve"> </w:t>
            </w:r>
          </w:p>
        </w:tc>
      </w:tr>
      <w:tr w14:paraId="3B4B84F3">
        <w:tblPrEx>
          <w:tblCellMar>
            <w:top w:w="0" w:type="dxa"/>
            <w:left w:w="108" w:type="dxa"/>
            <w:bottom w:w="41" w:type="dxa"/>
            <w:right w:w="0" w:type="dxa"/>
          </w:tblCellMar>
        </w:tblPrEx>
        <w:trPr>
          <w:trHeight w:val="490"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A2AA">
            <w:pPr>
              <w:snapToGrid w:val="0"/>
              <w:spacing w:after="0" w:line="360" w:lineRule="auto"/>
              <w:ind w:right="110"/>
              <w:jc w:val="center"/>
              <w:rPr>
                <w:rFonts w:ascii="宋体" w:hAnsi="宋体" w:eastAsia="宋体" w:cs="等线"/>
                <w:sz w:val="24"/>
                <w:szCs w:val="24"/>
              </w:rPr>
            </w:pPr>
            <w:r>
              <w:rPr>
                <w:rFonts w:hint="eastAsia" w:ascii="宋体" w:hAnsi="宋体" w:eastAsia="宋体" w:cs="等线"/>
                <w:sz w:val="24"/>
                <w:szCs w:val="24"/>
              </w:rPr>
              <w:t>投资者交流</w:t>
            </w:r>
          </w:p>
          <w:p w14:paraId="127A324D">
            <w:pPr>
              <w:snapToGrid w:val="0"/>
              <w:spacing w:after="0" w:line="360" w:lineRule="auto"/>
              <w:ind w:right="110"/>
              <w:jc w:val="center"/>
              <w:rPr>
                <w:rFonts w:ascii="宋体" w:hAnsi="宋体" w:eastAsia="宋体" w:cs="等线"/>
                <w:sz w:val="24"/>
                <w:szCs w:val="24"/>
              </w:rPr>
            </w:pPr>
            <w:r>
              <w:rPr>
                <w:rFonts w:hint="eastAsia" w:ascii="宋体" w:hAnsi="宋体" w:eastAsia="宋体" w:cs="等线"/>
                <w:sz w:val="24"/>
                <w:szCs w:val="24"/>
              </w:rPr>
              <w:t>主要内容介绍</w:t>
            </w:r>
          </w:p>
        </w:tc>
        <w:tc>
          <w:tcPr>
            <w:tcW w:w="7996" w:type="dxa"/>
            <w:tcBorders>
              <w:top w:val="single" w:color="000000" w:sz="4" w:space="0"/>
              <w:left w:val="single" w:color="000000" w:sz="4" w:space="0"/>
              <w:bottom w:val="single" w:color="000000" w:sz="4" w:space="0"/>
              <w:right w:val="single" w:color="000000" w:sz="4" w:space="0"/>
            </w:tcBorders>
            <w:shd w:val="clear" w:color="auto" w:fill="FFFFFF" w:themeFill="background1"/>
            <w:vAlign w:val="bottom"/>
          </w:tcPr>
          <w:p w14:paraId="11D62903">
            <w:pPr>
              <w:spacing w:before="240" w:beforeLines="100" w:after="120" w:afterLines="50" w:line="300" w:lineRule="auto"/>
              <w:ind w:firstLine="422" w:firstLineChars="200"/>
              <w:jc w:val="both"/>
              <w:rPr>
                <w:rFonts w:ascii="Times New Roman" w:hAnsi="Times New Roman" w:eastAsia="宋体" w:cs="Times New Roman"/>
                <w:b/>
                <w:color w:val="auto"/>
                <w:kern w:val="0"/>
                <w:sz w:val="21"/>
                <w:szCs w:val="21"/>
              </w:rPr>
            </w:pPr>
            <w:bookmarkStart w:id="2" w:name="_GoBack"/>
            <w:r>
              <w:rPr>
                <w:rFonts w:ascii="Times New Roman" w:hAnsi="Times New Roman" w:eastAsia="宋体" w:cs="Times New Roman"/>
                <w:b/>
                <w:color w:val="auto"/>
                <w:kern w:val="0"/>
                <w:sz w:val="21"/>
                <w:szCs w:val="21"/>
              </w:rPr>
              <w:t>本次业绩说明会主要包含两部分，第一部分由公司管理层介绍公司2026年</w:t>
            </w:r>
            <w:r>
              <w:rPr>
                <w:rFonts w:hint="eastAsia" w:ascii="Times New Roman" w:hAnsi="Times New Roman" w:eastAsia="宋体" w:cs="Times New Roman"/>
                <w:b/>
                <w:color w:val="auto"/>
                <w:kern w:val="0"/>
                <w:sz w:val="21"/>
                <w:szCs w:val="21"/>
              </w:rPr>
              <w:t>半年</w:t>
            </w:r>
            <w:r>
              <w:rPr>
                <w:rFonts w:ascii="Times New Roman" w:hAnsi="Times New Roman" w:eastAsia="宋体" w:cs="Times New Roman"/>
                <w:b/>
                <w:color w:val="auto"/>
                <w:kern w:val="0"/>
                <w:sz w:val="21"/>
                <w:szCs w:val="21"/>
              </w:rPr>
              <w:t>度经营情况，第二部分由公司管理层与投资者互动问答。</w:t>
            </w:r>
          </w:p>
          <w:p w14:paraId="477C9E40">
            <w:pPr>
              <w:spacing w:after="0" w:line="300" w:lineRule="auto"/>
              <w:ind w:firstLine="422" w:firstLineChars="200"/>
              <w:jc w:val="both"/>
              <w:rPr>
                <w:rFonts w:ascii="Times New Roman" w:hAnsi="Times New Roman" w:eastAsia="宋体" w:cs="Times New Roman"/>
                <w:b/>
                <w:color w:val="auto"/>
                <w:kern w:val="0"/>
                <w:sz w:val="21"/>
                <w:szCs w:val="21"/>
              </w:rPr>
            </w:pPr>
          </w:p>
          <w:p w14:paraId="5C1E2DD4">
            <w:pPr>
              <w:spacing w:before="120" w:beforeLines="50" w:after="120" w:afterLines="50" w:line="300" w:lineRule="auto"/>
              <w:ind w:firstLine="422" w:firstLineChars="200"/>
              <w:jc w:val="both"/>
              <w:rPr>
                <w:rFonts w:ascii="Times New Roman" w:hAnsi="Times New Roman" w:eastAsia="宋体" w:cs="Times New Roman"/>
                <w:b/>
                <w:color w:val="auto"/>
                <w:kern w:val="0"/>
                <w:sz w:val="21"/>
                <w:szCs w:val="21"/>
              </w:rPr>
            </w:pPr>
            <w:r>
              <w:rPr>
                <w:rFonts w:ascii="Times New Roman" w:hAnsi="Times New Roman" w:eastAsia="宋体" w:cs="Times New Roman"/>
                <w:b/>
                <w:color w:val="auto"/>
                <w:kern w:val="0"/>
                <w:sz w:val="21"/>
                <w:szCs w:val="21"/>
              </w:rPr>
              <w:t>第一部分由公司管理层介绍公司2026年</w:t>
            </w:r>
            <w:r>
              <w:rPr>
                <w:rFonts w:hint="eastAsia" w:ascii="Times New Roman" w:hAnsi="Times New Roman" w:eastAsia="宋体" w:cs="Times New Roman"/>
                <w:b/>
                <w:color w:val="auto"/>
                <w:kern w:val="0"/>
                <w:sz w:val="21"/>
                <w:szCs w:val="21"/>
              </w:rPr>
              <w:t>半年</w:t>
            </w:r>
            <w:r>
              <w:rPr>
                <w:rFonts w:ascii="Times New Roman" w:hAnsi="Times New Roman" w:eastAsia="宋体" w:cs="Times New Roman"/>
                <w:b/>
                <w:color w:val="auto"/>
                <w:kern w:val="0"/>
                <w:sz w:val="21"/>
                <w:szCs w:val="21"/>
              </w:rPr>
              <w:t>度经营情况：</w:t>
            </w:r>
          </w:p>
          <w:p w14:paraId="591B6B73">
            <w:pPr>
              <w:spacing w:before="120" w:beforeLines="50" w:after="120" w:afterLines="50" w:line="300" w:lineRule="auto"/>
              <w:ind w:firstLine="422" w:firstLineChars="200"/>
              <w:jc w:val="both"/>
              <w:rPr>
                <w:rFonts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1、网络安全行业情况</w:t>
            </w:r>
          </w:p>
          <w:p w14:paraId="74699AF6">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（1）全球网络安全威胁态势</w:t>
            </w:r>
          </w:p>
          <w:p w14:paraId="05DA81E1">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年上半年，全球网络安全形势逐渐产生质的变化。尤其是随着以</w:t>
            </w:r>
            <w:r>
              <w:rPr>
                <w:rFonts w:ascii="Times New Roman" w:hAnsi="Times New Roman" w:eastAsia="宋体" w:cs="Times New Roman"/>
                <w:color w:val="auto"/>
                <w:kern w:val="0"/>
                <w:sz w:val="21"/>
                <w:szCs w:val="21"/>
              </w:rPr>
              <w:t>Mythos</w:t>
            </w:r>
            <w:r>
              <w:rPr>
                <w:rFonts w:hint="eastAsia" w:ascii="Times New Roman" w:hAnsi="Times New Roman" w:eastAsia="宋体" w:cs="Times New Roman"/>
                <w:color w:val="auto"/>
                <w:kern w:val="0"/>
                <w:sz w:val="21"/>
                <w:szCs w:val="21"/>
              </w:rPr>
              <w:t>为代表的先进模型的出现及应用，</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驱动的自主攻击能力显著提升、供应链攻击持续高发、数据泄露与勒索软件交织、关键基础设施成为重点攻击目标，构成当前网络安全威胁的核心特征。因为有大模型的加持，全球最高级别黑客的数量从千人级上升至十万人级，数量上的绝对变化让攻防之间的平衡被一次性打破，网络安全的防护变成了更加艰巨、更加困难的一件事。解决这个问题就要靠网络安全行业的扩容、网络安全从业者的增加和网络安全公司创新产品的持续推出。</w:t>
            </w:r>
          </w:p>
          <w:p w14:paraId="5BDF825B">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目前，</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安全威胁从理论讨论全面进入实战对抗阶段。最具标志性的事件有 “玻璃翼计划”——利用</w:t>
            </w:r>
            <w:r>
              <w:rPr>
                <w:rFonts w:ascii="Times New Roman" w:hAnsi="Times New Roman" w:eastAsia="宋体" w:cs="Times New Roman"/>
                <w:color w:val="auto"/>
                <w:kern w:val="0"/>
                <w:sz w:val="21"/>
                <w:szCs w:val="21"/>
              </w:rPr>
              <w:t>Mythos</w:t>
            </w:r>
            <w:r>
              <w:rPr>
                <w:rFonts w:hint="eastAsia" w:ascii="Times New Roman" w:hAnsi="Times New Roman" w:eastAsia="宋体" w:cs="Times New Roman"/>
                <w:color w:val="auto"/>
                <w:kern w:val="0"/>
                <w:sz w:val="21"/>
                <w:szCs w:val="21"/>
              </w:rPr>
              <w:t>模型，</w:t>
            </w:r>
            <w:r>
              <w:rPr>
                <w:rFonts w:ascii="Times New Roman" w:hAnsi="Times New Roman" w:eastAsia="宋体" w:cs="Times New Roman"/>
                <w:color w:val="auto"/>
                <w:kern w:val="0"/>
                <w:sz w:val="21"/>
                <w:szCs w:val="21"/>
              </w:rPr>
              <w:t>30</w:t>
            </w:r>
            <w:r>
              <w:rPr>
                <w:rFonts w:hint="eastAsia" w:ascii="Times New Roman" w:hAnsi="Times New Roman" w:eastAsia="宋体" w:cs="Times New Roman"/>
                <w:color w:val="auto"/>
                <w:kern w:val="0"/>
                <w:sz w:val="21"/>
                <w:szCs w:val="21"/>
              </w:rPr>
              <w:t>天内联合全球约</w:t>
            </w:r>
            <w:r>
              <w:rPr>
                <w:rFonts w:ascii="Times New Roman" w:hAnsi="Times New Roman" w:eastAsia="宋体" w:cs="Times New Roman"/>
                <w:color w:val="auto"/>
                <w:kern w:val="0"/>
                <w:sz w:val="21"/>
                <w:szCs w:val="21"/>
              </w:rPr>
              <w:t>50</w:t>
            </w:r>
            <w:r>
              <w:rPr>
                <w:rFonts w:hint="eastAsia" w:ascii="Times New Roman" w:hAnsi="Times New Roman" w:eastAsia="宋体" w:cs="Times New Roman"/>
                <w:color w:val="auto"/>
                <w:kern w:val="0"/>
                <w:sz w:val="21"/>
                <w:szCs w:val="21"/>
              </w:rPr>
              <w:t>家网络巨头与关键基础设施方发现超过</w:t>
            </w:r>
            <w:r>
              <w:rPr>
                <w:rFonts w:ascii="Times New Roman" w:hAnsi="Times New Roman" w:eastAsia="宋体" w:cs="Times New Roman"/>
                <w:color w:val="auto"/>
                <w:kern w:val="0"/>
                <w:sz w:val="21"/>
                <w:szCs w:val="21"/>
              </w:rPr>
              <w:t>10,000</w:t>
            </w:r>
            <w:r>
              <w:rPr>
                <w:rFonts w:hint="eastAsia" w:ascii="Times New Roman" w:hAnsi="Times New Roman" w:eastAsia="宋体" w:cs="Times New Roman"/>
                <w:color w:val="auto"/>
                <w:kern w:val="0"/>
                <w:sz w:val="21"/>
                <w:szCs w:val="21"/>
              </w:rPr>
              <w:t>个高危和严重漏洞；以及威胁组织（</w:t>
            </w:r>
            <w:r>
              <w:rPr>
                <w:rFonts w:ascii="Times New Roman" w:hAnsi="Times New Roman" w:eastAsia="宋体" w:cs="Times New Roman"/>
                <w:color w:val="auto"/>
                <w:kern w:val="0"/>
                <w:sz w:val="21"/>
                <w:szCs w:val="21"/>
              </w:rPr>
              <w:t>Jadepuffer</w:t>
            </w:r>
            <w:r>
              <w:rPr>
                <w:rFonts w:hint="eastAsia" w:ascii="Times New Roman" w:hAnsi="Times New Roman" w:eastAsia="宋体" w:cs="Times New Roman"/>
                <w:color w:val="auto"/>
                <w:kern w:val="0"/>
                <w:sz w:val="21"/>
                <w:szCs w:val="21"/>
              </w:rPr>
              <w:t>）用</w:t>
            </w:r>
            <w:r>
              <w:rPr>
                <w:rFonts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rPr>
              <w:t>个</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智能体，独立完成了从漏洞利用、凭据窃取、横向移动到数据加密的完整勒索攻击链。本质来说，</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模型已成为“超强的零日漏洞发现引擎”，</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安全风险已从概念验证的实验阶段演变为真实的威胁。</w:t>
            </w:r>
          </w:p>
          <w:p w14:paraId="3E9B8B28">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（2）中国网络安全市场格局</w:t>
            </w:r>
          </w:p>
          <w:p w14:paraId="52B8BB79">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年是“十五五”规划开局之年，网络安全在国家战略中的地位进一步提升。新修订的《中华人民共和国网络安全法》于</w:t>
            </w: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w:t>
            </w:r>
            <w:r>
              <w:rPr>
                <w:rFonts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rPr>
              <w:t>月</w:t>
            </w:r>
            <w:r>
              <w:rPr>
                <w:rFonts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rPr>
              <w:t>日正式施行，首次将</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安全治理纳入国家法律框架，新增第</w:t>
            </w:r>
            <w:r>
              <w:rPr>
                <w:rFonts w:ascii="Times New Roman" w:hAnsi="Times New Roman" w:eastAsia="宋体" w:cs="Times New Roman"/>
                <w:color w:val="auto"/>
                <w:kern w:val="0"/>
                <w:sz w:val="21"/>
                <w:szCs w:val="21"/>
              </w:rPr>
              <w:t>20</w:t>
            </w:r>
            <w:r>
              <w:rPr>
                <w:rFonts w:hint="eastAsia" w:ascii="Times New Roman" w:hAnsi="Times New Roman" w:eastAsia="宋体" w:cs="Times New Roman"/>
                <w:color w:val="auto"/>
                <w:kern w:val="0"/>
                <w:sz w:val="21"/>
                <w:szCs w:val="21"/>
              </w:rPr>
              <w:t>条明确了</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伦理规范和安全监管要求，关键信息基础设施运营者造成特别严重后果的处罚上限提升，同时建立了三级递进式处罚梯度，并扩大了域外管辖效力。</w:t>
            </w: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年上半年，从国务院到各部委密集出台了多项网络安全核心政策法规，覆盖金融、能源、汽车、数据跨境等多个领域。例如，</w:t>
            </w:r>
            <w:r>
              <w:rPr>
                <w:rFonts w:ascii="Times New Roman" w:hAnsi="Times New Roman" w:eastAsia="宋体" w:cs="Times New Roman"/>
                <w:color w:val="auto"/>
                <w:kern w:val="0"/>
                <w:sz w:val="21"/>
                <w:szCs w:val="21"/>
              </w:rPr>
              <w:t>7</w:t>
            </w:r>
            <w:r>
              <w:rPr>
                <w:rFonts w:hint="eastAsia" w:ascii="Times New Roman" w:hAnsi="Times New Roman" w:eastAsia="宋体" w:cs="Times New Roman"/>
                <w:color w:val="auto"/>
                <w:kern w:val="0"/>
                <w:sz w:val="21"/>
                <w:szCs w:val="21"/>
              </w:rPr>
              <w:t>月</w:t>
            </w:r>
            <w:r>
              <w:rPr>
                <w:rFonts w:ascii="Times New Roman" w:hAnsi="Times New Roman" w:eastAsia="宋体" w:cs="Times New Roman"/>
                <w:color w:val="auto"/>
                <w:kern w:val="0"/>
                <w:sz w:val="21"/>
                <w:szCs w:val="21"/>
              </w:rPr>
              <w:t>3</w:t>
            </w:r>
            <w:r>
              <w:rPr>
                <w:rFonts w:hint="eastAsia" w:ascii="Times New Roman" w:hAnsi="Times New Roman" w:eastAsia="宋体" w:cs="Times New Roman"/>
                <w:color w:val="auto"/>
                <w:kern w:val="0"/>
                <w:sz w:val="21"/>
                <w:szCs w:val="21"/>
              </w:rPr>
              <w:t>日，中国人民银行、国家金融监督管理总局、中国证券监督管理委员会、国家外汇管理局四部门联合发布《金融业网络安全管理办法（征求意见稿）》，明确金融业网络安全合规底线及触碰底线时应承担的法律责任，明确金融从业机构应当按照国家有关规定建立和落实网络安全责任制，确定网络安全负责人，该《办法》的出台将促使金融机构进一步加大对网络安全投入，为行业带来确定性的增量市场。</w:t>
            </w:r>
          </w:p>
          <w:p w14:paraId="39838FCD">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中国网络安全产业正从“合规驱动”的规模扩张期，转向“价值驱动”的高质量发展期。据</w:t>
            </w:r>
            <w:r>
              <w:rPr>
                <w:rFonts w:ascii="Times New Roman" w:hAnsi="Times New Roman" w:eastAsia="宋体" w:cs="Times New Roman"/>
                <w:color w:val="auto"/>
                <w:kern w:val="0"/>
                <w:sz w:val="21"/>
                <w:szCs w:val="21"/>
              </w:rPr>
              <w:t>IDC</w:t>
            </w:r>
            <w:r>
              <w:rPr>
                <w:rFonts w:hint="eastAsia" w:ascii="Times New Roman" w:hAnsi="Times New Roman" w:eastAsia="宋体" w:cs="Times New Roman"/>
                <w:color w:val="auto"/>
                <w:kern w:val="0"/>
                <w:sz w:val="21"/>
                <w:szCs w:val="21"/>
              </w:rPr>
              <w:t>预测，</w:t>
            </w: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年中国网络安全市场规模有望突破</w:t>
            </w:r>
            <w:r>
              <w:rPr>
                <w:rFonts w:ascii="Times New Roman" w:hAnsi="Times New Roman" w:eastAsia="宋体" w:cs="Times New Roman"/>
                <w:color w:val="auto"/>
                <w:kern w:val="0"/>
                <w:sz w:val="21"/>
                <w:szCs w:val="21"/>
              </w:rPr>
              <w:t>800</w:t>
            </w:r>
            <w:r>
              <w:rPr>
                <w:rFonts w:hint="eastAsia" w:ascii="Times New Roman" w:hAnsi="Times New Roman" w:eastAsia="宋体" w:cs="Times New Roman"/>
                <w:color w:val="auto"/>
                <w:kern w:val="0"/>
                <w:sz w:val="21"/>
                <w:szCs w:val="21"/>
              </w:rPr>
              <w:t>亿元，</w:t>
            </w:r>
            <w:r>
              <w:rPr>
                <w:rFonts w:ascii="Times New Roman" w:hAnsi="Times New Roman" w:eastAsia="宋体" w:cs="Times New Roman"/>
                <w:color w:val="auto"/>
                <w:kern w:val="0"/>
                <w:sz w:val="21"/>
                <w:szCs w:val="21"/>
              </w:rPr>
              <w:t>2024</w:t>
            </w:r>
            <w:r>
              <w:rPr>
                <w:rFonts w:hint="eastAsia" w:ascii="Times New Roman" w:hAnsi="Times New Roman" w:eastAsia="宋体" w:cs="Times New Roman"/>
                <w:color w:val="auto"/>
                <w:kern w:val="0"/>
                <w:sz w:val="21"/>
                <w:szCs w:val="21"/>
              </w:rPr>
              <w:t>至</w:t>
            </w:r>
            <w:r>
              <w:rPr>
                <w:rFonts w:ascii="Times New Roman" w:hAnsi="Times New Roman" w:eastAsia="宋体" w:cs="Times New Roman"/>
                <w:color w:val="auto"/>
                <w:kern w:val="0"/>
                <w:sz w:val="21"/>
                <w:szCs w:val="21"/>
              </w:rPr>
              <w:t>2029</w:t>
            </w:r>
            <w:r>
              <w:rPr>
                <w:rFonts w:hint="eastAsia" w:ascii="Times New Roman" w:hAnsi="Times New Roman" w:eastAsia="宋体" w:cs="Times New Roman"/>
                <w:color w:val="auto"/>
                <w:kern w:val="0"/>
                <w:sz w:val="21"/>
                <w:szCs w:val="21"/>
              </w:rPr>
              <w:t>年年复合增长率达</w:t>
            </w:r>
            <w:r>
              <w:rPr>
                <w:rFonts w:ascii="Times New Roman" w:hAnsi="Times New Roman" w:eastAsia="宋体" w:cs="Times New Roman"/>
                <w:color w:val="auto"/>
                <w:kern w:val="0"/>
                <w:sz w:val="21"/>
                <w:szCs w:val="21"/>
              </w:rPr>
              <w:t>8.9%</w:t>
            </w:r>
            <w:r>
              <w:rPr>
                <w:rFonts w:hint="eastAsia" w:ascii="Times New Roman" w:hAnsi="Times New Roman" w:eastAsia="宋体" w:cs="Times New Roman"/>
                <w:color w:val="auto"/>
                <w:kern w:val="0"/>
                <w:sz w:val="21"/>
                <w:szCs w:val="21"/>
              </w:rPr>
              <w:t>。从细分行业看，党政、金融、电信运营商、能源仍是规模居前的市场；智能制造、医疗卫生、教育科研等与数字化转型深度绑定的行业增速领先。中国网络安全市场格局将发生非常喜人的变化，从规模和质量上都将进入新一轮的增长，推手就是</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技术的全面应用。</w:t>
            </w:r>
          </w:p>
          <w:p w14:paraId="312A1EBF">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（3）</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时代攻防失衡与产业机遇</w:t>
            </w:r>
          </w:p>
          <w:p w14:paraId="3CE6C416">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时代正催生三类安全需求的集中爆发：一是</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漏洞和</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攻击引爆的实战安全需求；二是智能体引爆的数据安全需求；三是</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应用引爆的全栈安全需求，包括</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自身安全、场景安全、应用安全、大模型安全和具身智能安全。</w:t>
            </w:r>
          </w:p>
          <w:p w14:paraId="11C23556">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w:t>
            </w:r>
            <w:r>
              <w:rPr>
                <w:rFonts w:ascii="Times New Roman" w:hAnsi="Times New Roman" w:eastAsia="宋体" w:cs="Times New Roman"/>
                <w:color w:val="auto"/>
                <w:kern w:val="0"/>
                <w:sz w:val="21"/>
                <w:szCs w:val="21"/>
              </w:rPr>
              <w:t>6</w:t>
            </w:r>
            <w:r>
              <w:rPr>
                <w:rFonts w:hint="eastAsia" w:ascii="Times New Roman" w:hAnsi="Times New Roman" w:eastAsia="宋体" w:cs="Times New Roman"/>
                <w:color w:val="auto"/>
                <w:kern w:val="0"/>
                <w:sz w:val="21"/>
                <w:szCs w:val="21"/>
              </w:rPr>
              <w:t>月，公司在第八届北京网络安全大会（</w:t>
            </w:r>
            <w:r>
              <w:rPr>
                <w:rFonts w:ascii="Times New Roman" w:hAnsi="Times New Roman" w:eastAsia="宋体" w:cs="Times New Roman"/>
                <w:color w:val="auto"/>
                <w:kern w:val="0"/>
                <w:sz w:val="21"/>
                <w:szCs w:val="21"/>
              </w:rPr>
              <w:t>BCS 2026</w:t>
            </w:r>
            <w:r>
              <w:rPr>
                <w:rFonts w:hint="eastAsia" w:ascii="Times New Roman" w:hAnsi="Times New Roman" w:eastAsia="宋体" w:cs="Times New Roman"/>
                <w:color w:val="auto"/>
                <w:kern w:val="0"/>
                <w:sz w:val="21"/>
                <w:szCs w:val="21"/>
              </w:rPr>
              <w:t>）上提出，</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时代攻防失衡正在加剧，</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让网络攻击进入工业化时代。一方面，</w:t>
            </w:r>
            <w:r>
              <w:rPr>
                <w:rFonts w:ascii="Times New Roman" w:hAnsi="Times New Roman" w:eastAsia="宋体" w:cs="Times New Roman"/>
                <w:color w:val="auto"/>
                <w:kern w:val="0"/>
                <w:sz w:val="21"/>
                <w:szCs w:val="21"/>
              </w:rPr>
              <w:t>Mythos</w:t>
            </w:r>
            <w:r>
              <w:rPr>
                <w:rFonts w:hint="eastAsia" w:ascii="Times New Roman" w:hAnsi="Times New Roman" w:eastAsia="宋体" w:cs="Times New Roman"/>
                <w:color w:val="auto"/>
                <w:kern w:val="0"/>
                <w:sz w:val="21"/>
                <w:szCs w:val="21"/>
              </w:rPr>
              <w:t>等大模型能独立完成漏洞探测、武器化代码生成和全链路渗透，漏洞挖掘时间大幅压缩；另一方面，依赖特征库、规则集的静态防御和靠人海战术的安全运营，已难以应对高频、动态、全域的</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攻击。</w:t>
            </w:r>
          </w:p>
          <w:p w14:paraId="332962DD">
            <w:pPr>
              <w:spacing w:before="120" w:beforeLines="50" w:after="120" w:afterLines="50" w:line="300" w:lineRule="auto"/>
              <w:ind w:firstLine="422" w:firstLineChars="200"/>
              <w:jc w:val="both"/>
              <w:rPr>
                <w:rFonts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2、产品及研发方面，“</w:t>
            </w:r>
            <w:r>
              <w:rPr>
                <w:rFonts w:ascii="Times New Roman" w:hAnsi="Times New Roman" w:eastAsia="宋体" w:cs="Times New Roman"/>
                <w:b/>
                <w:color w:val="auto"/>
                <w:kern w:val="0"/>
                <w:sz w:val="21"/>
                <w:szCs w:val="21"/>
              </w:rPr>
              <w:t>AI+</w:t>
            </w:r>
            <w:r>
              <w:rPr>
                <w:rFonts w:hint="eastAsia" w:ascii="Times New Roman" w:hAnsi="Times New Roman" w:eastAsia="宋体" w:cs="Times New Roman"/>
                <w:b/>
                <w:color w:val="auto"/>
                <w:kern w:val="0"/>
                <w:sz w:val="21"/>
                <w:szCs w:val="21"/>
              </w:rPr>
              <w:t>安全”领跑市场</w:t>
            </w:r>
          </w:p>
          <w:p w14:paraId="160CE1A8">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ascii="Times New Roman" w:hAnsi="Times New Roman" w:eastAsia="宋体" w:cs="Times New Roman"/>
                <w:color w:val="auto"/>
                <w:kern w:val="0"/>
                <w:sz w:val="21"/>
                <w:szCs w:val="21"/>
              </w:rPr>
              <w:t>4+1”</w:t>
            </w:r>
            <w:r>
              <w:rPr>
                <w:rFonts w:hint="eastAsia" w:ascii="Times New Roman" w:hAnsi="Times New Roman" w:eastAsia="宋体" w:cs="Times New Roman"/>
                <w:color w:val="auto"/>
                <w:kern w:val="0"/>
                <w:sz w:val="21"/>
                <w:szCs w:val="21"/>
              </w:rPr>
              <w:t>产研架构全面运转</w:t>
            </w:r>
          </w:p>
          <w:p w14:paraId="36452200">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公司于</w:t>
            </w:r>
            <w:r>
              <w:rPr>
                <w:rFonts w:ascii="Times New Roman" w:hAnsi="Times New Roman" w:eastAsia="宋体" w:cs="Times New Roman"/>
                <w:color w:val="auto"/>
                <w:kern w:val="0"/>
                <w:sz w:val="21"/>
                <w:szCs w:val="21"/>
              </w:rPr>
              <w:t>2025</w:t>
            </w:r>
            <w:r>
              <w:rPr>
                <w:rFonts w:hint="eastAsia" w:ascii="Times New Roman" w:hAnsi="Times New Roman" w:eastAsia="宋体" w:cs="Times New Roman"/>
                <w:color w:val="auto"/>
                <w:kern w:val="0"/>
                <w:sz w:val="21"/>
                <w:szCs w:val="21"/>
              </w:rPr>
              <w:t>年末启动的产研体系改革——“</w:t>
            </w:r>
            <w:r>
              <w:rPr>
                <w:rFonts w:ascii="Times New Roman" w:hAnsi="Times New Roman" w:eastAsia="宋体" w:cs="Times New Roman"/>
                <w:color w:val="auto"/>
                <w:kern w:val="0"/>
                <w:sz w:val="21"/>
                <w:szCs w:val="21"/>
              </w:rPr>
              <w:t>4+1”</w:t>
            </w:r>
            <w:r>
              <w:rPr>
                <w:rFonts w:hint="eastAsia" w:ascii="Times New Roman" w:hAnsi="Times New Roman" w:eastAsia="宋体" w:cs="Times New Roman"/>
                <w:color w:val="auto"/>
                <w:kern w:val="0"/>
                <w:sz w:val="21"/>
                <w:szCs w:val="21"/>
              </w:rPr>
              <w:t>产研新架构（四个面向客户的产品市场</w:t>
            </w:r>
            <w:r>
              <w:rPr>
                <w:rFonts w:ascii="Times New Roman" w:hAnsi="Times New Roman" w:eastAsia="宋体" w:cs="Times New Roman"/>
                <w:color w:val="auto"/>
                <w:kern w:val="0"/>
                <w:sz w:val="21"/>
                <w:szCs w:val="21"/>
              </w:rPr>
              <w:t>BG</w:t>
            </w:r>
            <w:r>
              <w:rPr>
                <w:rFonts w:hint="eastAsia" w:ascii="Times New Roman" w:hAnsi="Times New Roman" w:eastAsia="宋体" w:cs="Times New Roman"/>
                <w:color w:val="auto"/>
                <w:kern w:val="0"/>
                <w:sz w:val="21"/>
                <w:szCs w:val="21"/>
              </w:rPr>
              <w:t>加一个统一研发的产研</w:t>
            </w:r>
            <w:r>
              <w:rPr>
                <w:rFonts w:ascii="Times New Roman" w:hAnsi="Times New Roman" w:eastAsia="宋体" w:cs="Times New Roman"/>
                <w:color w:val="auto"/>
                <w:kern w:val="0"/>
                <w:sz w:val="21"/>
                <w:szCs w:val="21"/>
              </w:rPr>
              <w:t>BG</w:t>
            </w:r>
            <w:r>
              <w:rPr>
                <w:rFonts w:hint="eastAsia" w:ascii="Times New Roman" w:hAnsi="Times New Roman" w:eastAsia="宋体" w:cs="Times New Roman"/>
                <w:color w:val="auto"/>
                <w:kern w:val="0"/>
                <w:sz w:val="21"/>
                <w:szCs w:val="21"/>
              </w:rPr>
              <w:t>）在</w:t>
            </w: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年上半年全面运转。产品市场</w:t>
            </w:r>
            <w:r>
              <w:rPr>
                <w:rFonts w:ascii="Times New Roman" w:hAnsi="Times New Roman" w:eastAsia="宋体" w:cs="Times New Roman"/>
                <w:color w:val="auto"/>
                <w:kern w:val="0"/>
                <w:sz w:val="21"/>
                <w:szCs w:val="21"/>
              </w:rPr>
              <w:t>BG</w:t>
            </w:r>
            <w:r>
              <w:rPr>
                <w:rFonts w:hint="eastAsia" w:ascii="Times New Roman" w:hAnsi="Times New Roman" w:eastAsia="宋体" w:cs="Times New Roman"/>
                <w:color w:val="auto"/>
                <w:kern w:val="0"/>
                <w:sz w:val="21"/>
                <w:szCs w:val="21"/>
              </w:rPr>
              <w:t>直接面向客户需求场景，输出“端到端”解决方案；产研</w:t>
            </w:r>
            <w:r>
              <w:rPr>
                <w:rFonts w:ascii="Times New Roman" w:hAnsi="Times New Roman" w:eastAsia="宋体" w:cs="Times New Roman"/>
                <w:color w:val="auto"/>
                <w:kern w:val="0"/>
                <w:sz w:val="21"/>
                <w:szCs w:val="21"/>
              </w:rPr>
              <w:t>BG</w:t>
            </w:r>
            <w:r>
              <w:rPr>
                <w:rFonts w:hint="eastAsia" w:ascii="Times New Roman" w:hAnsi="Times New Roman" w:eastAsia="宋体" w:cs="Times New Roman"/>
                <w:color w:val="auto"/>
                <w:kern w:val="0"/>
                <w:sz w:val="21"/>
                <w:szCs w:val="21"/>
              </w:rPr>
              <w:t>承担公司级技术架构设计、标准产品研发及产品质量保证。上半年，新架构下的产品交付节奏和跨产品线协同效率较改革前有所提升。在研发范式方面，公司推动从传统“手工作坊”模式向</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驱动的系统化研发转型。大模型实现了从需求结构化解析、代码自动生成到测试用例全覆盖和部署环境一致性的“端到端”交付。</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能力已赋能天眼、椒图、天擎、渗透测试、代码安全、数管平台等全系列主流产品。</w:t>
            </w:r>
          </w:p>
          <w:p w14:paraId="12907700">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（2）研发投入与</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安全产品布局</w:t>
            </w:r>
          </w:p>
          <w:p w14:paraId="25B33C1D">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2</w:t>
            </w:r>
            <w:r>
              <w:rPr>
                <w:rFonts w:ascii="Times New Roman" w:hAnsi="Times New Roman" w:eastAsia="宋体" w:cs="Times New Roman"/>
                <w:color w:val="auto"/>
                <w:kern w:val="0"/>
                <w:sz w:val="21"/>
                <w:szCs w:val="21"/>
              </w:rPr>
              <w:t>026</w:t>
            </w:r>
            <w:r>
              <w:rPr>
                <w:rFonts w:hint="eastAsia" w:ascii="Times New Roman" w:hAnsi="Times New Roman" w:eastAsia="宋体" w:cs="Times New Roman"/>
                <w:color w:val="auto"/>
                <w:kern w:val="0"/>
                <w:sz w:val="21"/>
                <w:szCs w:val="21"/>
              </w:rPr>
              <w:t>年上半年，公司研发投入接近5</w:t>
            </w:r>
            <w:r>
              <w:rPr>
                <w:rFonts w:ascii="Times New Roman" w:hAnsi="Times New Roman" w:eastAsia="宋体" w:cs="Times New Roman"/>
                <w:color w:val="auto"/>
                <w:kern w:val="0"/>
                <w:sz w:val="21"/>
                <w:szCs w:val="21"/>
              </w:rPr>
              <w:t>.8</w:t>
            </w:r>
            <w:r>
              <w:rPr>
                <w:rFonts w:hint="eastAsia" w:ascii="Times New Roman" w:hAnsi="Times New Roman" w:eastAsia="宋体" w:cs="Times New Roman"/>
                <w:color w:val="auto"/>
                <w:kern w:val="0"/>
                <w:sz w:val="21"/>
                <w:szCs w:val="21"/>
              </w:rPr>
              <w:t>亿元，研发投入占营业收入的比例为</w:t>
            </w:r>
            <w:r>
              <w:rPr>
                <w:rFonts w:ascii="Times New Roman" w:hAnsi="Times New Roman" w:eastAsia="宋体" w:cs="Times New Roman"/>
                <w:color w:val="auto"/>
                <w:kern w:val="0"/>
                <w:sz w:val="21"/>
                <w:szCs w:val="21"/>
              </w:rPr>
              <w:t>38.60%</w:t>
            </w:r>
            <w:r>
              <w:rPr>
                <w:rFonts w:hint="eastAsia" w:ascii="Times New Roman" w:hAnsi="Times New Roman" w:eastAsia="宋体" w:cs="Times New Roman"/>
                <w:color w:val="auto"/>
                <w:kern w:val="0"/>
                <w:sz w:val="21"/>
                <w:szCs w:val="21"/>
              </w:rPr>
              <w:t>。公司坚持对</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安全、云安全、数据安全、信创安全等战略领域的持续投入，并以</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技术深度赋能自身研发体系。自研</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编码助手在研发体系内使用率保持在较高水平，</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生成代码占新开发代码的比例持续提升，新开发代码全面经过</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审核，研发资源配置效率较上年同期进一步提升。上半年，公司在</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安全领域</w:t>
            </w:r>
            <w:r>
              <w:rPr>
                <w:rFonts w:hint="eastAsia" w:ascii="Times New Roman" w:hAnsi="Times New Roman" w:eastAsia="宋体" w:cs="Times New Roman"/>
                <w:color w:val="auto"/>
                <w:kern w:val="0"/>
                <w:sz w:val="21"/>
                <w:szCs w:val="21"/>
                <w:lang w:val="en-US" w:eastAsia="zh-CN"/>
              </w:rPr>
              <w:t>发布了</w:t>
            </w:r>
            <w:r>
              <w:rPr>
                <w:rFonts w:hint="eastAsia" w:ascii="Times New Roman" w:hAnsi="Times New Roman" w:eastAsia="宋体" w:cs="Times New Roman"/>
                <w:color w:val="auto"/>
                <w:kern w:val="0"/>
                <w:sz w:val="21"/>
                <w:szCs w:val="21"/>
              </w:rPr>
              <w:t>：“龙虾安全”系列产品</w:t>
            </w:r>
            <w:r>
              <w:rPr>
                <w:rFonts w:hint="eastAsia"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rPr>
              <w:t>代码安全智能体</w:t>
            </w:r>
            <w:r>
              <w:rPr>
                <w:rFonts w:ascii="Times New Roman" w:hAnsi="Times New Roman" w:eastAsia="宋体" w:cs="Times New Roman"/>
                <w:color w:val="auto"/>
                <w:kern w:val="0"/>
                <w:sz w:val="21"/>
                <w:szCs w:val="21"/>
              </w:rPr>
              <w:t>Qcode Agents</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AISOC</w:t>
            </w:r>
            <w:r>
              <w:rPr>
                <w:rFonts w:hint="eastAsia" w:ascii="Times New Roman" w:hAnsi="Times New Roman" w:eastAsia="宋体" w:cs="Times New Roman"/>
                <w:color w:val="auto"/>
                <w:kern w:val="0"/>
                <w:sz w:val="21"/>
                <w:szCs w:val="21"/>
              </w:rPr>
              <w:t>智能安全运营平台</w:t>
            </w:r>
            <w:r>
              <w:rPr>
                <w:rFonts w:hint="eastAsia"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rPr>
              <w:t>威胁分析数字专家（威胁分析智能体）</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加特林</w:t>
            </w:r>
            <w:r>
              <w:rPr>
                <w:rFonts w:hint="eastAsia"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rPr>
              <w:t>全流程自动化渗透测试智能体</w:t>
            </w:r>
            <w:r>
              <w:rPr>
                <w:rFonts w:hint="eastAsia"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rPr>
              <w:t>奇安云镜</w:t>
            </w:r>
            <w:r>
              <w:rPr>
                <w:rFonts w:ascii="Times New Roman" w:hAnsi="Times New Roman" w:eastAsia="宋体" w:cs="Times New Roman"/>
                <w:color w:val="auto"/>
                <w:kern w:val="0"/>
                <w:sz w:val="21"/>
                <w:szCs w:val="21"/>
              </w:rPr>
              <w:t>SaaS</w:t>
            </w:r>
            <w:r>
              <w:rPr>
                <w:rFonts w:hint="eastAsia" w:ascii="Times New Roman" w:hAnsi="Times New Roman" w:eastAsia="宋体" w:cs="Times New Roman"/>
                <w:color w:val="auto"/>
                <w:kern w:val="0"/>
                <w:sz w:val="21"/>
                <w:szCs w:val="21"/>
              </w:rPr>
              <w:t>安全产品</w:t>
            </w:r>
            <w:r>
              <w:rPr>
                <w:rFonts w:hint="eastAsia" w:ascii="Times New Roman" w:hAnsi="Times New Roman" w:eastAsia="宋体" w:cs="Times New Roman"/>
                <w:color w:val="auto"/>
                <w:kern w:val="0"/>
                <w:sz w:val="21"/>
                <w:szCs w:val="21"/>
                <w:lang w:val="en-US" w:eastAsia="zh-CN"/>
              </w:rPr>
              <w:t>等产品，并提出了</w:t>
            </w:r>
            <w:r>
              <w:rPr>
                <w:rFonts w:hint="eastAsia" w:ascii="Times New Roman" w:hAnsi="Times New Roman" w:eastAsia="宋体" w:cs="Times New Roman"/>
                <w:color w:val="auto"/>
                <w:kern w:val="0"/>
                <w:sz w:val="21"/>
                <w:szCs w:val="21"/>
              </w:rPr>
              <w:t>“双轮驱动”</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安全战略体系</w:t>
            </w:r>
            <w:r>
              <w:rPr>
                <w:rFonts w:hint="eastAsia" w:ascii="Times New Roman" w:hAnsi="Times New Roman" w:eastAsia="宋体" w:cs="Times New Roman"/>
                <w:color w:val="auto"/>
                <w:kern w:val="0"/>
                <w:sz w:val="21"/>
                <w:szCs w:val="21"/>
                <w:lang w:val="en-US" w:eastAsia="zh-CN"/>
              </w:rPr>
              <w:t>和</w:t>
            </w:r>
            <w:r>
              <w:rPr>
                <w:rFonts w:hint="eastAsia"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高</w:t>
            </w:r>
            <w:r>
              <w:rPr>
                <w:rFonts w:hint="eastAsia" w:ascii="Times New Roman" w:hAnsi="Times New Roman" w:eastAsia="宋体" w:cs="Times New Roman"/>
                <w:color w:val="auto"/>
                <w:kern w:val="0"/>
                <w:sz w:val="21"/>
                <w:szCs w:val="21"/>
              </w:rPr>
              <w:t>位</w:t>
            </w:r>
            <w:r>
              <w:rPr>
                <w:rFonts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rPr>
              <w:t>中位</w:t>
            </w:r>
            <w:r>
              <w:rPr>
                <w:rFonts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低</w:t>
            </w:r>
            <w:r>
              <w:rPr>
                <w:rFonts w:hint="eastAsia" w:ascii="Times New Roman" w:hAnsi="Times New Roman" w:eastAsia="宋体" w:cs="Times New Roman"/>
                <w:color w:val="auto"/>
                <w:kern w:val="0"/>
                <w:sz w:val="21"/>
                <w:szCs w:val="21"/>
              </w:rPr>
              <w:t>位”三位一体内生安全纵深防御体系。</w:t>
            </w:r>
          </w:p>
          <w:p w14:paraId="088238B9">
            <w:pPr>
              <w:spacing w:before="120" w:beforeLines="50" w:after="120" w:afterLines="50" w:line="300" w:lineRule="auto"/>
              <w:ind w:firstLine="422" w:firstLineChars="200"/>
              <w:jc w:val="both"/>
              <w:rPr>
                <w:rFonts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3、市场销售侧，持续深耕核心行业，海外市场持续增长</w:t>
            </w:r>
          </w:p>
          <w:p w14:paraId="3E5BE9BA">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（1）“战区型”营销体系初步运转</w:t>
            </w:r>
          </w:p>
          <w:p w14:paraId="1B0C76C3">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年初，公司围绕四大产品市场</w:t>
            </w:r>
            <w:r>
              <w:rPr>
                <w:rFonts w:ascii="Times New Roman" w:hAnsi="Times New Roman" w:eastAsia="宋体" w:cs="Times New Roman"/>
                <w:color w:val="auto"/>
                <w:kern w:val="0"/>
                <w:sz w:val="21"/>
                <w:szCs w:val="21"/>
              </w:rPr>
              <w:t>BG</w:t>
            </w:r>
            <w:r>
              <w:rPr>
                <w:rFonts w:hint="eastAsia" w:ascii="Times New Roman" w:hAnsi="Times New Roman" w:eastAsia="宋体" w:cs="Times New Roman"/>
                <w:color w:val="auto"/>
                <w:kern w:val="0"/>
                <w:sz w:val="21"/>
                <w:szCs w:val="21"/>
              </w:rPr>
              <w:t>，将销售、安服、交付等力量整合编组为“战区型”组织，形成“战区资源协同、军种目标主责、总部指挥协调”的协同作战体系。上半年，新营销体系初步运转，客户覆盖效率较改革前有所改善，组织变革红利尚处于逐步释放阶段。公司同步推进渠道模式优化，由过去直接与大量中小代理商合作的模式，转向“直签大客户</w:t>
            </w:r>
            <w:r>
              <w:rPr>
                <w:rFonts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rPr>
              <w:t>总代统筹”模式，优先承接回款确定性高、毛利率合理的项目，放弃部分低毛利、长账期的集成类业务。</w:t>
            </w:r>
          </w:p>
          <w:p w14:paraId="45031871">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（2）核心行业深耕</w:t>
            </w:r>
          </w:p>
          <w:p w14:paraId="4B195B81">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从行业市场数据看，党政、金融、运营商、能源行业依旧是行业重要市场，制造业与消费品行业增速较快：</w:t>
            </w:r>
          </w:p>
          <w:p w14:paraId="01E3D3D4">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党政行业，公司持续深耕政府行业，在政务信息化建设与数据安全运营领域持续突破。公司成功中标某市城市网络安全运营中心项目，标志着公司在地市级安全运营中心建设上的模式进一步成熟。</w:t>
            </w:r>
          </w:p>
          <w:p w14:paraId="121FF5F4">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金融行业，公司持续强化</w:t>
            </w:r>
            <w:r>
              <w:rPr>
                <w:rFonts w:ascii="Times New Roman" w:hAnsi="Times New Roman" w:eastAsia="宋体" w:cs="Times New Roman"/>
                <w:color w:val="auto"/>
                <w:kern w:val="0"/>
                <w:sz w:val="21"/>
                <w:szCs w:val="21"/>
              </w:rPr>
              <w:t>NDR</w:t>
            </w:r>
            <w:r>
              <w:rPr>
                <w:rFonts w:hint="eastAsia" w:ascii="Times New Roman" w:hAnsi="Times New Roman" w:eastAsia="宋体" w:cs="Times New Roman"/>
                <w:color w:val="auto"/>
                <w:kern w:val="0"/>
                <w:sz w:val="21"/>
                <w:szCs w:val="21"/>
              </w:rPr>
              <w:t>、智慧防火墙、零信任等核心产品的渗透率。其中，公司天眼中标某金融央企全流量安全检测项目，助力客户构建云地一体化全流量威胁检测体系。</w:t>
            </w:r>
          </w:p>
          <w:p w14:paraId="2CE7BB8E">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运营商行业，公司持续深化与三大运营商的合作。公司先后中标某头部运营商江苏公司营业终端安全管控系统采购项目，某央企集团终端安全管控平台软件升级扩容等项目。</w:t>
            </w:r>
          </w:p>
          <w:p w14:paraId="0800C9E9">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能源行业，国产化工控安全、零信任、</w:t>
            </w:r>
            <w:r>
              <w:rPr>
                <w:rFonts w:ascii="Times New Roman" w:hAnsi="Times New Roman" w:eastAsia="宋体" w:cs="Times New Roman"/>
                <w:color w:val="auto"/>
                <w:kern w:val="0"/>
                <w:sz w:val="21"/>
                <w:szCs w:val="21"/>
              </w:rPr>
              <w:t>CAASM</w:t>
            </w:r>
            <w:r>
              <w:rPr>
                <w:rFonts w:hint="eastAsia" w:ascii="Times New Roman" w:hAnsi="Times New Roman" w:eastAsia="宋体" w:cs="Times New Roman"/>
                <w:color w:val="auto"/>
                <w:kern w:val="0"/>
                <w:sz w:val="21"/>
                <w:szCs w:val="21"/>
              </w:rPr>
              <w:t>（网络资产攻击面管理系统）等差异化产品在国家电网、国家管网、能源央企等骨干能源企业持续中标。公司天擎终端安全响应系统（</w:t>
            </w:r>
            <w:r>
              <w:rPr>
                <w:rFonts w:ascii="Times New Roman" w:hAnsi="Times New Roman" w:eastAsia="宋体" w:cs="Times New Roman"/>
                <w:color w:val="auto"/>
                <w:kern w:val="0"/>
                <w:sz w:val="21"/>
                <w:szCs w:val="21"/>
              </w:rPr>
              <w:t>EDR</w:t>
            </w:r>
            <w:r>
              <w:rPr>
                <w:rFonts w:hint="eastAsia" w:ascii="Times New Roman" w:hAnsi="Times New Roman" w:eastAsia="宋体" w:cs="Times New Roman"/>
                <w:color w:val="auto"/>
                <w:kern w:val="0"/>
                <w:sz w:val="21"/>
                <w:szCs w:val="21"/>
              </w:rPr>
              <w:t>）成功中标某能源央企巨头终端安全检测与防护系统项目，该项目聚焦全集团办公终端安全，覆盖信创与非信创环境，构建统一杀毒与</w:t>
            </w:r>
            <w:r>
              <w:rPr>
                <w:rFonts w:ascii="Times New Roman" w:hAnsi="Times New Roman" w:eastAsia="宋体" w:cs="Times New Roman"/>
                <w:color w:val="auto"/>
                <w:kern w:val="0"/>
                <w:sz w:val="21"/>
                <w:szCs w:val="21"/>
              </w:rPr>
              <w:t>EDR</w:t>
            </w:r>
            <w:r>
              <w:rPr>
                <w:rFonts w:hint="eastAsia" w:ascii="Times New Roman" w:hAnsi="Times New Roman" w:eastAsia="宋体" w:cs="Times New Roman"/>
                <w:color w:val="auto"/>
                <w:kern w:val="0"/>
                <w:sz w:val="21"/>
                <w:szCs w:val="21"/>
              </w:rPr>
              <w:t>防护体系。</w:t>
            </w:r>
          </w:p>
          <w:p w14:paraId="0977E63B">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制造业与消费品行业，公司在终端安全软件集采和体系化安全建设项目覆盖面继续扩大。公司与某钢铁集团签署战略合作协议，聚焦钢铁行业工控安全、涉密防护及中资企业出海安全领域。</w:t>
            </w:r>
          </w:p>
          <w:p w14:paraId="10976DCE">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（3）渠道与海外市场</w:t>
            </w:r>
          </w:p>
          <w:p w14:paraId="185D48B0">
            <w:pPr>
              <w:spacing w:before="120" w:beforeLines="50" w:after="120" w:afterLines="5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渠道方面，公司持续推进渠道业务本地化融合，向渠道伙伴释放更多指名客户资源，优化项目报备和商机分配机制。海外市场（含港澳地区）方面，公司上半年收入规模超亿元，较去年同期增长超</w:t>
            </w:r>
            <w:r>
              <w:rPr>
                <w:rFonts w:ascii="Times New Roman" w:hAnsi="Times New Roman" w:eastAsia="宋体" w:cs="Times New Roman"/>
                <w:color w:val="auto"/>
                <w:kern w:val="0"/>
                <w:sz w:val="21"/>
                <w:szCs w:val="21"/>
              </w:rPr>
              <w:t>275%</w:t>
            </w:r>
            <w:r>
              <w:rPr>
                <w:rFonts w:hint="eastAsia" w:ascii="Times New Roman" w:hAnsi="Times New Roman" w:eastAsia="宋体" w:cs="Times New Roman"/>
                <w:color w:val="auto"/>
                <w:kern w:val="0"/>
                <w:sz w:val="21"/>
                <w:szCs w:val="21"/>
              </w:rPr>
              <w:t>。公司将继续在中东地区加强本地化建设，在东南亚以印尼为根基向马来西亚等东盟国家延伸。</w:t>
            </w: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w:t>
            </w:r>
            <w:r>
              <w:rPr>
                <w:rFonts w:ascii="Times New Roman" w:hAnsi="Times New Roman" w:eastAsia="宋体" w:cs="Times New Roman"/>
                <w:color w:val="auto"/>
                <w:kern w:val="0"/>
                <w:sz w:val="21"/>
                <w:szCs w:val="21"/>
              </w:rPr>
              <w:t>7</w:t>
            </w:r>
            <w:r>
              <w:rPr>
                <w:rFonts w:hint="eastAsia" w:ascii="Times New Roman" w:hAnsi="Times New Roman" w:eastAsia="宋体" w:cs="Times New Roman"/>
                <w:color w:val="auto"/>
                <w:kern w:val="0"/>
                <w:sz w:val="21"/>
                <w:szCs w:val="21"/>
              </w:rPr>
              <w:t>月，世界人工智能大会期间与哈萨克斯坦签署网络安全合作备忘录，标志着公司国际化布局持续稳步推进。</w:t>
            </w:r>
          </w:p>
          <w:p w14:paraId="03251804">
            <w:pPr>
              <w:spacing w:before="120" w:beforeLines="50" w:after="120" w:afterLines="50" w:line="300" w:lineRule="auto"/>
              <w:ind w:firstLine="422" w:firstLineChars="200"/>
              <w:jc w:val="both"/>
              <w:rPr>
                <w:rFonts w:ascii="Times New Roman" w:hAnsi="Times New Roman" w:eastAsia="宋体" w:cs="Times New Roman"/>
                <w:b/>
                <w:color w:val="auto"/>
                <w:kern w:val="0"/>
                <w:sz w:val="21"/>
                <w:szCs w:val="21"/>
              </w:rPr>
            </w:pPr>
            <w:r>
              <w:rPr>
                <w:rFonts w:ascii="Times New Roman" w:hAnsi="Times New Roman" w:eastAsia="宋体" w:cs="Times New Roman"/>
                <w:b/>
                <w:color w:val="auto"/>
                <w:kern w:val="0"/>
                <w:sz w:val="21"/>
                <w:szCs w:val="21"/>
              </w:rPr>
              <w:t>4</w:t>
            </w:r>
            <w:r>
              <w:rPr>
                <w:rFonts w:hint="eastAsia" w:ascii="Times New Roman" w:hAnsi="Times New Roman" w:eastAsia="宋体" w:cs="Times New Roman"/>
                <w:b/>
                <w:color w:val="auto"/>
                <w:kern w:val="0"/>
                <w:sz w:val="21"/>
                <w:szCs w:val="21"/>
              </w:rPr>
              <w:t>、财务管理方面</w:t>
            </w:r>
          </w:p>
          <w:p w14:paraId="694C005A">
            <w:pPr>
              <w:spacing w:after="0" w:line="300" w:lineRule="auto"/>
              <w:ind w:firstLine="420" w:firstLineChars="200"/>
              <w:jc w:val="both"/>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2026</w:t>
            </w:r>
            <w:r>
              <w:rPr>
                <w:rFonts w:hint="eastAsia" w:ascii="Times New Roman" w:hAnsi="Times New Roman" w:eastAsia="宋体" w:cs="Times New Roman"/>
                <w:color w:val="auto"/>
                <w:kern w:val="0"/>
                <w:sz w:val="21"/>
                <w:szCs w:val="21"/>
              </w:rPr>
              <w:t>年上半年，公司综合毛利率约为</w:t>
            </w:r>
            <w:r>
              <w:rPr>
                <w:rFonts w:ascii="Times New Roman" w:hAnsi="Times New Roman" w:eastAsia="宋体" w:cs="Times New Roman"/>
                <w:color w:val="auto"/>
                <w:kern w:val="0"/>
                <w:sz w:val="21"/>
                <w:szCs w:val="21"/>
              </w:rPr>
              <w:t>51.00%</w:t>
            </w:r>
            <w:r>
              <w:rPr>
                <w:rFonts w:hint="eastAsia" w:ascii="Times New Roman" w:hAnsi="Times New Roman" w:eastAsia="宋体" w:cs="Times New Roman"/>
                <w:color w:val="auto"/>
                <w:kern w:val="0"/>
                <w:sz w:val="21"/>
                <w:szCs w:val="21"/>
              </w:rPr>
              <w:t>，较上年同期的</w:t>
            </w:r>
            <w:r>
              <w:rPr>
                <w:rFonts w:ascii="Times New Roman" w:hAnsi="Times New Roman" w:eastAsia="宋体" w:cs="Times New Roman"/>
                <w:color w:val="auto"/>
                <w:kern w:val="0"/>
                <w:sz w:val="21"/>
                <w:szCs w:val="21"/>
              </w:rPr>
              <w:t>52.68%</w:t>
            </w:r>
            <w:r>
              <w:rPr>
                <w:rFonts w:hint="eastAsia" w:ascii="Times New Roman" w:hAnsi="Times New Roman" w:eastAsia="宋体" w:cs="Times New Roman"/>
                <w:color w:val="auto"/>
                <w:kern w:val="0"/>
                <w:sz w:val="21"/>
                <w:szCs w:val="21"/>
              </w:rPr>
              <w:t>同比下降</w:t>
            </w:r>
            <w:r>
              <w:rPr>
                <w:rFonts w:ascii="Times New Roman" w:hAnsi="Times New Roman" w:eastAsia="宋体" w:cs="Times New Roman"/>
                <w:color w:val="auto"/>
                <w:kern w:val="0"/>
                <w:sz w:val="21"/>
                <w:szCs w:val="21"/>
              </w:rPr>
              <w:t>1.68</w:t>
            </w:r>
            <w:r>
              <w:rPr>
                <w:rFonts w:hint="eastAsia" w:ascii="Times New Roman" w:hAnsi="Times New Roman" w:eastAsia="宋体" w:cs="Times New Roman"/>
                <w:color w:val="auto"/>
                <w:kern w:val="0"/>
                <w:sz w:val="21"/>
                <w:szCs w:val="21"/>
              </w:rPr>
              <w:t>个百分点，主要系受产品结构变化及部分项目竞争性定价影响。公司毛利率水平与业务模式密切相关——公司以大企业大项目为主要服务对象，大企业定制化需求较多，毛利率较标品化厂商有所偏低。但公司在大客户、大项目领域的深度服务能力构成核心竞争优势，企业级客户仍是公司收入主力，能源、金融、运营商、特种、制造业和信息技术六大关基行业合计贡献了大部分主营业务收入。</w:t>
            </w:r>
          </w:p>
          <w:p w14:paraId="52C65D8C">
            <w:pPr>
              <w:spacing w:after="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费用管控方面，公司继续保持严格控费力度。2</w:t>
            </w:r>
            <w:r>
              <w:rPr>
                <w:rFonts w:ascii="Times New Roman" w:hAnsi="Times New Roman" w:eastAsia="宋体" w:cs="Times New Roman"/>
                <w:color w:val="auto"/>
                <w:kern w:val="0"/>
                <w:sz w:val="21"/>
                <w:szCs w:val="21"/>
              </w:rPr>
              <w:t>026</w:t>
            </w:r>
            <w:r>
              <w:rPr>
                <w:rFonts w:hint="eastAsia" w:ascii="Times New Roman" w:hAnsi="Times New Roman" w:eastAsia="宋体" w:cs="Times New Roman"/>
                <w:color w:val="auto"/>
                <w:kern w:val="0"/>
                <w:sz w:val="21"/>
                <w:szCs w:val="21"/>
              </w:rPr>
              <w:t>年上半年，公司销售费用</w:t>
            </w:r>
            <w:r>
              <w:rPr>
                <w:rFonts w:ascii="Times New Roman" w:hAnsi="Times New Roman" w:eastAsia="宋体" w:cs="Times New Roman"/>
                <w:color w:val="auto"/>
                <w:kern w:val="0"/>
                <w:sz w:val="21"/>
                <w:szCs w:val="21"/>
              </w:rPr>
              <w:t>63,366.83</w:t>
            </w:r>
            <w:r>
              <w:rPr>
                <w:rFonts w:hint="eastAsia" w:ascii="Times New Roman" w:hAnsi="Times New Roman" w:eastAsia="宋体" w:cs="Times New Roman"/>
                <w:color w:val="auto"/>
                <w:kern w:val="0"/>
                <w:sz w:val="21"/>
                <w:szCs w:val="21"/>
              </w:rPr>
              <w:t>万元，同比下降</w:t>
            </w:r>
            <w:r>
              <w:rPr>
                <w:rFonts w:ascii="Times New Roman" w:hAnsi="Times New Roman" w:eastAsia="宋体" w:cs="Times New Roman"/>
                <w:color w:val="auto"/>
                <w:kern w:val="0"/>
                <w:sz w:val="21"/>
                <w:szCs w:val="21"/>
              </w:rPr>
              <w:t>9.74%</w:t>
            </w:r>
            <w:r>
              <w:rPr>
                <w:rFonts w:hint="eastAsia" w:ascii="Times New Roman" w:hAnsi="Times New Roman" w:eastAsia="宋体" w:cs="Times New Roman"/>
                <w:color w:val="auto"/>
                <w:kern w:val="0"/>
                <w:sz w:val="21"/>
                <w:szCs w:val="21"/>
              </w:rPr>
              <w:t>；管理费用</w:t>
            </w:r>
            <w:r>
              <w:rPr>
                <w:rFonts w:ascii="Times New Roman" w:hAnsi="Times New Roman" w:eastAsia="宋体" w:cs="Times New Roman"/>
                <w:color w:val="auto"/>
                <w:kern w:val="0"/>
                <w:sz w:val="21"/>
                <w:szCs w:val="21"/>
              </w:rPr>
              <w:t>21,215.45</w:t>
            </w:r>
            <w:r>
              <w:rPr>
                <w:rFonts w:hint="eastAsia" w:ascii="Times New Roman" w:hAnsi="Times New Roman" w:eastAsia="宋体" w:cs="Times New Roman"/>
                <w:color w:val="auto"/>
                <w:kern w:val="0"/>
                <w:sz w:val="21"/>
                <w:szCs w:val="21"/>
              </w:rPr>
              <w:t>万元，同比下降</w:t>
            </w:r>
            <w:r>
              <w:rPr>
                <w:rFonts w:ascii="Times New Roman" w:hAnsi="Times New Roman" w:eastAsia="宋体" w:cs="Times New Roman"/>
                <w:color w:val="auto"/>
                <w:kern w:val="0"/>
                <w:sz w:val="21"/>
                <w:szCs w:val="21"/>
              </w:rPr>
              <w:t>11.20%</w:t>
            </w:r>
            <w:r>
              <w:rPr>
                <w:rFonts w:hint="eastAsia" w:ascii="Times New Roman" w:hAnsi="Times New Roman" w:eastAsia="宋体" w:cs="Times New Roman"/>
                <w:color w:val="auto"/>
                <w:kern w:val="0"/>
                <w:sz w:val="21"/>
                <w:szCs w:val="21"/>
              </w:rPr>
              <w:t>；研发费用</w:t>
            </w:r>
            <w:r>
              <w:rPr>
                <w:rFonts w:ascii="Times New Roman" w:hAnsi="Times New Roman" w:eastAsia="宋体" w:cs="Times New Roman"/>
                <w:color w:val="auto"/>
                <w:kern w:val="0"/>
                <w:sz w:val="21"/>
                <w:szCs w:val="21"/>
              </w:rPr>
              <w:t>57,768.22</w:t>
            </w:r>
            <w:r>
              <w:rPr>
                <w:rFonts w:hint="eastAsia" w:ascii="Times New Roman" w:hAnsi="Times New Roman" w:eastAsia="宋体" w:cs="Times New Roman"/>
                <w:color w:val="auto"/>
                <w:kern w:val="0"/>
                <w:sz w:val="21"/>
                <w:szCs w:val="21"/>
              </w:rPr>
              <w:t>万元，同比下降</w:t>
            </w:r>
            <w:r>
              <w:rPr>
                <w:rFonts w:ascii="Times New Roman" w:hAnsi="Times New Roman" w:eastAsia="宋体" w:cs="Times New Roman"/>
                <w:color w:val="auto"/>
                <w:kern w:val="0"/>
                <w:sz w:val="21"/>
                <w:szCs w:val="21"/>
              </w:rPr>
              <w:t>2.00%</w:t>
            </w:r>
            <w:r>
              <w:rPr>
                <w:rFonts w:hint="eastAsia" w:ascii="Times New Roman" w:hAnsi="Times New Roman" w:eastAsia="宋体" w:cs="Times New Roman"/>
                <w:color w:val="auto"/>
                <w:kern w:val="0"/>
                <w:sz w:val="21"/>
                <w:szCs w:val="21"/>
              </w:rPr>
              <w:t>。三项费用合计</w:t>
            </w:r>
            <w:r>
              <w:rPr>
                <w:rFonts w:ascii="Times New Roman" w:hAnsi="Times New Roman" w:eastAsia="宋体" w:cs="Times New Roman"/>
                <w:color w:val="auto"/>
                <w:kern w:val="0"/>
                <w:sz w:val="21"/>
                <w:szCs w:val="21"/>
              </w:rPr>
              <w:t>142,350.49</w:t>
            </w:r>
            <w:r>
              <w:rPr>
                <w:rFonts w:hint="eastAsia" w:ascii="Times New Roman" w:hAnsi="Times New Roman" w:eastAsia="宋体" w:cs="Times New Roman"/>
                <w:color w:val="auto"/>
                <w:kern w:val="0"/>
                <w:sz w:val="21"/>
                <w:szCs w:val="21"/>
              </w:rPr>
              <w:t>万元，同比下降</w:t>
            </w:r>
            <w:r>
              <w:rPr>
                <w:rFonts w:ascii="Times New Roman" w:hAnsi="Times New Roman" w:eastAsia="宋体" w:cs="Times New Roman"/>
                <w:color w:val="auto"/>
                <w:kern w:val="0"/>
                <w:sz w:val="21"/>
                <w:szCs w:val="21"/>
              </w:rPr>
              <w:t>6.99%</w:t>
            </w:r>
            <w:r>
              <w:rPr>
                <w:rFonts w:hint="eastAsia" w:ascii="Times New Roman" w:hAnsi="Times New Roman" w:eastAsia="宋体" w:cs="Times New Roman"/>
                <w:color w:val="auto"/>
                <w:kern w:val="0"/>
                <w:sz w:val="21"/>
                <w:szCs w:val="21"/>
              </w:rPr>
              <w:t>。公司通过</w:t>
            </w:r>
            <w:r>
              <w:rPr>
                <w:rFonts w:ascii="Times New Roman" w:hAnsi="Times New Roman" w:eastAsia="宋体" w:cs="Times New Roman"/>
                <w:color w:val="auto"/>
                <w:kern w:val="0"/>
                <w:sz w:val="21"/>
                <w:szCs w:val="21"/>
              </w:rPr>
              <w:t>AI</w:t>
            </w:r>
            <w:r>
              <w:rPr>
                <w:rFonts w:hint="eastAsia" w:ascii="Times New Roman" w:hAnsi="Times New Roman" w:eastAsia="宋体" w:cs="Times New Roman"/>
                <w:color w:val="auto"/>
                <w:kern w:val="0"/>
                <w:sz w:val="21"/>
                <w:szCs w:val="21"/>
              </w:rPr>
              <w:t>辅助研发提效、组织架构精简、流程优化等手段，在保持核心研发投入强度的同时，实现了投入产出效率的稳步提升。</w:t>
            </w:r>
          </w:p>
          <w:p w14:paraId="5AC14CE7">
            <w:pPr>
              <w:spacing w:after="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利润方面，公司利润总额为</w:t>
            </w:r>
            <w:r>
              <w:rPr>
                <w:rFonts w:ascii="Times New Roman" w:hAnsi="Times New Roman" w:eastAsia="宋体" w:cs="Times New Roman"/>
                <w:color w:val="auto"/>
                <w:kern w:val="0"/>
                <w:sz w:val="21"/>
                <w:szCs w:val="21"/>
              </w:rPr>
              <w:t>-44,212.87</w:t>
            </w:r>
            <w:r>
              <w:rPr>
                <w:rFonts w:hint="eastAsia" w:ascii="Times New Roman" w:hAnsi="Times New Roman" w:eastAsia="宋体" w:cs="Times New Roman"/>
                <w:color w:val="auto"/>
                <w:kern w:val="0"/>
                <w:sz w:val="21"/>
                <w:szCs w:val="21"/>
              </w:rPr>
              <w:t>万元，较上年同期减亏</w:t>
            </w:r>
            <w:r>
              <w:rPr>
                <w:rFonts w:ascii="Times New Roman" w:hAnsi="Times New Roman" w:eastAsia="宋体" w:cs="Times New Roman"/>
                <w:color w:val="auto"/>
                <w:kern w:val="0"/>
                <w:sz w:val="21"/>
                <w:szCs w:val="21"/>
              </w:rPr>
              <w:t>43.32%</w:t>
            </w:r>
            <w:r>
              <w:rPr>
                <w:rFonts w:hint="eastAsia" w:ascii="Times New Roman" w:hAnsi="Times New Roman" w:eastAsia="宋体" w:cs="Times New Roman"/>
                <w:color w:val="auto"/>
                <w:kern w:val="0"/>
                <w:sz w:val="21"/>
                <w:szCs w:val="21"/>
              </w:rPr>
              <w:t>。利润改善主要来自两个方面：一是各项费用的有效控制，营业总成本同比下降</w:t>
            </w:r>
            <w:r>
              <w:rPr>
                <w:rFonts w:ascii="Times New Roman" w:hAnsi="Times New Roman" w:eastAsia="宋体" w:cs="Times New Roman"/>
                <w:color w:val="auto"/>
                <w:kern w:val="0"/>
                <w:sz w:val="21"/>
                <w:szCs w:val="21"/>
              </w:rPr>
              <w:t>8.30%</w:t>
            </w:r>
            <w:r>
              <w:rPr>
                <w:rFonts w:hint="eastAsia" w:ascii="Times New Roman" w:hAnsi="Times New Roman" w:eastAsia="宋体" w:cs="Times New Roman"/>
                <w:color w:val="auto"/>
                <w:kern w:val="0"/>
                <w:sz w:val="21"/>
                <w:szCs w:val="21"/>
              </w:rPr>
              <w:t>；二是金融资产公允价值变动产生收益</w:t>
            </w:r>
            <w:r>
              <w:rPr>
                <w:rFonts w:ascii="Times New Roman" w:hAnsi="Times New Roman" w:eastAsia="宋体" w:cs="Times New Roman"/>
                <w:color w:val="auto"/>
                <w:kern w:val="0"/>
                <w:sz w:val="21"/>
                <w:szCs w:val="21"/>
              </w:rPr>
              <w:t>37,015.48</w:t>
            </w:r>
            <w:r>
              <w:rPr>
                <w:rFonts w:hint="eastAsia" w:ascii="Times New Roman" w:hAnsi="Times New Roman" w:eastAsia="宋体" w:cs="Times New Roman"/>
                <w:color w:val="auto"/>
                <w:kern w:val="0"/>
                <w:sz w:val="21"/>
                <w:szCs w:val="21"/>
              </w:rPr>
              <w:t>万元，上年同期为损失</w:t>
            </w:r>
            <w:r>
              <w:rPr>
                <w:rFonts w:ascii="Times New Roman" w:hAnsi="Times New Roman" w:eastAsia="宋体" w:cs="Times New Roman"/>
                <w:color w:val="auto"/>
                <w:kern w:val="0"/>
                <w:sz w:val="21"/>
                <w:szCs w:val="21"/>
              </w:rPr>
              <w:t>2,549.99</w:t>
            </w:r>
            <w:r>
              <w:rPr>
                <w:rFonts w:hint="eastAsia" w:ascii="Times New Roman" w:hAnsi="Times New Roman" w:eastAsia="宋体" w:cs="Times New Roman"/>
                <w:color w:val="auto"/>
                <w:kern w:val="0"/>
                <w:sz w:val="21"/>
                <w:szCs w:val="21"/>
              </w:rPr>
              <w:t>万元。剔除非经常性损益影响后，公司扣非净利润为</w:t>
            </w:r>
            <w:r>
              <w:rPr>
                <w:rFonts w:ascii="Times New Roman" w:hAnsi="Times New Roman" w:eastAsia="宋体" w:cs="Times New Roman"/>
                <w:color w:val="auto"/>
                <w:kern w:val="0"/>
                <w:sz w:val="21"/>
                <w:szCs w:val="21"/>
              </w:rPr>
              <w:t>-75,480.12</w:t>
            </w:r>
            <w:r>
              <w:rPr>
                <w:rFonts w:hint="eastAsia" w:ascii="Times New Roman" w:hAnsi="Times New Roman" w:eastAsia="宋体" w:cs="Times New Roman"/>
                <w:color w:val="auto"/>
                <w:kern w:val="0"/>
                <w:sz w:val="21"/>
                <w:szCs w:val="21"/>
              </w:rPr>
              <w:t>万元，同比依旧减亏，表明公司核心业务的盈利改善仍需持续推进。</w:t>
            </w:r>
          </w:p>
          <w:p w14:paraId="3AC1A51F">
            <w:pPr>
              <w:spacing w:after="0" w:line="300" w:lineRule="auto"/>
              <w:ind w:firstLine="420" w:firstLineChars="200"/>
              <w:jc w:val="both"/>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现金流管理方面，公司继续将销售回款和经营性现金流作为核心考核指标。2</w:t>
            </w:r>
            <w:r>
              <w:rPr>
                <w:rFonts w:ascii="Times New Roman" w:hAnsi="Times New Roman" w:eastAsia="宋体" w:cs="Times New Roman"/>
                <w:color w:val="auto"/>
                <w:kern w:val="0"/>
                <w:sz w:val="21"/>
                <w:szCs w:val="21"/>
              </w:rPr>
              <w:t>026</w:t>
            </w:r>
            <w:r>
              <w:rPr>
                <w:rFonts w:hint="eastAsia" w:ascii="Times New Roman" w:hAnsi="Times New Roman" w:eastAsia="宋体" w:cs="Times New Roman"/>
                <w:color w:val="auto"/>
                <w:kern w:val="0"/>
                <w:sz w:val="21"/>
                <w:szCs w:val="21"/>
              </w:rPr>
              <w:t>年上半年，公司经营性现金流净额为</w:t>
            </w:r>
            <w:r>
              <w:rPr>
                <w:rFonts w:ascii="Times New Roman" w:hAnsi="Times New Roman" w:eastAsia="宋体" w:cs="Times New Roman"/>
                <w:color w:val="auto"/>
                <w:kern w:val="0"/>
                <w:sz w:val="21"/>
                <w:szCs w:val="21"/>
              </w:rPr>
              <w:t xml:space="preserve"> -72,249.36</w:t>
            </w:r>
            <w:r>
              <w:rPr>
                <w:rFonts w:hint="eastAsia" w:ascii="Times New Roman" w:hAnsi="Times New Roman" w:eastAsia="宋体" w:cs="Times New Roman"/>
                <w:color w:val="auto"/>
                <w:kern w:val="0"/>
                <w:sz w:val="21"/>
                <w:szCs w:val="21"/>
              </w:rPr>
              <w:t>万元，同比改善</w:t>
            </w:r>
            <w:r>
              <w:rPr>
                <w:rFonts w:ascii="Times New Roman" w:hAnsi="Times New Roman" w:eastAsia="宋体" w:cs="Times New Roman"/>
                <w:color w:val="auto"/>
                <w:kern w:val="0"/>
                <w:sz w:val="21"/>
                <w:szCs w:val="21"/>
              </w:rPr>
              <w:t>42,045.48</w:t>
            </w:r>
            <w:r>
              <w:rPr>
                <w:rFonts w:hint="eastAsia" w:ascii="Times New Roman" w:hAnsi="Times New Roman" w:eastAsia="宋体" w:cs="Times New Roman"/>
                <w:color w:val="auto"/>
                <w:kern w:val="0"/>
                <w:sz w:val="21"/>
                <w:szCs w:val="21"/>
              </w:rPr>
              <w:t>万元，其中，销售商品、提供劳务收到的现金为</w:t>
            </w:r>
            <w:r>
              <w:rPr>
                <w:rFonts w:ascii="Times New Roman" w:hAnsi="Times New Roman" w:eastAsia="宋体" w:cs="Times New Roman"/>
                <w:color w:val="auto"/>
                <w:kern w:val="0"/>
                <w:sz w:val="21"/>
                <w:szCs w:val="21"/>
              </w:rPr>
              <w:t>168,264.45</w:t>
            </w:r>
            <w:r>
              <w:rPr>
                <w:rFonts w:hint="eastAsia" w:ascii="Times New Roman" w:hAnsi="Times New Roman" w:eastAsia="宋体" w:cs="Times New Roman"/>
                <w:color w:val="auto"/>
                <w:kern w:val="0"/>
                <w:sz w:val="21"/>
                <w:szCs w:val="21"/>
              </w:rPr>
              <w:t>万元，同比增长</w:t>
            </w:r>
            <w:r>
              <w:rPr>
                <w:rFonts w:ascii="Times New Roman" w:hAnsi="Times New Roman" w:eastAsia="宋体" w:cs="Times New Roman"/>
                <w:color w:val="auto"/>
                <w:kern w:val="0"/>
                <w:sz w:val="21"/>
                <w:szCs w:val="21"/>
              </w:rPr>
              <w:t>1.59%</w:t>
            </w:r>
            <w:r>
              <w:rPr>
                <w:rFonts w:hint="eastAsia" w:ascii="Times New Roman" w:hAnsi="Times New Roman" w:eastAsia="宋体" w:cs="Times New Roman"/>
                <w:color w:val="auto"/>
                <w:kern w:val="0"/>
                <w:sz w:val="21"/>
                <w:szCs w:val="21"/>
              </w:rPr>
              <w:t>，在收入下降的背景下仍实现了回款的正增长。</w:t>
            </w:r>
          </w:p>
          <w:p w14:paraId="7ADD1F93">
            <w:pPr>
              <w:spacing w:before="120" w:beforeLines="50" w:after="120" w:afterLines="50" w:line="300" w:lineRule="auto"/>
              <w:ind w:firstLine="422" w:firstLineChars="200"/>
              <w:jc w:val="both"/>
              <w:rPr>
                <w:rFonts w:ascii="Times New Roman" w:hAnsi="Times New Roman" w:eastAsia="宋体" w:cs="Times New Roman"/>
                <w:b/>
                <w:color w:val="auto"/>
                <w:kern w:val="0"/>
                <w:sz w:val="21"/>
                <w:szCs w:val="21"/>
              </w:rPr>
            </w:pPr>
          </w:p>
          <w:p w14:paraId="7DB0D85A">
            <w:pPr>
              <w:spacing w:before="120" w:beforeLines="50" w:after="120" w:afterLines="50" w:line="300" w:lineRule="auto"/>
              <w:ind w:firstLine="422" w:firstLineChars="200"/>
              <w:jc w:val="both"/>
              <w:rPr>
                <w:rFonts w:ascii="Times New Roman" w:hAnsi="Times New Roman" w:eastAsia="宋体" w:cs="Times New Roman"/>
                <w:b/>
                <w:color w:val="auto"/>
                <w:kern w:val="0"/>
                <w:sz w:val="21"/>
                <w:szCs w:val="21"/>
              </w:rPr>
            </w:pPr>
            <w:r>
              <w:rPr>
                <w:rFonts w:ascii="Times New Roman" w:hAnsi="Times New Roman" w:eastAsia="宋体" w:cs="Times New Roman"/>
                <w:b/>
                <w:color w:val="auto"/>
                <w:kern w:val="0"/>
                <w:sz w:val="21"/>
                <w:szCs w:val="21"/>
              </w:rPr>
              <w:t>第二部分由公司管理层与投资者进行问答互动：</w:t>
            </w:r>
          </w:p>
          <w:p w14:paraId="7E2EC770">
            <w:pPr>
              <w:pStyle w:val="11"/>
              <w:numPr>
                <w:ilvl w:val="0"/>
                <w:numId w:val="0"/>
              </w:numPr>
              <w:spacing w:beforeLines="50" w:after="120" w:afterLines="50" w:line="300" w:lineRule="auto"/>
              <w:ind w:firstLine="422" w:firstLineChars="20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问题一、具体谈谈A</w:t>
            </w:r>
            <w:r>
              <w:rPr>
                <w:rFonts w:ascii="Times New Roman" w:hAnsi="Times New Roman" w:cs="Times New Roman"/>
                <w:color w:val="000000" w:themeColor="text1"/>
                <w:sz w:val="21"/>
                <w:szCs w:val="21"/>
                <w14:textFill>
                  <w14:solidFill>
                    <w14:schemeClr w14:val="tx1"/>
                  </w14:solidFill>
                </w14:textFill>
              </w:rPr>
              <w:t>I</w:t>
            </w:r>
            <w:r>
              <w:rPr>
                <w:rFonts w:hint="eastAsia" w:ascii="Times New Roman" w:hAnsi="Times New Roman" w:cs="Times New Roman"/>
                <w:color w:val="000000" w:themeColor="text1"/>
                <w:sz w:val="21"/>
                <w:szCs w:val="21"/>
                <w14:textFill>
                  <w14:solidFill>
                    <w14:schemeClr w14:val="tx1"/>
                  </w14:solidFill>
                </w14:textFill>
              </w:rPr>
              <w:t>时代的攻防失衡为产业带来了哪些机会？</w:t>
            </w:r>
          </w:p>
          <w:p w14:paraId="3D42DD1A">
            <w:pPr>
              <w:pStyle w:val="14"/>
              <w:spacing w:beforeLines="50" w:afterLines="50" w:line="300" w:lineRule="auto"/>
              <w:ind w:firstLine="422"/>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b/>
                <w:color w:val="000000" w:themeColor="text1"/>
                <w:sz w:val="21"/>
                <w:szCs w:val="21"/>
                <w14:textFill>
                  <w14:solidFill>
                    <w14:schemeClr w14:val="tx1"/>
                  </w14:solidFill>
                </w14:textFill>
              </w:rPr>
              <w:t>答：</w:t>
            </w:r>
            <w:r>
              <w:rPr>
                <w:rFonts w:hint="eastAsia" w:ascii="Times New Roman" w:hAnsi="Times New Roman" w:cs="Times New Roman"/>
                <w:color w:val="000000" w:themeColor="text1"/>
                <w:sz w:val="21"/>
                <w:szCs w:val="21"/>
                <w14:textFill>
                  <w14:solidFill>
                    <w14:schemeClr w14:val="tx1"/>
                  </w14:solidFill>
                </w14:textFill>
              </w:rPr>
              <w:t>这是一个根本性的需求变化。</w:t>
            </w:r>
            <w:r>
              <w:rPr>
                <w:rFonts w:ascii="Times New Roman" w:hAnsi="Times New Roman" w:cs="Times New Roman"/>
                <w:color w:val="000000" w:themeColor="text1"/>
                <w:sz w:val="21"/>
                <w:szCs w:val="21"/>
                <w14:textFill>
                  <w14:solidFill>
                    <w14:schemeClr w14:val="tx1"/>
                  </w14:solidFill>
                </w14:textFill>
              </w:rPr>
              <w:t>AI</w:t>
            </w:r>
            <w:r>
              <w:rPr>
                <w:rFonts w:hint="eastAsia" w:ascii="Times New Roman" w:hAnsi="Times New Roman" w:cs="Times New Roman"/>
                <w:color w:val="000000" w:themeColor="text1"/>
                <w:sz w:val="21"/>
                <w:szCs w:val="21"/>
                <w14:textFill>
                  <w14:solidFill>
                    <w14:schemeClr w14:val="tx1"/>
                  </w14:solidFill>
                </w14:textFill>
              </w:rPr>
              <w:t>引发的安全问题有两大类：一是</w:t>
            </w:r>
            <w:r>
              <w:rPr>
                <w:rFonts w:ascii="Times New Roman" w:hAnsi="Times New Roman" w:cs="Times New Roman"/>
                <w:color w:val="000000" w:themeColor="text1"/>
                <w:sz w:val="21"/>
                <w:szCs w:val="21"/>
                <w14:textFill>
                  <w14:solidFill>
                    <w14:schemeClr w14:val="tx1"/>
                  </w14:solidFill>
                </w14:textFill>
              </w:rPr>
              <w:t>AI</w:t>
            </w:r>
            <w:r>
              <w:rPr>
                <w:rFonts w:hint="eastAsia" w:ascii="Times New Roman" w:hAnsi="Times New Roman" w:cs="Times New Roman"/>
                <w:color w:val="000000" w:themeColor="text1"/>
                <w:sz w:val="21"/>
                <w:szCs w:val="21"/>
                <w14:textFill>
                  <w14:solidFill>
                    <w14:schemeClr w14:val="tx1"/>
                  </w14:solidFill>
                </w14:textFill>
              </w:rPr>
              <w:t>自身的安全问题，这个容易理解。从中央到政企，最担心的一件事就是</w:t>
            </w:r>
            <w:r>
              <w:rPr>
                <w:rFonts w:ascii="Times New Roman" w:hAnsi="Times New Roman" w:cs="Times New Roman"/>
                <w:color w:val="000000" w:themeColor="text1"/>
                <w:sz w:val="21"/>
                <w:szCs w:val="21"/>
                <w14:textFill>
                  <w14:solidFill>
                    <w14:schemeClr w14:val="tx1"/>
                  </w14:solidFill>
                </w14:textFill>
              </w:rPr>
              <w:t>AI</w:t>
            </w:r>
            <w:r>
              <w:rPr>
                <w:rFonts w:hint="eastAsia" w:ascii="Times New Roman" w:hAnsi="Times New Roman" w:cs="Times New Roman"/>
                <w:color w:val="000000" w:themeColor="text1"/>
                <w:sz w:val="21"/>
                <w:szCs w:val="21"/>
                <w14:textFill>
                  <w14:solidFill>
                    <w14:schemeClr w14:val="tx1"/>
                  </w14:solidFill>
                </w14:textFill>
              </w:rPr>
              <w:t>就像“猛虎出笼”，我们能不能控制它？这就是第一大类。二是应用</w:t>
            </w:r>
            <w:r>
              <w:rPr>
                <w:rFonts w:ascii="Times New Roman" w:hAnsi="Times New Roman" w:cs="Times New Roman"/>
                <w:color w:val="000000" w:themeColor="text1"/>
                <w:sz w:val="21"/>
                <w:szCs w:val="21"/>
                <w14:textFill>
                  <w14:solidFill>
                    <w14:schemeClr w14:val="tx1"/>
                  </w14:solidFill>
                </w14:textFill>
              </w:rPr>
              <w:t>AI</w:t>
            </w:r>
            <w:r>
              <w:rPr>
                <w:rFonts w:hint="eastAsia" w:ascii="Times New Roman" w:hAnsi="Times New Roman" w:cs="Times New Roman"/>
                <w:color w:val="000000" w:themeColor="text1"/>
                <w:sz w:val="21"/>
                <w:szCs w:val="21"/>
                <w14:textFill>
                  <w14:solidFill>
                    <w14:schemeClr w14:val="tx1"/>
                  </w14:solidFill>
                </w14:textFill>
              </w:rPr>
              <w:t>的场景里的安全问题。这打破了我们原来建立的以人、设备、账号这些信任管理为核心的网络安全体系而新增了一个主体，也就是智能体。而且智能体从简单智能体到复杂智能体，从问答式智能体到能够完成长程任务的智能体，发展的速度很快。这个新的主体权力很大，能力也很强，它的出现就意味着我们原有的传统的网络安全体系要进行重构，重构的过程就是一个大规模扩容的过程，由此引发的安全需求远远大于人工智能自身安全的需求。</w:t>
            </w:r>
          </w:p>
          <w:p w14:paraId="4AA2DB6F">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同样的，人工智能给我们带来的发展也是两方面：一是人工智能技术创新本身带来的发展。二是我们社会庞大的传统经济体因为人工智能技术的应用而产生的新的发展。今年“两会”的时候，总理的《政府工作报告》和“十五五”规划中最强调的，独具中国特色的发展战略叫“大力发展人工智能</w:t>
            </w:r>
            <w:r>
              <w:rPr>
                <w:rFonts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14:textFill>
                  <w14:solidFill>
                    <w14:schemeClr w14:val="tx1"/>
                  </w14:solidFill>
                </w14:textFill>
              </w:rPr>
              <w:t>”，这个“</w:t>
            </w:r>
            <w:r>
              <w:rPr>
                <w:rFonts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14:textFill>
                  <w14:solidFill>
                    <w14:schemeClr w14:val="tx1"/>
                  </w14:solidFill>
                </w14:textFill>
              </w:rPr>
              <w:t>”的后面就是我们庞大的经济体。就目前而言，或者说在未来相当长一段时间，人工智能在传统经济领域的应用所带来的发展增量会是主流。</w:t>
            </w:r>
          </w:p>
          <w:p w14:paraId="76FB8E71">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p>
          <w:p w14:paraId="75C78C42">
            <w:pPr>
              <w:pStyle w:val="11"/>
              <w:numPr>
                <w:ilvl w:val="0"/>
                <w:numId w:val="0"/>
              </w:numPr>
              <w:spacing w:beforeLines="50" w:after="120" w:afterLines="50" w:line="300" w:lineRule="auto"/>
              <w:ind w:firstLine="422" w:firstLineChars="20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问题二、</w:t>
            </w:r>
            <w:r>
              <w:rPr>
                <w:rFonts w:ascii="Times New Roman" w:hAnsi="Times New Roman" w:cs="Times New Roman"/>
                <w:color w:val="000000" w:themeColor="text1"/>
                <w:sz w:val="21"/>
                <w:szCs w:val="21"/>
                <w14:textFill>
                  <w14:solidFill>
                    <w14:schemeClr w14:val="tx1"/>
                  </w14:solidFill>
                </w14:textFill>
              </w:rPr>
              <w:t>7</w:t>
            </w:r>
            <w:r>
              <w:rPr>
                <w:rFonts w:hint="eastAsia" w:ascii="Times New Roman" w:hAnsi="Times New Roman" w:cs="Times New Roman"/>
                <w:color w:val="000000" w:themeColor="text1"/>
                <w:sz w:val="21"/>
                <w:szCs w:val="21"/>
                <w14:textFill>
                  <w14:solidFill>
                    <w14:schemeClr w14:val="tx1"/>
                  </w14:solidFill>
                </w14:textFill>
              </w:rPr>
              <w:t>月</w:t>
            </w:r>
            <w:r>
              <w:rPr>
                <w:rFonts w:ascii="Times New Roman" w:hAnsi="Times New Roman" w:cs="Times New Roman"/>
                <w:color w:val="000000" w:themeColor="text1"/>
                <w:sz w:val="21"/>
                <w:szCs w:val="21"/>
                <w14:textFill>
                  <w14:solidFill>
                    <w14:schemeClr w14:val="tx1"/>
                  </w14:solidFill>
                </w14:textFill>
              </w:rPr>
              <w:t>3</w:t>
            </w:r>
            <w:r>
              <w:rPr>
                <w:rFonts w:hint="eastAsia" w:ascii="Times New Roman" w:hAnsi="Times New Roman" w:cs="Times New Roman"/>
                <w:color w:val="000000" w:themeColor="text1"/>
                <w:sz w:val="21"/>
                <w:szCs w:val="21"/>
                <w14:textFill>
                  <w14:solidFill>
                    <w14:schemeClr w14:val="tx1"/>
                  </w14:solidFill>
                </w14:textFill>
              </w:rPr>
              <w:t>日，央行、国家金融监督管理总局、证监会、国家外汇管理局四部门联合起草《金融业网络安全管理办法（征求意见稿）》，该政策的落地对整个网络安全行业的影响如何？</w:t>
            </w:r>
          </w:p>
          <w:p w14:paraId="0FE359C8">
            <w:pPr>
              <w:pStyle w:val="14"/>
              <w:spacing w:beforeLines="50" w:afterLines="50" w:line="300" w:lineRule="auto"/>
              <w:ind w:firstLine="422"/>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b/>
                <w:color w:val="000000" w:themeColor="text1"/>
                <w:sz w:val="21"/>
                <w:szCs w:val="21"/>
                <w14:textFill>
                  <w14:solidFill>
                    <w14:schemeClr w14:val="tx1"/>
                  </w14:solidFill>
                </w14:textFill>
              </w:rPr>
              <w:t>答：</w:t>
            </w:r>
            <w:r>
              <w:rPr>
                <w:rFonts w:hint="eastAsia" w:ascii="Times New Roman" w:hAnsi="Times New Roman" w:cs="Times New Roman"/>
                <w:color w:val="000000" w:themeColor="text1"/>
                <w:sz w:val="21"/>
                <w:szCs w:val="21"/>
                <w14:textFill>
                  <w14:solidFill>
                    <w14:schemeClr w14:val="tx1"/>
                  </w14:solidFill>
                </w14:textFill>
              </w:rPr>
              <w:t>金融网络安全在网络安全行业里非常重要，因为它直接和我们的钱相关，所以金融业，尤其是银行、证券、保险这几个大的行业，在网络安全体系建设上的投入以及网络安全防护体系的质量都是国民经济全行业里面的排头兵和样板。我认为这次四部门提出的《金融业网络安全管理办法》是在他们已经做得比较好的基础上又把标准上提了一个档次，一个标杆行业的再次提升也会带动整个网络安全防护标准的全面提升，这对全行业都会产生影响。此外，对于网络安全行业来说这又是一个降本降费的措施。原来四个部门对网络安全的要求和标准是不尽统一的，体系的建设也各有各的要求。对这四个部门所管辖的四个大的关基领域，网络安全公司都要认真去干，要符合各部门特色的要求，这样安全产品、技术、设备的不一致性就导致网络安全公司在产品研发和服务上要额外地付出。这次四个部门提出统一的要求，相当于把四套标准变成一套标准，显然给我们网络安全企业“松了绑”，也指明了方向。</w:t>
            </w:r>
          </w:p>
          <w:p w14:paraId="5969D10C">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具体总结三条影响，一是金融行业网络安全投入的高速增长会成为一个确定性的事情，这对全行业都有好处；二是行业集中度会进一步提升。金融业选安全厂商本来就挑剔，技术能力、产品体系、服务响应、信创适配，都是硬门槛。监管要求升级之后，金融机构选厂商只会更审慎，会更倾向于有体系能力、有实战经验、在金融行业深耕多年的头部厂商，所以网络安全行业未来一定是一个高集中度的产业。前一段时间整个产业碎片化，和疫情之后错综复杂的国际和国内经济环境相关。四部门联合推出的这个《办法》应该是一个标志性的事件，让网络安全行业开始向高集中度的方向前进。三是后面</w:t>
            </w:r>
            <w:r>
              <w:rPr>
                <w:rFonts w:ascii="Times New Roman" w:hAnsi="Times New Roman" w:cs="Times New Roman"/>
                <w:color w:val="000000" w:themeColor="text1"/>
                <w:sz w:val="21"/>
                <w:szCs w:val="21"/>
                <w14:textFill>
                  <w14:solidFill>
                    <w14:schemeClr w14:val="tx1"/>
                  </w14:solidFill>
                </w14:textFill>
              </w:rPr>
              <w:t>AI</w:t>
            </w:r>
            <w:r>
              <w:rPr>
                <w:rFonts w:hint="eastAsia" w:ascii="Times New Roman" w:hAnsi="Times New Roman" w:cs="Times New Roman"/>
                <w:color w:val="000000" w:themeColor="text1"/>
                <w:sz w:val="21"/>
                <w:szCs w:val="21"/>
                <w14:textFill>
                  <w14:solidFill>
                    <w14:schemeClr w14:val="tx1"/>
                  </w14:solidFill>
                </w14:textFill>
              </w:rPr>
              <w:t>安全会从可选项变成必选项，总体就是这几个大的方面。</w:t>
            </w:r>
          </w:p>
          <w:p w14:paraId="30CB6A4D">
            <w:pPr>
              <w:pStyle w:val="14"/>
              <w:spacing w:before="0" w:after="0" w:line="300" w:lineRule="auto"/>
              <w:ind w:firstLine="420"/>
              <w:rPr>
                <w:rFonts w:ascii="Times New Roman" w:hAnsi="Times New Roman" w:cs="Times New Roman"/>
                <w:color w:val="000000" w:themeColor="text1"/>
                <w:sz w:val="21"/>
                <w:szCs w:val="21"/>
                <w14:textFill>
                  <w14:solidFill>
                    <w14:schemeClr w14:val="tx1"/>
                  </w14:solidFill>
                </w14:textFill>
              </w:rPr>
            </w:pPr>
          </w:p>
          <w:p w14:paraId="6B4852C7">
            <w:pPr>
              <w:pStyle w:val="11"/>
              <w:numPr>
                <w:ilvl w:val="0"/>
                <w:numId w:val="0"/>
              </w:numPr>
              <w:spacing w:beforeLines="50" w:after="120" w:afterLines="50" w:line="300" w:lineRule="auto"/>
              <w:ind w:firstLine="422" w:firstLineChars="20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问题三、公司在今年二月成立了人工智能子公司，请问该公司的定位是什么？成立以来有哪些业务进展？</w:t>
            </w:r>
          </w:p>
          <w:p w14:paraId="56B22B28">
            <w:pPr>
              <w:pStyle w:val="2"/>
              <w:spacing w:before="120" w:beforeLines="50" w:after="120" w:afterLines="50" w:line="300" w:lineRule="auto"/>
              <w:ind w:firstLine="422" w:firstLineChars="200"/>
              <w:rPr>
                <w:rFonts w:ascii="Times New Roman" w:hAnsi="Times New Roman"/>
                <w:color w:val="000000" w:themeColor="text1"/>
                <w:szCs w:val="21"/>
                <w:shd w:val="clear" w:color="auto" w:fill="FFFFFF"/>
                <w14:textFill>
                  <w14:solidFill>
                    <w14:schemeClr w14:val="tx1"/>
                  </w14:solidFill>
                </w14:textFill>
              </w:rPr>
            </w:pPr>
            <w:r>
              <w:rPr>
                <w:rFonts w:ascii="Times New Roman" w:hAnsi="Times New Roman"/>
                <w:b/>
                <w:color w:val="000000" w:themeColor="text1"/>
                <w:szCs w:val="21"/>
                <w14:textFill>
                  <w14:solidFill>
                    <w14:schemeClr w14:val="tx1"/>
                  </w14:solidFill>
                </w14:textFill>
              </w:rPr>
              <w:t>答：</w:t>
            </w:r>
            <w:r>
              <w:rPr>
                <w:rFonts w:hint="eastAsia" w:ascii="Times New Roman" w:hAnsi="Times New Roman"/>
                <w:color w:val="000000" w:themeColor="text1"/>
                <w:szCs w:val="21"/>
                <w14:textFill>
                  <w14:solidFill>
                    <w14:schemeClr w14:val="tx1"/>
                  </w14:solidFill>
                </w14:textFill>
              </w:rPr>
              <w:t>先说公司定位。</w:t>
            </w:r>
            <w:r>
              <w:rPr>
                <w:rFonts w:hint="eastAsia" w:ascii="Times New Roman" w:hAnsi="Times New Roman"/>
                <w:color w:val="000000" w:themeColor="text1"/>
                <w:szCs w:val="21"/>
                <w:shd w:val="clear" w:color="auto" w:fill="FFFFFF"/>
                <w14:textFill>
                  <w14:solidFill>
                    <w14:schemeClr w14:val="tx1"/>
                  </w14:solidFill>
                </w14:textFill>
              </w:rPr>
              <w:t>奇安信人工智能子公司是集团</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战略的专业化承载主体，是以安全为核心差异化的人工智能专业化公司，也是推动集团</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技术和产品产业化的重要平台。</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是一个爆发型的技术，它突然出现，日新月异，未来是我们全社会经济发展和社会管理最重要的革命性技术。但是</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机器人、智能体代替我们人工去工作带来喜悦的同时，也让所有人都产生担忧，如果智能体失控，就会把企业的经营带入灾难性的深渊，所以大家都对</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安全有迫切的需求。但是困难在于</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的应用在各个企业里都是新事物，对</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技术的掌控能力也是参差不齐的。</w:t>
            </w:r>
          </w:p>
          <w:p w14:paraId="06101602">
            <w:pPr>
              <w:pStyle w:val="2"/>
              <w:spacing w:before="120" w:beforeLines="50" w:after="120" w:afterLines="50" w:line="300" w:lineRule="auto"/>
              <w:ind w:firstLine="420" w:firstLineChars="200"/>
              <w:rPr>
                <w:rFonts w:ascii="Times New Roman" w:hAnsi="Times New Roman"/>
                <w:color w:val="000000" w:themeColor="text1"/>
                <w:szCs w:val="21"/>
                <w:shd w:val="clear" w:color="auto" w:fill="FFFFFF"/>
                <w14:textFill>
                  <w14:solidFill>
                    <w14:schemeClr w14:val="tx1"/>
                  </w14:solidFill>
                </w14:textFill>
              </w:rPr>
            </w:pPr>
            <w:r>
              <w:rPr>
                <w:rFonts w:hint="eastAsia" w:ascii="Times New Roman" w:hAnsi="Times New Roman"/>
                <w:color w:val="000000" w:themeColor="text1"/>
                <w:szCs w:val="21"/>
                <w:shd w:val="clear" w:color="auto" w:fill="FFFFFF"/>
                <w14:textFill>
                  <w14:solidFill>
                    <w14:schemeClr w14:val="tx1"/>
                  </w14:solidFill>
                </w14:textFill>
              </w:rPr>
              <w:t>我们选出公司里面对</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热衷、对A</w:t>
            </w:r>
            <w:r>
              <w:rPr>
                <w:rFonts w:ascii="Times New Roman" w:hAnsi="Times New Roman"/>
                <w:color w:val="000000" w:themeColor="text1"/>
                <w:szCs w:val="21"/>
                <w:shd w:val="clear" w:color="auto" w:fill="FFFFFF"/>
                <w14:textFill>
                  <w14:solidFill>
                    <w14:schemeClr w14:val="tx1"/>
                  </w14:solidFill>
                </w14:textFill>
              </w:rPr>
              <w:t>I</w:t>
            </w:r>
            <w:r>
              <w:rPr>
                <w:rFonts w:hint="eastAsia" w:ascii="Times New Roman" w:hAnsi="Times New Roman"/>
                <w:color w:val="000000" w:themeColor="text1"/>
                <w:szCs w:val="21"/>
                <w:shd w:val="clear" w:color="auto" w:fill="FFFFFF"/>
                <w14:textFill>
                  <w14:solidFill>
                    <w14:schemeClr w14:val="tx1"/>
                  </w14:solidFill>
                </w14:textFill>
              </w:rPr>
              <w:t>了解且对</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安全和</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应用又处在专家水平的四五百人，既能给客户在</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应用方面当外部的咨询顾问，同时也能把</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安全体系的建设推向客户，真正践行以客户为中心，在</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时代帮助客户创造价值的理念。为了给他们提供专业的工作环境和优先的内部资源，我们就成立了奇安信人工智能子公司，定位是围绕攻防驱动</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化，聚焦</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赋能安全和保护</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安全两个大的方向。</w:t>
            </w:r>
          </w:p>
          <w:p w14:paraId="125246D0">
            <w:pPr>
              <w:pStyle w:val="2"/>
              <w:spacing w:before="120" w:beforeLines="50" w:after="120" w:afterLines="50" w:line="300" w:lineRule="auto"/>
              <w:ind w:firstLine="420" w:firstLineChars="200"/>
              <w:rPr>
                <w:rFonts w:ascii="Times New Roman" w:hAnsi="Times New Roman"/>
                <w:color w:val="000000" w:themeColor="text1"/>
                <w:szCs w:val="21"/>
                <w:shd w:val="clear" w:color="auto" w:fill="FFFFFF"/>
                <w14:textFill>
                  <w14:solidFill>
                    <w14:schemeClr w14:val="tx1"/>
                  </w14:solidFill>
                </w14:textFill>
              </w:rPr>
            </w:pPr>
            <w:r>
              <w:rPr>
                <w:rFonts w:hint="eastAsia" w:ascii="Times New Roman" w:hAnsi="Times New Roman"/>
                <w:color w:val="000000" w:themeColor="text1"/>
                <w:szCs w:val="21"/>
                <w:shd w:val="clear" w:color="auto" w:fill="FFFFFF"/>
                <w:lang w:val="en-US" w:eastAsia="zh-CN"/>
                <w14:textFill>
                  <w14:solidFill>
                    <w14:schemeClr w14:val="tx1"/>
                  </w14:solidFill>
                </w14:textFill>
              </w:rPr>
              <w:t>上半年子公司确实也取得了一些进展：</w:t>
            </w:r>
            <w:r>
              <w:rPr>
                <w:rFonts w:hint="eastAsia" w:ascii="Times New Roman" w:hAnsi="Times New Roman"/>
                <w:color w:val="000000" w:themeColor="text1"/>
                <w:szCs w:val="21"/>
                <w:shd w:val="clear" w:color="auto" w:fill="FFFFFF"/>
                <w14:textFill>
                  <w14:solidFill>
                    <w14:schemeClr w14:val="tx1"/>
                  </w14:solidFill>
                </w14:textFill>
              </w:rPr>
              <w:t>一是产品和模型技术体系初步形成。我们发布了安全运营数字员工、威胁分析数字专家和</w:t>
            </w:r>
            <w:r>
              <w:rPr>
                <w:rFonts w:ascii="Times New Roman" w:hAnsi="Times New Roman"/>
                <w:color w:val="000000" w:themeColor="text1"/>
                <w:szCs w:val="21"/>
                <w:shd w:val="clear" w:color="auto" w:fill="FFFFFF"/>
                <w14:textFill>
                  <w14:solidFill>
                    <w14:schemeClr w14:val="tx1"/>
                  </w14:solidFill>
                </w14:textFill>
              </w:rPr>
              <w:t>Qcode Agents</w:t>
            </w:r>
            <w:r>
              <w:rPr>
                <w:rFonts w:hint="eastAsia" w:ascii="Times New Roman" w:hAnsi="Times New Roman"/>
                <w:color w:val="000000" w:themeColor="text1"/>
                <w:szCs w:val="21"/>
                <w:shd w:val="clear" w:color="auto" w:fill="FFFFFF"/>
                <w14:textFill>
                  <w14:solidFill>
                    <w14:schemeClr w14:val="tx1"/>
                  </w14:solidFill>
                </w14:textFill>
              </w:rPr>
              <w:t>漏洞挖掘智能体，以及</w:t>
            </w:r>
            <w:r>
              <w:rPr>
                <w:rFonts w:ascii="Times New Roman" w:hAnsi="Times New Roman"/>
                <w:color w:val="000000" w:themeColor="text1"/>
                <w:szCs w:val="21"/>
                <w:shd w:val="clear" w:color="auto" w:fill="FFFFFF"/>
                <w14:textFill>
                  <w14:solidFill>
                    <w14:schemeClr w14:val="tx1"/>
                  </w14:solidFill>
                </w14:textFill>
              </w:rPr>
              <w:t>SafeSkill</w:t>
            </w:r>
            <w:r>
              <w:rPr>
                <w:rFonts w:hint="eastAsia" w:ascii="Times New Roman" w:hAnsi="Times New Roman"/>
                <w:color w:val="000000" w:themeColor="text1"/>
                <w:szCs w:val="21"/>
                <w:shd w:val="clear" w:color="auto" w:fill="FFFFFF"/>
                <w14:textFill>
                  <w14:solidFill>
                    <w14:schemeClr w14:val="tx1"/>
                  </w14:solidFill>
                </w14:textFill>
              </w:rPr>
              <w:t>智能体技能安全监测平台、“龙虾安全伴侣”、</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安全网关和智能体安全平台，同步发布</w:t>
            </w:r>
            <w:r>
              <w:rPr>
                <w:rFonts w:ascii="Times New Roman" w:hAnsi="Times New Roman"/>
                <w:color w:val="000000" w:themeColor="text1"/>
                <w:szCs w:val="21"/>
                <w:shd w:val="clear" w:color="auto" w:fill="FFFFFF"/>
                <w14:textFill>
                  <w14:solidFill>
                    <w14:schemeClr w14:val="tx1"/>
                  </w14:solidFill>
                </w14:textFill>
              </w:rPr>
              <w:t>QAgent Fabric</w:t>
            </w:r>
            <w:r>
              <w:rPr>
                <w:rFonts w:hint="eastAsia" w:ascii="Times New Roman" w:hAnsi="Times New Roman"/>
                <w:color w:val="000000" w:themeColor="text1"/>
                <w:szCs w:val="21"/>
                <w:shd w:val="clear" w:color="auto" w:fill="FFFFFF"/>
                <w14:textFill>
                  <w14:solidFill>
                    <w14:schemeClr w14:val="tx1"/>
                  </w14:solidFill>
                </w14:textFill>
              </w:rPr>
              <w:t>安全智能体研发框架，初步覆盖“</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赋能安全”和“保护</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安全”两大方向。模型完成</w:t>
            </w:r>
            <w:r>
              <w:rPr>
                <w:rFonts w:ascii="Times New Roman" w:hAnsi="Times New Roman"/>
                <w:color w:val="000000" w:themeColor="text1"/>
                <w:szCs w:val="21"/>
                <w:shd w:val="clear" w:color="auto" w:fill="FFFFFF"/>
                <w14:textFill>
                  <w14:solidFill>
                    <w14:schemeClr w14:val="tx1"/>
                  </w14:solidFill>
                </w14:textFill>
              </w:rPr>
              <w:t>11</w:t>
            </w:r>
            <w:r>
              <w:rPr>
                <w:rFonts w:hint="eastAsia" w:ascii="Times New Roman" w:hAnsi="Times New Roman"/>
                <w:color w:val="000000" w:themeColor="text1"/>
                <w:szCs w:val="21"/>
                <w:shd w:val="clear" w:color="auto" w:fill="FFFFFF"/>
                <w14:textFill>
                  <w14:solidFill>
                    <w14:schemeClr w14:val="tx1"/>
                  </w14:solidFill>
                </w14:textFill>
              </w:rPr>
              <w:t>个关键版本迭代，涵盖高性能、安全运营专用、轻量级等系列，综合性能提升</w:t>
            </w:r>
            <w:r>
              <w:rPr>
                <w:rFonts w:ascii="Times New Roman" w:hAnsi="Times New Roman"/>
                <w:color w:val="000000" w:themeColor="text1"/>
                <w:szCs w:val="21"/>
                <w:shd w:val="clear" w:color="auto" w:fill="FFFFFF"/>
                <w14:textFill>
                  <w14:solidFill>
                    <w14:schemeClr w14:val="tx1"/>
                  </w14:solidFill>
                </w14:textFill>
              </w:rPr>
              <w:t>2</w:t>
            </w:r>
            <w:r>
              <w:rPr>
                <w:rFonts w:hint="eastAsia" w:ascii="Times New Roman" w:hAnsi="Times New Roman"/>
                <w:color w:val="000000" w:themeColor="text1"/>
                <w:szCs w:val="21"/>
                <w:shd w:val="clear" w:color="auto" w:fill="FFFFFF"/>
                <w14:textFill>
                  <w14:solidFill>
                    <w14:schemeClr w14:val="tx1"/>
                  </w14:solidFill>
                </w14:textFill>
              </w:rPr>
              <w:t>倍，并在</w:t>
            </w:r>
            <w:r>
              <w:rPr>
                <w:rFonts w:ascii="Times New Roman" w:hAnsi="Times New Roman"/>
                <w:color w:val="000000" w:themeColor="text1"/>
                <w:szCs w:val="21"/>
                <w:shd w:val="clear" w:color="auto" w:fill="FFFFFF"/>
                <w14:textFill>
                  <w14:solidFill>
                    <w14:schemeClr w14:val="tx1"/>
                  </w14:solidFill>
                </w14:textFill>
              </w:rPr>
              <w:t>SOC</w:t>
            </w:r>
            <w:r>
              <w:rPr>
                <w:rFonts w:hint="eastAsia" w:ascii="Times New Roman" w:hAnsi="Times New Roman"/>
                <w:color w:val="000000" w:themeColor="text1"/>
                <w:szCs w:val="21"/>
                <w:shd w:val="clear" w:color="auto" w:fill="FFFFFF"/>
                <w14:textFill>
                  <w14:solidFill>
                    <w14:schemeClr w14:val="tx1"/>
                  </w14:solidFill>
                </w14:textFill>
              </w:rPr>
              <w:t>研判、智能体工具调用等方面实现专项增强。我们上半年也参加了顶级的实战化</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安全比赛，要实战攻防几个月，最后凭产出说话，最重量级的结果预计在</w:t>
            </w:r>
            <w:r>
              <w:rPr>
                <w:rFonts w:ascii="Times New Roman" w:hAnsi="Times New Roman"/>
                <w:color w:val="000000" w:themeColor="text1"/>
                <w:szCs w:val="21"/>
                <w:shd w:val="clear" w:color="auto" w:fill="FFFFFF"/>
                <w14:textFill>
                  <w14:solidFill>
                    <w14:schemeClr w14:val="tx1"/>
                  </w14:solidFill>
                </w14:textFill>
              </w:rPr>
              <w:t>9</w:t>
            </w:r>
            <w:r>
              <w:rPr>
                <w:rFonts w:hint="eastAsia" w:ascii="Times New Roman" w:hAnsi="Times New Roman"/>
                <w:color w:val="000000" w:themeColor="text1"/>
                <w:szCs w:val="21"/>
                <w:shd w:val="clear" w:color="auto" w:fill="FFFFFF"/>
                <w14:textFill>
                  <w14:solidFill>
                    <w14:schemeClr w14:val="tx1"/>
                  </w14:solidFill>
                </w14:textFill>
              </w:rPr>
              <w:t>月中旬会公布，非常值得期待。</w:t>
            </w:r>
          </w:p>
          <w:p w14:paraId="17846FDD">
            <w:pPr>
              <w:pStyle w:val="2"/>
              <w:spacing w:before="120" w:beforeLines="50" w:after="120" w:afterLines="50" w:line="300" w:lineRule="auto"/>
              <w:ind w:firstLine="420" w:firstLineChars="200"/>
              <w:rPr>
                <w:rFonts w:ascii="Times New Roman" w:hAnsi="Times New Roman"/>
                <w:color w:val="000000" w:themeColor="text1"/>
                <w:szCs w:val="21"/>
                <w:shd w:val="clear" w:color="auto" w:fill="FFFFFF"/>
                <w14:textFill>
                  <w14:solidFill>
                    <w14:schemeClr w14:val="tx1"/>
                  </w14:solidFill>
                </w14:textFill>
              </w:rPr>
            </w:pPr>
            <w:r>
              <w:rPr>
                <w:rFonts w:hint="eastAsia" w:ascii="Times New Roman" w:hAnsi="Times New Roman"/>
                <w:color w:val="000000" w:themeColor="text1"/>
                <w:szCs w:val="21"/>
                <w:shd w:val="clear" w:color="auto" w:fill="FFFFFF"/>
                <w14:textFill>
                  <w14:solidFill>
                    <w14:schemeClr w14:val="tx1"/>
                  </w14:solidFill>
                </w14:textFill>
              </w:rPr>
              <w:t>二是市场验证和商业模式探索有序推进。聚焦金融、政府及大型企业等重点市场，围绕安全运营、智能体安全防护、大模型安全防护和</w:t>
            </w:r>
            <w:r>
              <w:rPr>
                <w:rFonts w:ascii="Times New Roman" w:hAnsi="Times New Roman"/>
                <w:color w:val="000000" w:themeColor="text1"/>
                <w:szCs w:val="21"/>
                <w:shd w:val="clear" w:color="auto" w:fill="FFFFFF"/>
                <w14:textFill>
                  <w14:solidFill>
                    <w14:schemeClr w14:val="tx1"/>
                  </w14:solidFill>
                </w14:textFill>
              </w:rPr>
              <w:t>AI</w:t>
            </w:r>
            <w:r>
              <w:rPr>
                <w:rFonts w:hint="eastAsia" w:ascii="Times New Roman" w:hAnsi="Times New Roman"/>
                <w:color w:val="000000" w:themeColor="text1"/>
                <w:szCs w:val="21"/>
                <w:shd w:val="clear" w:color="auto" w:fill="FFFFFF"/>
                <w14:textFill>
                  <w14:solidFill>
                    <w14:schemeClr w14:val="tx1"/>
                  </w14:solidFill>
                </w14:textFill>
              </w:rPr>
              <w:t>自动化漏洞挖掘等场景开展客户验证，在政府、金融等领域取得阶段性进展。商业模式上，产品销售及授权、项目交付、订阅服务和持续运营等并行探索，安全垂域大模型</w:t>
            </w:r>
            <w:r>
              <w:rPr>
                <w:rFonts w:ascii="Times New Roman" w:hAnsi="Times New Roman"/>
                <w:color w:val="000000" w:themeColor="text1"/>
                <w:szCs w:val="21"/>
                <w:shd w:val="clear" w:color="auto" w:fill="FFFFFF"/>
                <w14:textFill>
                  <w14:solidFill>
                    <w14:schemeClr w14:val="tx1"/>
                  </w14:solidFill>
                </w14:textFill>
              </w:rPr>
              <w:t>MaaS</w:t>
            </w:r>
            <w:r>
              <w:rPr>
                <w:rFonts w:hint="eastAsia" w:ascii="Times New Roman" w:hAnsi="Times New Roman"/>
                <w:color w:val="000000" w:themeColor="text1"/>
                <w:szCs w:val="21"/>
                <w:shd w:val="clear" w:color="auto" w:fill="FFFFFF"/>
                <w14:textFill>
                  <w14:solidFill>
                    <w14:schemeClr w14:val="tx1"/>
                  </w14:solidFill>
                </w14:textFill>
              </w:rPr>
              <w:t>服务、安全</w:t>
            </w:r>
            <w:r>
              <w:rPr>
                <w:rFonts w:ascii="Times New Roman" w:hAnsi="Times New Roman"/>
                <w:color w:val="000000" w:themeColor="text1"/>
                <w:szCs w:val="21"/>
                <w:shd w:val="clear" w:color="auto" w:fill="FFFFFF"/>
                <w14:textFill>
                  <w14:solidFill>
                    <w14:schemeClr w14:val="tx1"/>
                  </w14:solidFill>
                </w14:textFill>
              </w:rPr>
              <w:t>Token</w:t>
            </w:r>
            <w:r>
              <w:rPr>
                <w:rFonts w:hint="eastAsia" w:ascii="Times New Roman" w:hAnsi="Times New Roman"/>
                <w:color w:val="000000" w:themeColor="text1"/>
                <w:szCs w:val="21"/>
                <w:shd w:val="clear" w:color="auto" w:fill="FFFFFF"/>
                <w14:textFill>
                  <w14:solidFill>
                    <w14:schemeClr w14:val="tx1"/>
                  </w14:solidFill>
                </w14:textFill>
              </w:rPr>
              <w:t>等服务已由概念验证进入签约阶段。</w:t>
            </w:r>
          </w:p>
          <w:p w14:paraId="256152B2">
            <w:pPr>
              <w:pStyle w:val="2"/>
              <w:spacing w:before="120" w:beforeLines="50" w:after="120" w:afterLines="50" w:line="300" w:lineRule="auto"/>
              <w:ind w:firstLine="420" w:firstLineChars="200"/>
              <w:rPr>
                <w:rFonts w:ascii="Times New Roman" w:hAnsi="Times New Roman"/>
                <w:color w:val="000000" w:themeColor="text1"/>
                <w:szCs w:val="21"/>
                <w:shd w:val="clear" w:color="auto" w:fill="FFFFFF"/>
                <w14:textFill>
                  <w14:solidFill>
                    <w14:schemeClr w14:val="tx1"/>
                  </w14:solidFill>
                </w14:textFill>
              </w:rPr>
            </w:pPr>
            <w:r>
              <w:rPr>
                <w:rFonts w:hint="eastAsia" w:ascii="Times New Roman" w:hAnsi="Times New Roman"/>
                <w:color w:val="000000" w:themeColor="text1"/>
                <w:szCs w:val="21"/>
                <w:shd w:val="clear" w:color="auto" w:fill="FFFFFF"/>
                <w14:textFill>
                  <w14:solidFill>
                    <w14:schemeClr w14:val="tx1"/>
                  </w14:solidFill>
                </w14:textFill>
              </w:rPr>
              <w:t>三是集团协同和生态合作持续加强。依托集团客户、渠道和交付资源，协同推进联合产品、解决方案和重点客户拓展；对外与海光信息达成战略合作，与华为建立生态合作伙伴关系，初步形成覆盖算力、模型和产业生态的合作布局。</w:t>
            </w:r>
          </w:p>
          <w:p w14:paraId="49D3F318">
            <w:pPr>
              <w:pStyle w:val="14"/>
              <w:spacing w:before="0" w:after="0" w:line="300" w:lineRule="auto"/>
              <w:ind w:firstLine="420"/>
              <w:rPr>
                <w:rFonts w:ascii="Times New Roman" w:hAnsi="Times New Roman" w:cs="Times New Roman"/>
                <w:color w:val="000000" w:themeColor="text1"/>
                <w:sz w:val="21"/>
                <w:szCs w:val="21"/>
                <w14:textFill>
                  <w14:solidFill>
                    <w14:schemeClr w14:val="tx1"/>
                  </w14:solidFill>
                </w14:textFill>
              </w:rPr>
            </w:pPr>
          </w:p>
          <w:p w14:paraId="060B38FA">
            <w:pPr>
              <w:pStyle w:val="11"/>
              <w:numPr>
                <w:ilvl w:val="0"/>
                <w:numId w:val="0"/>
              </w:numPr>
              <w:spacing w:beforeLines="50" w:after="120" w:afterLines="50" w:line="300" w:lineRule="auto"/>
              <w:ind w:firstLine="422" w:firstLineChars="20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问题四、看到公司上半年海外业务增速较快，公司如何看待海外市场？远期来看，对海外市场的展望是什么样的？</w:t>
            </w:r>
          </w:p>
          <w:p w14:paraId="2B3E77F0">
            <w:pPr>
              <w:pStyle w:val="14"/>
              <w:spacing w:beforeLines="50" w:afterLines="50" w:line="300" w:lineRule="auto"/>
              <w:ind w:firstLine="422"/>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b/>
                <w:color w:val="000000" w:themeColor="text1"/>
                <w:sz w:val="21"/>
                <w:szCs w:val="21"/>
                <w14:textFill>
                  <w14:solidFill>
                    <w14:schemeClr w14:val="tx1"/>
                  </w14:solidFill>
                </w14:textFill>
              </w:rPr>
              <w:t>答：</w:t>
            </w:r>
            <w:r>
              <w:rPr>
                <w:rFonts w:hint="eastAsia" w:ascii="Times New Roman" w:hAnsi="Times New Roman" w:cs="Times New Roman"/>
                <w:color w:val="000000" w:themeColor="text1"/>
                <w:sz w:val="21"/>
                <w:szCs w:val="21"/>
                <w14:textFill>
                  <w14:solidFill>
                    <w14:schemeClr w14:val="tx1"/>
                  </w14:solidFill>
                </w14:textFill>
              </w:rPr>
              <w:t>海外市场是奇安信公司战略性重点布局的增量市场。在整个海外市场，奇安信有五类用户：</w:t>
            </w:r>
          </w:p>
          <w:p w14:paraId="41A5291C">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一是“一带一路”友好国家的网络安全监管部门。这些国家原来对网络安全的监管都比较弱，因为中国做出的成绩很突出，所以他们希望向中国学习。最近我们在海外客户的接待方面有点“应接不暇”。二是“一带一路”国家的关键信息基础设施部门。涉及水电、油气、交通、运营商、金融、能源等领域，这些关基设施数字化之后都担忧被网络攻击，所以也向我们寻求帮助与合作。三是中资海外分支机构。我国很多央企、国企和民营企业都在出海，对海外的不熟悉使他们成为“数字孤岛”、“安全孤岛”，急需与国内总部的安全体系相连接。四是我国承建的一些海外工程项目的配套。我们是建筑大国，国外大的基础设施，包括机场、水利工程、铁路、公路、发电等等很大一部分都是我们国内承建的，建设过程中也涵盖网络安全的部分。五是特种行业的特种配套，包括取证过程中的一些监管工具等。</w:t>
            </w:r>
            <w:r>
              <w:rPr>
                <w:rFonts w:ascii="Times New Roman" w:hAnsi="Times New Roman" w:cs="Times New Roman"/>
                <w:color w:val="000000" w:themeColor="text1"/>
                <w:sz w:val="21"/>
                <w:szCs w:val="21"/>
                <w14:textFill>
                  <w14:solidFill>
                    <w14:schemeClr w14:val="tx1"/>
                  </w14:solidFill>
                </w14:textFill>
              </w:rPr>
              <w:t xml:space="preserve">    </w:t>
            </w:r>
          </w:p>
          <w:p w14:paraId="54F92ADA">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从组织策略上看，早些年我们处于探索过程，在东南亚以及非洲、中东地区都取得了不错的效果。在这之后，我们一直在思考一个非常重要的问题，就是组织方面的保障，也就是本地化的运营。所以，我们在全球各地选取了一些重要的地点来推动代表处的建立，包括子公司和区域总部。在整个过程中，我们提供的不是简单的网络安全产品售卖，而是体系性的解决方案，既要给客户做规划，还要交付并实施安装，更重要的是确保体系运行起来。同时也要根据每个国家和区域网络安全进攻防御的威胁情报来开展运营。所以，本地化的开发和服务团队都非常重要，这也是我们组织方面的能力。</w:t>
            </w:r>
          </w:p>
          <w:p w14:paraId="640BCAC4">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在海外市场拓展上，我们充分实施了渠道方面的策略。过去我们的渠道策略中有一条是“跟着国内的大集成商和工程建设商往外走”，未来在国际市场上，我们不仅仅是借船出海，更重要的是在海外建立自己的代理商体系。所以，我们在一些重点国家，尤其是“一带一路”友好国家，建立起了三级代理商体系</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eastAsia" w:ascii="Times New Roman" w:hAnsi="Times New Roman" w:cs="Times New Roman"/>
                <w:color w:val="000000" w:themeColor="text1"/>
                <w:sz w:val="21"/>
                <w:szCs w:val="21"/>
                <w14:textFill>
                  <w14:solidFill>
                    <w14:schemeClr w14:val="tx1"/>
                  </w14:solidFill>
                </w14:textFill>
              </w:rPr>
              <w:t>这些代理商可以提供拓展和推广的销售通道，更重要的是，在代理商体系建设的过程中还会调用当地的服务能力，与代理商联合开展市场活动，推广触达用户侧。此外，我们还有一些比较特殊的合作伙伴，包括深耕海外的</w:t>
            </w:r>
            <w:r>
              <w:rPr>
                <w:rFonts w:ascii="Times New Roman" w:hAnsi="Times New Roman" w:cs="Times New Roman"/>
                <w:color w:val="000000" w:themeColor="text1"/>
                <w:sz w:val="21"/>
                <w:szCs w:val="21"/>
                <w14:textFill>
                  <w14:solidFill>
                    <w14:schemeClr w14:val="tx1"/>
                  </w14:solidFill>
                </w14:textFill>
              </w:rPr>
              <w:t>ICT</w:t>
            </w:r>
            <w:r>
              <w:rPr>
                <w:rFonts w:hint="eastAsia" w:ascii="Times New Roman" w:hAnsi="Times New Roman" w:cs="Times New Roman"/>
                <w:color w:val="000000" w:themeColor="text1"/>
                <w:sz w:val="21"/>
                <w:szCs w:val="21"/>
                <w14:textFill>
                  <w14:solidFill>
                    <w14:schemeClr w14:val="tx1"/>
                  </w14:solidFill>
                </w14:textFill>
              </w:rPr>
              <w:t>企业、一些特种行业的贸易公司以及运营商国际公司等，我们也与他们一起开发整个市场。</w:t>
            </w:r>
          </w:p>
          <w:p w14:paraId="7272E4F3">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综上是奇安信在国际市场开拓方面的一些目标和做法。我们相信在合作伙伴的协同和共同努力下，我们海外的业务和市场一定能够达成“十五五”规划的目标！</w:t>
            </w:r>
            <w:bookmarkEnd w:id="2"/>
          </w:p>
          <w:p w14:paraId="0B28FC71">
            <w:pPr>
              <w:pStyle w:val="14"/>
              <w:spacing w:beforeLines="50" w:afterLines="50" w:line="300" w:lineRule="auto"/>
              <w:ind w:firstLine="420"/>
              <w:rPr>
                <w:rFonts w:ascii="Times New Roman" w:hAnsi="Times New Roman" w:cs="Times New Roman"/>
                <w:color w:val="000000" w:themeColor="text1"/>
                <w:sz w:val="21"/>
                <w:szCs w:val="21"/>
                <w14:textFill>
                  <w14:solidFill>
                    <w14:schemeClr w14:val="tx1"/>
                  </w14:solidFill>
                </w14:textFill>
              </w:rPr>
            </w:pPr>
          </w:p>
          <w:p w14:paraId="07280984">
            <w:pPr>
              <w:pStyle w:val="14"/>
              <w:spacing w:beforeLines="50" w:afterLines="50" w:line="300" w:lineRule="auto"/>
              <w:ind w:firstLine="422"/>
              <w:rPr>
                <w:rFonts w:cs="仿宋"/>
                <w:b/>
                <w:kern w:val="0"/>
                <w:szCs w:val="21"/>
              </w:rPr>
            </w:pPr>
            <w:r>
              <w:rPr>
                <w:rFonts w:hint="eastAsia" w:cs="仿宋"/>
                <w:b/>
                <w:kern w:val="0"/>
                <w:sz w:val="21"/>
                <w:szCs w:val="21"/>
              </w:rPr>
              <w:t>——结束——</w:t>
            </w:r>
          </w:p>
        </w:tc>
      </w:tr>
      <w:tr w14:paraId="19398FE9">
        <w:tblPrEx>
          <w:tblCellMar>
            <w:top w:w="0" w:type="dxa"/>
            <w:left w:w="108" w:type="dxa"/>
            <w:bottom w:w="41" w:type="dxa"/>
            <w:right w:w="0" w:type="dxa"/>
          </w:tblCellMar>
        </w:tblPrEx>
        <w:trPr>
          <w:trHeight w:val="567"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B4723">
            <w:pPr>
              <w:snapToGrid w:val="0"/>
              <w:spacing w:after="0" w:line="240" w:lineRule="auto"/>
              <w:ind w:right="110"/>
              <w:jc w:val="center"/>
              <w:rPr>
                <w:rFonts w:ascii="宋体" w:hAnsi="宋体" w:eastAsia="宋体" w:cs="等线"/>
                <w:sz w:val="24"/>
                <w:szCs w:val="24"/>
              </w:rPr>
            </w:pPr>
            <w:r>
              <w:rPr>
                <w:rFonts w:hint="eastAsia" w:ascii="宋体" w:hAnsi="宋体" w:eastAsia="宋体" w:cs="等线"/>
                <w:sz w:val="24"/>
                <w:szCs w:val="24"/>
              </w:rPr>
              <w:t>附件清单</w:t>
            </w:r>
          </w:p>
          <w:p w14:paraId="65B8BFCC">
            <w:pPr>
              <w:snapToGrid w:val="0"/>
              <w:spacing w:after="0" w:line="240" w:lineRule="auto"/>
              <w:ind w:right="110"/>
              <w:jc w:val="center"/>
              <w:rPr>
                <w:rFonts w:ascii="宋体" w:hAnsi="宋体" w:eastAsia="宋体" w:cs="等线"/>
                <w:sz w:val="24"/>
                <w:szCs w:val="24"/>
              </w:rPr>
            </w:pPr>
            <w:r>
              <w:rPr>
                <w:rFonts w:hint="eastAsia" w:ascii="宋体" w:hAnsi="宋体" w:eastAsia="宋体" w:cs="等线"/>
                <w:sz w:val="24"/>
                <w:szCs w:val="24"/>
              </w:rPr>
              <w:t>（参会机构人员单位、姓名）</w:t>
            </w:r>
          </w:p>
        </w:tc>
        <w:tc>
          <w:tcPr>
            <w:tcW w:w="7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8F7B">
            <w:pPr>
              <w:snapToGrid w:val="0"/>
              <w:spacing w:after="0" w:line="276" w:lineRule="auto"/>
              <w:rPr>
                <w:rFonts w:ascii="宋体" w:hAnsi="宋体" w:eastAsia="宋体" w:cs="仿宋"/>
                <w:b/>
                <w:sz w:val="21"/>
                <w:szCs w:val="21"/>
              </w:rPr>
            </w:pPr>
            <w:r>
              <w:rPr>
                <w:rFonts w:hint="eastAsia" w:ascii="宋体" w:hAnsi="宋体" w:eastAsia="宋体" w:cs="仿宋"/>
                <w:b/>
                <w:sz w:val="21"/>
                <w:szCs w:val="21"/>
              </w:rPr>
              <w:t>附：线上参会机构名单，按所在机构拼音首字母排序。</w:t>
            </w:r>
          </w:p>
          <w:tbl>
            <w:tblPr>
              <w:tblStyle w:val="6"/>
              <w:tblW w:w="7686" w:type="dxa"/>
              <w:tblInd w:w="0" w:type="dxa"/>
              <w:tblLayout w:type="fixed"/>
              <w:tblCellMar>
                <w:top w:w="0" w:type="dxa"/>
                <w:left w:w="108" w:type="dxa"/>
                <w:bottom w:w="0" w:type="dxa"/>
                <w:right w:w="108" w:type="dxa"/>
              </w:tblCellMar>
            </w:tblPr>
            <w:tblGrid>
              <w:gridCol w:w="5702"/>
              <w:gridCol w:w="1984"/>
            </w:tblGrid>
            <w:tr w14:paraId="0393A2C8">
              <w:tblPrEx>
                <w:tblCellMar>
                  <w:top w:w="0" w:type="dxa"/>
                  <w:left w:w="108" w:type="dxa"/>
                  <w:bottom w:w="0" w:type="dxa"/>
                  <w:right w:w="108" w:type="dxa"/>
                </w:tblCellMar>
              </w:tblPrEx>
              <w:trPr>
                <w:trHeight w:val="340" w:hRule="atLeast"/>
              </w:trPr>
              <w:tc>
                <w:tcPr>
                  <w:tcW w:w="5702" w:type="dxa"/>
                  <w:tcBorders>
                    <w:top w:val="single" w:color="auto" w:sz="4" w:space="0"/>
                    <w:left w:val="single" w:color="auto" w:sz="4" w:space="0"/>
                    <w:bottom w:val="single" w:color="auto" w:sz="4" w:space="0"/>
                    <w:right w:val="single" w:color="auto" w:sz="4" w:space="0"/>
                  </w:tcBorders>
                  <w:shd w:val="clear" w:color="000000" w:fill="C0C0C0"/>
                  <w:vAlign w:val="center"/>
                </w:tcPr>
                <w:p w14:paraId="38481EB6">
                  <w:pPr>
                    <w:spacing w:after="0" w:line="240" w:lineRule="auto"/>
                    <w:jc w:val="center"/>
                    <w:rPr>
                      <w:rFonts w:ascii="宋体" w:hAnsi="宋体" w:eastAsia="宋体" w:cs="宋体"/>
                      <w:b/>
                      <w:bCs/>
                      <w:color w:val="auto"/>
                      <w:kern w:val="0"/>
                      <w:sz w:val="21"/>
                      <w:szCs w:val="21"/>
                    </w:rPr>
                  </w:pPr>
                  <w:r>
                    <w:rPr>
                      <w:rFonts w:hint="eastAsia" w:ascii="宋体" w:hAnsi="宋体" w:eastAsia="宋体" w:cs="宋体"/>
                      <w:b/>
                      <w:bCs/>
                      <w:color w:val="auto"/>
                      <w:kern w:val="0"/>
                      <w:sz w:val="21"/>
                      <w:szCs w:val="21"/>
                    </w:rPr>
                    <w:t>机构名称</w:t>
                  </w:r>
                </w:p>
              </w:tc>
              <w:tc>
                <w:tcPr>
                  <w:tcW w:w="1984" w:type="dxa"/>
                  <w:tcBorders>
                    <w:top w:val="single" w:color="auto" w:sz="4" w:space="0"/>
                    <w:left w:val="nil"/>
                    <w:bottom w:val="single" w:color="auto" w:sz="4" w:space="0"/>
                    <w:right w:val="single" w:color="auto" w:sz="4" w:space="0"/>
                  </w:tcBorders>
                  <w:shd w:val="clear" w:color="000000" w:fill="C0C0C0"/>
                  <w:vAlign w:val="center"/>
                </w:tcPr>
                <w:p w14:paraId="7B9651CC">
                  <w:pPr>
                    <w:spacing w:after="0" w:line="240" w:lineRule="auto"/>
                    <w:jc w:val="center"/>
                    <w:rPr>
                      <w:rFonts w:ascii="宋体" w:hAnsi="宋体" w:eastAsia="宋体" w:cs="宋体"/>
                      <w:b/>
                      <w:bCs/>
                      <w:color w:val="auto"/>
                      <w:kern w:val="0"/>
                      <w:sz w:val="21"/>
                      <w:szCs w:val="21"/>
                    </w:rPr>
                  </w:pPr>
                  <w:r>
                    <w:rPr>
                      <w:rFonts w:hint="eastAsia" w:ascii="宋体" w:hAnsi="宋体" w:eastAsia="宋体" w:cs="宋体"/>
                      <w:b/>
                      <w:bCs/>
                      <w:color w:val="auto"/>
                      <w:kern w:val="0"/>
                      <w:sz w:val="21"/>
                      <w:szCs w:val="21"/>
                    </w:rPr>
                    <w:t>参会者姓名</w:t>
                  </w:r>
                </w:p>
              </w:tc>
            </w:tr>
            <w:tr w14:paraId="7512E7BB">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5A7679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北京金融街资本运营集团有限公司</w:t>
                  </w:r>
                </w:p>
              </w:tc>
              <w:tc>
                <w:tcPr>
                  <w:tcW w:w="1984" w:type="dxa"/>
                  <w:tcBorders>
                    <w:top w:val="nil"/>
                    <w:left w:val="nil"/>
                    <w:bottom w:val="single" w:color="auto" w:sz="4" w:space="0"/>
                    <w:right w:val="single" w:color="auto" w:sz="4" w:space="0"/>
                  </w:tcBorders>
                  <w:shd w:val="clear" w:color="auto" w:fill="auto"/>
                  <w:noWrap/>
                  <w:vAlign w:val="center"/>
                </w:tcPr>
                <w:p w14:paraId="68CB481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管文杰</w:t>
                  </w:r>
                </w:p>
              </w:tc>
            </w:tr>
            <w:tr w14:paraId="4FBBE751">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1336C4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北京泾谷私募基金管理有限公司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292FA8D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蒋海</w:t>
                  </w:r>
                </w:p>
              </w:tc>
            </w:tr>
            <w:tr w14:paraId="3159B52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DAB104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北京微村智科私募基金管理有限公司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396B90A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赵培恩</w:t>
                  </w:r>
                </w:p>
              </w:tc>
            </w:tr>
            <w:tr w14:paraId="235988A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211A10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北京禹田资本管理有限公司</w:t>
                  </w:r>
                </w:p>
              </w:tc>
              <w:tc>
                <w:tcPr>
                  <w:tcW w:w="1984" w:type="dxa"/>
                  <w:tcBorders>
                    <w:top w:val="nil"/>
                    <w:left w:val="nil"/>
                    <w:bottom w:val="single" w:color="auto" w:sz="4" w:space="0"/>
                    <w:right w:val="single" w:color="auto" w:sz="4" w:space="0"/>
                  </w:tcBorders>
                  <w:shd w:val="clear" w:color="auto" w:fill="auto"/>
                  <w:noWrap/>
                  <w:vAlign w:val="center"/>
                </w:tcPr>
                <w:p w14:paraId="7468671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刘元根</w:t>
                  </w:r>
                </w:p>
              </w:tc>
            </w:tr>
            <w:tr w14:paraId="4D685796">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43F786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北京泽铭投资有限公司</w:t>
                  </w:r>
                </w:p>
              </w:tc>
              <w:tc>
                <w:tcPr>
                  <w:tcW w:w="1984" w:type="dxa"/>
                  <w:tcBorders>
                    <w:top w:val="nil"/>
                    <w:left w:val="nil"/>
                    <w:bottom w:val="single" w:color="auto" w:sz="4" w:space="0"/>
                    <w:right w:val="single" w:color="auto" w:sz="4" w:space="0"/>
                  </w:tcBorders>
                  <w:shd w:val="clear" w:color="auto" w:fill="auto"/>
                  <w:noWrap/>
                  <w:vAlign w:val="center"/>
                </w:tcPr>
                <w:p w14:paraId="13D27AC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单河</w:t>
                  </w:r>
                </w:p>
              </w:tc>
            </w:tr>
            <w:tr w14:paraId="4272499B">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9AA453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毕盛(上海)投资管理有限公司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72BBCB5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龚昌盛</w:t>
                  </w:r>
                </w:p>
              </w:tc>
            </w:tr>
            <w:tr w14:paraId="19EBFD83">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DDBEE7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渤海创富证券投资有限公司</w:t>
                  </w:r>
                </w:p>
              </w:tc>
              <w:tc>
                <w:tcPr>
                  <w:tcW w:w="1984" w:type="dxa"/>
                  <w:tcBorders>
                    <w:top w:val="nil"/>
                    <w:left w:val="nil"/>
                    <w:bottom w:val="single" w:color="auto" w:sz="4" w:space="0"/>
                    <w:right w:val="single" w:color="auto" w:sz="4" w:space="0"/>
                  </w:tcBorders>
                  <w:shd w:val="clear" w:color="auto" w:fill="auto"/>
                  <w:noWrap/>
                  <w:vAlign w:val="center"/>
                </w:tcPr>
                <w:p w14:paraId="1F01D40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王洪磊</w:t>
                  </w:r>
                </w:p>
              </w:tc>
            </w:tr>
            <w:tr w14:paraId="738F7D60">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3F3C45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常州投资集团有限公司</w:t>
                  </w:r>
                </w:p>
              </w:tc>
              <w:tc>
                <w:tcPr>
                  <w:tcW w:w="1984" w:type="dxa"/>
                  <w:tcBorders>
                    <w:top w:val="nil"/>
                    <w:left w:val="nil"/>
                    <w:bottom w:val="single" w:color="auto" w:sz="4" w:space="0"/>
                    <w:right w:val="single" w:color="auto" w:sz="4" w:space="0"/>
                  </w:tcBorders>
                  <w:shd w:val="clear" w:color="auto" w:fill="auto"/>
                  <w:noWrap/>
                  <w:vAlign w:val="center"/>
                </w:tcPr>
                <w:p w14:paraId="62ACACAA">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祝慧</w:t>
                  </w:r>
                </w:p>
              </w:tc>
            </w:tr>
            <w:tr w14:paraId="5F995058">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DB4683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东方证券股份有限公司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09B9BA4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浦俊懿</w:t>
                  </w:r>
                </w:p>
              </w:tc>
            </w:tr>
            <w:tr w14:paraId="3850CFC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70E882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东吴证券股份有限公司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429321D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戴晨</w:t>
                  </w:r>
                </w:p>
              </w:tc>
            </w:tr>
            <w:tr w14:paraId="219B1BFB">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298C5D7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福建金牛投资管理股份有限公司</w:t>
                  </w:r>
                </w:p>
              </w:tc>
              <w:tc>
                <w:tcPr>
                  <w:tcW w:w="1984" w:type="dxa"/>
                  <w:tcBorders>
                    <w:top w:val="nil"/>
                    <w:left w:val="nil"/>
                    <w:bottom w:val="single" w:color="auto" w:sz="4" w:space="0"/>
                    <w:right w:val="single" w:color="auto" w:sz="4" w:space="0"/>
                  </w:tcBorders>
                  <w:shd w:val="clear" w:color="auto" w:fill="auto"/>
                  <w:noWrap/>
                  <w:vAlign w:val="center"/>
                </w:tcPr>
                <w:p w14:paraId="146795C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梁敏忠</w:t>
                  </w:r>
                </w:p>
              </w:tc>
            </w:tr>
            <w:tr w14:paraId="1FE7FA96">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0B8EE8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福建兴合创业投资有限公司</w:t>
                  </w:r>
                </w:p>
              </w:tc>
              <w:tc>
                <w:tcPr>
                  <w:tcW w:w="1984" w:type="dxa"/>
                  <w:tcBorders>
                    <w:top w:val="nil"/>
                    <w:left w:val="nil"/>
                    <w:bottom w:val="single" w:color="auto" w:sz="4" w:space="0"/>
                    <w:right w:val="single" w:color="auto" w:sz="4" w:space="0"/>
                  </w:tcBorders>
                  <w:shd w:val="clear" w:color="auto" w:fill="auto"/>
                  <w:noWrap/>
                  <w:vAlign w:val="center"/>
                </w:tcPr>
                <w:p w14:paraId="053FFA2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林书顺</w:t>
                  </w:r>
                </w:p>
              </w:tc>
            </w:tr>
            <w:tr w14:paraId="0B1EA857">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E01F92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富瑞金融集团香港有限公司</w:t>
                  </w:r>
                </w:p>
              </w:tc>
              <w:tc>
                <w:tcPr>
                  <w:tcW w:w="1984" w:type="dxa"/>
                  <w:tcBorders>
                    <w:top w:val="nil"/>
                    <w:left w:val="nil"/>
                    <w:bottom w:val="single" w:color="auto" w:sz="4" w:space="0"/>
                    <w:right w:val="single" w:color="auto" w:sz="4" w:space="0"/>
                  </w:tcBorders>
                  <w:shd w:val="clear" w:color="auto" w:fill="auto"/>
                  <w:noWrap/>
                  <w:vAlign w:val="center"/>
                </w:tcPr>
                <w:p w14:paraId="3E165E6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馬牧野</w:t>
                  </w:r>
                </w:p>
              </w:tc>
            </w:tr>
            <w:tr w14:paraId="4AFEA4B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1E584A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富瑞金融集团香港有限公司</w:t>
                  </w:r>
                </w:p>
              </w:tc>
              <w:tc>
                <w:tcPr>
                  <w:tcW w:w="1984" w:type="dxa"/>
                  <w:tcBorders>
                    <w:top w:val="nil"/>
                    <w:left w:val="nil"/>
                    <w:bottom w:val="single" w:color="auto" w:sz="4" w:space="0"/>
                    <w:right w:val="single" w:color="auto" w:sz="4" w:space="0"/>
                  </w:tcBorders>
                  <w:shd w:val="clear" w:color="auto" w:fill="auto"/>
                  <w:noWrap/>
                  <w:vAlign w:val="center"/>
                </w:tcPr>
                <w:p w14:paraId="0875CB3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张朗铭</w:t>
                  </w:r>
                </w:p>
              </w:tc>
            </w:tr>
            <w:tr w14:paraId="2043A7F7">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51482F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光大证券股份有限公司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301DE73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刘勇</w:t>
                  </w:r>
                </w:p>
              </w:tc>
            </w:tr>
            <w:tr w14:paraId="7C2967D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F5B5E7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国金证券股份有限公司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10488C5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李忠宇</w:t>
                  </w:r>
                </w:p>
              </w:tc>
            </w:tr>
            <w:tr w14:paraId="23EDEA5D">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218C48E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国泰海通证券股份有限公司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1D463DE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楼剑雄</w:t>
                  </w:r>
                </w:p>
              </w:tc>
            </w:tr>
            <w:tr w14:paraId="66A0DB38">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9C4AD0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国投证券股份有限公司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4D726AC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夏瀛韬</w:t>
                  </w:r>
                </w:p>
              </w:tc>
            </w:tr>
            <w:tr w14:paraId="5E87B925">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1A888F7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湖南八零后资产管理有限公司</w:t>
                  </w:r>
                </w:p>
              </w:tc>
              <w:tc>
                <w:tcPr>
                  <w:tcW w:w="1984" w:type="dxa"/>
                  <w:tcBorders>
                    <w:top w:val="nil"/>
                    <w:left w:val="nil"/>
                    <w:bottom w:val="single" w:color="auto" w:sz="4" w:space="0"/>
                    <w:right w:val="single" w:color="auto" w:sz="4" w:space="0"/>
                  </w:tcBorders>
                  <w:shd w:val="clear" w:color="auto" w:fill="auto"/>
                  <w:noWrap/>
                  <w:vAlign w:val="center"/>
                </w:tcPr>
                <w:p w14:paraId="5437AE5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贺勇</w:t>
                  </w:r>
                </w:p>
              </w:tc>
            </w:tr>
            <w:tr w14:paraId="5A3AEF36">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FE170F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湖南潇湘资本投资管理有限公司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63D936D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陈靓璇</w:t>
                  </w:r>
                </w:p>
              </w:tc>
            </w:tr>
            <w:tr w14:paraId="67C24741">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5DBAAF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花旗環球金融亞洲有限公司</w:t>
                  </w:r>
                </w:p>
              </w:tc>
              <w:tc>
                <w:tcPr>
                  <w:tcW w:w="1984" w:type="dxa"/>
                  <w:tcBorders>
                    <w:top w:val="nil"/>
                    <w:left w:val="nil"/>
                    <w:bottom w:val="single" w:color="auto" w:sz="4" w:space="0"/>
                    <w:right w:val="single" w:color="auto" w:sz="4" w:space="0"/>
                  </w:tcBorders>
                  <w:shd w:val="clear" w:color="auto" w:fill="auto"/>
                  <w:noWrap/>
                  <w:vAlign w:val="center"/>
                </w:tcPr>
                <w:p w14:paraId="358FF5A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王曉琼</w:t>
                  </w:r>
                </w:p>
              </w:tc>
            </w:tr>
            <w:tr w14:paraId="1A98C78C">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869CF8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华安证券股份有限公司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1F3B401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来祚豪</w:t>
                  </w:r>
                </w:p>
              </w:tc>
            </w:tr>
            <w:tr w14:paraId="11172584">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29127C5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华创证券有限责任公司</w:t>
                  </w:r>
                </w:p>
              </w:tc>
              <w:tc>
                <w:tcPr>
                  <w:tcW w:w="1984" w:type="dxa"/>
                  <w:tcBorders>
                    <w:top w:val="nil"/>
                    <w:left w:val="nil"/>
                    <w:bottom w:val="single" w:color="auto" w:sz="4" w:space="0"/>
                    <w:right w:val="single" w:color="auto" w:sz="4" w:space="0"/>
                  </w:tcBorders>
                  <w:shd w:val="clear" w:color="auto" w:fill="auto"/>
                  <w:noWrap/>
                  <w:vAlign w:val="center"/>
                </w:tcPr>
                <w:p w14:paraId="4C5BCD0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胡昕安</w:t>
                  </w:r>
                </w:p>
              </w:tc>
            </w:tr>
            <w:tr w14:paraId="2B020F4E">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2E9038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华福证券股份有限公司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5D9CF9FA">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魏征宇</w:t>
                  </w:r>
                </w:p>
              </w:tc>
            </w:tr>
            <w:tr w14:paraId="727AF852">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59C649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华泰证券股份有限公司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60EC524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范昳蕊</w:t>
                  </w:r>
                </w:p>
              </w:tc>
            </w:tr>
            <w:tr w14:paraId="136CFA55">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616812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交銀國際資產管理有限公司</w:t>
                  </w:r>
                </w:p>
              </w:tc>
              <w:tc>
                <w:tcPr>
                  <w:tcW w:w="1984" w:type="dxa"/>
                  <w:tcBorders>
                    <w:top w:val="nil"/>
                    <w:left w:val="nil"/>
                    <w:bottom w:val="single" w:color="auto" w:sz="4" w:space="0"/>
                    <w:right w:val="single" w:color="auto" w:sz="4" w:space="0"/>
                  </w:tcBorders>
                  <w:shd w:val="clear" w:color="auto" w:fill="auto"/>
                  <w:noWrap/>
                  <w:vAlign w:val="center"/>
                </w:tcPr>
                <w:p w14:paraId="174FABE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王國帆</w:t>
                  </w:r>
                </w:p>
              </w:tc>
            </w:tr>
            <w:tr w14:paraId="45A245ED">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225333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开源证券股份有限公司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5F5E9B3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刘毅</w:t>
                  </w:r>
                </w:p>
              </w:tc>
            </w:tr>
            <w:tr w14:paraId="465E917C">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75388D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昆仑健康保险股份有限公司</w:t>
                  </w:r>
                </w:p>
              </w:tc>
              <w:tc>
                <w:tcPr>
                  <w:tcW w:w="1984" w:type="dxa"/>
                  <w:tcBorders>
                    <w:top w:val="nil"/>
                    <w:left w:val="nil"/>
                    <w:bottom w:val="single" w:color="auto" w:sz="4" w:space="0"/>
                    <w:right w:val="single" w:color="auto" w:sz="4" w:space="0"/>
                  </w:tcBorders>
                  <w:shd w:val="clear" w:color="auto" w:fill="auto"/>
                  <w:noWrap/>
                  <w:vAlign w:val="center"/>
                </w:tcPr>
                <w:p w14:paraId="0FB04D6B">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周志鹏</w:t>
                  </w:r>
                </w:p>
              </w:tc>
            </w:tr>
            <w:tr w14:paraId="72C8977B">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2535AD4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美银证券</w:t>
                  </w:r>
                </w:p>
              </w:tc>
              <w:tc>
                <w:tcPr>
                  <w:tcW w:w="1984" w:type="dxa"/>
                  <w:tcBorders>
                    <w:top w:val="nil"/>
                    <w:left w:val="nil"/>
                    <w:bottom w:val="single" w:color="auto" w:sz="4" w:space="0"/>
                    <w:right w:val="single" w:color="auto" w:sz="4" w:space="0"/>
                  </w:tcBorders>
                  <w:shd w:val="clear" w:color="auto" w:fill="auto"/>
                  <w:noWrap/>
                  <w:vAlign w:val="center"/>
                </w:tcPr>
                <w:p w14:paraId="0C868B5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庄亚林</w:t>
                  </w:r>
                </w:p>
              </w:tc>
            </w:tr>
            <w:tr w14:paraId="038F3112">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6875B7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美银证券</w:t>
                  </w:r>
                </w:p>
              </w:tc>
              <w:tc>
                <w:tcPr>
                  <w:tcW w:w="1984" w:type="dxa"/>
                  <w:tcBorders>
                    <w:top w:val="nil"/>
                    <w:left w:val="nil"/>
                    <w:bottom w:val="single" w:color="auto" w:sz="4" w:space="0"/>
                    <w:right w:val="single" w:color="auto" w:sz="4" w:space="0"/>
                  </w:tcBorders>
                  <w:shd w:val="clear" w:color="auto" w:fill="auto"/>
                  <w:noWrap/>
                  <w:vAlign w:val="center"/>
                </w:tcPr>
                <w:p w14:paraId="1678559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李慧群</w:t>
                  </w:r>
                </w:p>
              </w:tc>
            </w:tr>
            <w:tr w14:paraId="6AA734AD">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D3D1F7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磐厚动量(上海)资本管理有限公司</w:t>
                  </w:r>
                </w:p>
              </w:tc>
              <w:tc>
                <w:tcPr>
                  <w:tcW w:w="1984" w:type="dxa"/>
                  <w:tcBorders>
                    <w:top w:val="nil"/>
                    <w:left w:val="nil"/>
                    <w:bottom w:val="single" w:color="auto" w:sz="4" w:space="0"/>
                    <w:right w:val="single" w:color="auto" w:sz="4" w:space="0"/>
                  </w:tcBorders>
                  <w:shd w:val="clear" w:color="auto" w:fill="auto"/>
                  <w:noWrap/>
                  <w:vAlign w:val="center"/>
                </w:tcPr>
                <w:p w14:paraId="31234C3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于昀田</w:t>
                  </w:r>
                </w:p>
              </w:tc>
            </w:tr>
            <w:tr w14:paraId="5DBA3428">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D9484A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青岛中航赛维科技发展有限责任公司</w:t>
                  </w:r>
                </w:p>
              </w:tc>
              <w:tc>
                <w:tcPr>
                  <w:tcW w:w="1984" w:type="dxa"/>
                  <w:tcBorders>
                    <w:top w:val="nil"/>
                    <w:left w:val="nil"/>
                    <w:bottom w:val="single" w:color="auto" w:sz="4" w:space="0"/>
                    <w:right w:val="single" w:color="auto" w:sz="4" w:space="0"/>
                  </w:tcBorders>
                  <w:shd w:val="clear" w:color="auto" w:fill="auto"/>
                  <w:noWrap/>
                  <w:vAlign w:val="center"/>
                </w:tcPr>
                <w:p w14:paraId="2AE7B600">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吕政和</w:t>
                  </w:r>
                </w:p>
              </w:tc>
            </w:tr>
            <w:tr w14:paraId="015B148B">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92C9E5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瑞银环球资产管理(中国)有限公司</w:t>
                  </w:r>
                </w:p>
              </w:tc>
              <w:tc>
                <w:tcPr>
                  <w:tcW w:w="1984" w:type="dxa"/>
                  <w:tcBorders>
                    <w:top w:val="nil"/>
                    <w:left w:val="nil"/>
                    <w:bottom w:val="single" w:color="auto" w:sz="4" w:space="0"/>
                    <w:right w:val="single" w:color="auto" w:sz="4" w:space="0"/>
                  </w:tcBorders>
                  <w:shd w:val="clear" w:color="auto" w:fill="auto"/>
                  <w:noWrap/>
                  <w:vAlign w:val="center"/>
                </w:tcPr>
                <w:p w14:paraId="504CED1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丁宁</w:t>
                  </w:r>
                </w:p>
              </w:tc>
            </w:tr>
            <w:tr w14:paraId="24A03B7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165FB3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山西证券股份有限公司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741675E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邹昕宸</w:t>
                  </w:r>
                </w:p>
              </w:tc>
            </w:tr>
            <w:tr w14:paraId="3AD20C2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25A6B38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上海贵源投资有限公司</w:t>
                  </w:r>
                </w:p>
              </w:tc>
              <w:tc>
                <w:tcPr>
                  <w:tcW w:w="1984" w:type="dxa"/>
                  <w:tcBorders>
                    <w:top w:val="nil"/>
                    <w:left w:val="nil"/>
                    <w:bottom w:val="single" w:color="auto" w:sz="4" w:space="0"/>
                    <w:right w:val="single" w:color="auto" w:sz="4" w:space="0"/>
                  </w:tcBorders>
                  <w:shd w:val="clear" w:color="auto" w:fill="auto"/>
                  <w:noWrap/>
                  <w:vAlign w:val="center"/>
                </w:tcPr>
                <w:p w14:paraId="7A0DDC1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赖正健</w:t>
                  </w:r>
                </w:p>
              </w:tc>
            </w:tr>
            <w:tr w14:paraId="65C6D936">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29FAD5C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上海国际集团资产管理有限公司</w:t>
                  </w:r>
                </w:p>
              </w:tc>
              <w:tc>
                <w:tcPr>
                  <w:tcW w:w="1984" w:type="dxa"/>
                  <w:tcBorders>
                    <w:top w:val="nil"/>
                    <w:left w:val="nil"/>
                    <w:bottom w:val="single" w:color="auto" w:sz="4" w:space="0"/>
                    <w:right w:val="single" w:color="auto" w:sz="4" w:space="0"/>
                  </w:tcBorders>
                  <w:shd w:val="clear" w:color="auto" w:fill="auto"/>
                  <w:noWrap/>
                  <w:vAlign w:val="center"/>
                </w:tcPr>
                <w:p w14:paraId="5B8A68B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符莉虹</w:t>
                  </w:r>
                </w:p>
              </w:tc>
            </w:tr>
            <w:tr w14:paraId="05CBC29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24A337F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上海国理投资有限公司</w:t>
                  </w:r>
                </w:p>
              </w:tc>
              <w:tc>
                <w:tcPr>
                  <w:tcW w:w="1984" w:type="dxa"/>
                  <w:tcBorders>
                    <w:top w:val="nil"/>
                    <w:left w:val="nil"/>
                    <w:bottom w:val="single" w:color="auto" w:sz="4" w:space="0"/>
                    <w:right w:val="single" w:color="auto" w:sz="4" w:space="0"/>
                  </w:tcBorders>
                  <w:shd w:val="clear" w:color="auto" w:fill="auto"/>
                  <w:noWrap/>
                  <w:vAlign w:val="center"/>
                </w:tcPr>
                <w:p w14:paraId="23B8286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岳政</w:t>
                  </w:r>
                </w:p>
              </w:tc>
            </w:tr>
            <w:tr w14:paraId="051CCB0E">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09DA3BB">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上海国理投资有限公司</w:t>
                  </w:r>
                </w:p>
              </w:tc>
              <w:tc>
                <w:tcPr>
                  <w:tcW w:w="1984" w:type="dxa"/>
                  <w:tcBorders>
                    <w:top w:val="nil"/>
                    <w:left w:val="nil"/>
                    <w:bottom w:val="single" w:color="auto" w:sz="4" w:space="0"/>
                    <w:right w:val="single" w:color="auto" w:sz="4" w:space="0"/>
                  </w:tcBorders>
                  <w:shd w:val="clear" w:color="auto" w:fill="auto"/>
                  <w:noWrap/>
                  <w:vAlign w:val="center"/>
                </w:tcPr>
                <w:p w14:paraId="034A5B6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马玉清</w:t>
                  </w:r>
                </w:p>
              </w:tc>
            </w:tr>
            <w:tr w14:paraId="1E2CCA73">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375DEDB">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上海禾升投资管理有限公司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15816F4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章孝林</w:t>
                  </w:r>
                </w:p>
              </w:tc>
            </w:tr>
            <w:tr w14:paraId="1DA1D208">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3A3BA0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上海环懿私募基金管理有限公司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4A37466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杨伟</w:t>
                  </w:r>
                </w:p>
              </w:tc>
            </w:tr>
            <w:tr w14:paraId="6EF12EF9">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99EA8D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上海汇正财经顾问有限公司</w:t>
                  </w:r>
                </w:p>
              </w:tc>
              <w:tc>
                <w:tcPr>
                  <w:tcW w:w="1984" w:type="dxa"/>
                  <w:tcBorders>
                    <w:top w:val="nil"/>
                    <w:left w:val="nil"/>
                    <w:bottom w:val="single" w:color="auto" w:sz="4" w:space="0"/>
                    <w:right w:val="single" w:color="auto" w:sz="4" w:space="0"/>
                  </w:tcBorders>
                  <w:shd w:val="clear" w:color="auto" w:fill="auto"/>
                  <w:noWrap/>
                  <w:vAlign w:val="center"/>
                </w:tcPr>
                <w:p w14:paraId="1565988A">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刘勇</w:t>
                  </w:r>
                </w:p>
              </w:tc>
            </w:tr>
            <w:tr w14:paraId="1332BDA5">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F11ED5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上海加盛投资管理有限公司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703FD48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陈科</w:t>
                  </w:r>
                </w:p>
              </w:tc>
            </w:tr>
            <w:tr w14:paraId="7ED41C5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CC4A7B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上海君璞投资咨询有限公司</w:t>
                  </w:r>
                </w:p>
              </w:tc>
              <w:tc>
                <w:tcPr>
                  <w:tcW w:w="1984" w:type="dxa"/>
                  <w:tcBorders>
                    <w:top w:val="nil"/>
                    <w:left w:val="nil"/>
                    <w:bottom w:val="single" w:color="auto" w:sz="4" w:space="0"/>
                    <w:right w:val="single" w:color="auto" w:sz="4" w:space="0"/>
                  </w:tcBorders>
                  <w:shd w:val="clear" w:color="auto" w:fill="auto"/>
                  <w:noWrap/>
                  <w:vAlign w:val="center"/>
                </w:tcPr>
                <w:p w14:paraId="4FF109E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刘欢</w:t>
                  </w:r>
                </w:p>
              </w:tc>
            </w:tr>
            <w:tr w14:paraId="1CAD4A51">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67C72B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上海秋阳予梁投资管理有限公司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5DCD178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郑捷</w:t>
                  </w:r>
                </w:p>
              </w:tc>
            </w:tr>
            <w:tr w14:paraId="1C5DC490">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AAABF6A">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上海润桂投资管理有限公司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54C5980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金勇</w:t>
                  </w:r>
                </w:p>
              </w:tc>
            </w:tr>
            <w:tr w14:paraId="3338A36E">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30C2A3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上海元昊投资管理有限公司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0C99FAEB">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柴逸飞</w:t>
                  </w:r>
                </w:p>
              </w:tc>
            </w:tr>
            <w:tr w14:paraId="24B31932">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5C8FB0A">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上海肇万资产管理有限公司</w:t>
                  </w:r>
                </w:p>
              </w:tc>
              <w:tc>
                <w:tcPr>
                  <w:tcW w:w="1984" w:type="dxa"/>
                  <w:tcBorders>
                    <w:top w:val="nil"/>
                    <w:left w:val="nil"/>
                    <w:bottom w:val="single" w:color="auto" w:sz="4" w:space="0"/>
                    <w:right w:val="single" w:color="auto" w:sz="4" w:space="0"/>
                  </w:tcBorders>
                  <w:shd w:val="clear" w:color="auto" w:fill="auto"/>
                  <w:noWrap/>
                  <w:vAlign w:val="center"/>
                </w:tcPr>
                <w:p w14:paraId="5C76641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崔磊</w:t>
                  </w:r>
                </w:p>
              </w:tc>
            </w:tr>
            <w:tr w14:paraId="2AF62267">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19E0600">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上海证券通投资资讯科技有限公司</w:t>
                  </w:r>
                </w:p>
              </w:tc>
              <w:tc>
                <w:tcPr>
                  <w:tcW w:w="1984" w:type="dxa"/>
                  <w:tcBorders>
                    <w:top w:val="nil"/>
                    <w:left w:val="nil"/>
                    <w:bottom w:val="single" w:color="auto" w:sz="4" w:space="0"/>
                    <w:right w:val="single" w:color="auto" w:sz="4" w:space="0"/>
                  </w:tcBorders>
                  <w:shd w:val="clear" w:color="auto" w:fill="auto"/>
                  <w:noWrap/>
                  <w:vAlign w:val="center"/>
                </w:tcPr>
                <w:p w14:paraId="6942EE90">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孙浩</w:t>
                  </w:r>
                </w:p>
              </w:tc>
            </w:tr>
            <w:tr w14:paraId="0E33A2C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8DC3DB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上海致君资产管理有限公司</w:t>
                  </w:r>
                </w:p>
              </w:tc>
              <w:tc>
                <w:tcPr>
                  <w:tcW w:w="1984" w:type="dxa"/>
                  <w:tcBorders>
                    <w:top w:val="nil"/>
                    <w:left w:val="nil"/>
                    <w:bottom w:val="single" w:color="auto" w:sz="4" w:space="0"/>
                    <w:right w:val="single" w:color="auto" w:sz="4" w:space="0"/>
                  </w:tcBorders>
                  <w:shd w:val="clear" w:color="auto" w:fill="auto"/>
                  <w:noWrap/>
                  <w:vAlign w:val="center"/>
                </w:tcPr>
                <w:p w14:paraId="173D966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王鸣飞</w:t>
                  </w:r>
                </w:p>
              </w:tc>
            </w:tr>
            <w:tr w14:paraId="21E44E8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09189A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上海中广云证券咨询有限公司</w:t>
                  </w:r>
                </w:p>
              </w:tc>
              <w:tc>
                <w:tcPr>
                  <w:tcW w:w="1984" w:type="dxa"/>
                  <w:tcBorders>
                    <w:top w:val="nil"/>
                    <w:left w:val="nil"/>
                    <w:bottom w:val="single" w:color="auto" w:sz="4" w:space="0"/>
                    <w:right w:val="single" w:color="auto" w:sz="4" w:space="0"/>
                  </w:tcBorders>
                  <w:shd w:val="clear" w:color="auto" w:fill="auto"/>
                  <w:noWrap/>
                  <w:vAlign w:val="center"/>
                </w:tcPr>
                <w:p w14:paraId="695FC34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卢联雯</w:t>
                  </w:r>
                </w:p>
              </w:tc>
            </w:tr>
            <w:tr w14:paraId="497A12B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502202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申万宏源证券有限公司</w:t>
                  </w:r>
                </w:p>
              </w:tc>
              <w:tc>
                <w:tcPr>
                  <w:tcW w:w="1984" w:type="dxa"/>
                  <w:tcBorders>
                    <w:top w:val="nil"/>
                    <w:left w:val="nil"/>
                    <w:bottom w:val="single" w:color="auto" w:sz="4" w:space="0"/>
                    <w:right w:val="single" w:color="auto" w:sz="4" w:space="0"/>
                  </w:tcBorders>
                  <w:shd w:val="clear" w:color="auto" w:fill="auto"/>
                  <w:noWrap/>
                  <w:vAlign w:val="center"/>
                </w:tcPr>
                <w:p w14:paraId="56D2688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邓湘伟</w:t>
                  </w:r>
                </w:p>
              </w:tc>
            </w:tr>
            <w:tr w14:paraId="69D58617">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2EC8B4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深圳红方私募证券基金管理有限公司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7BBF4C0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谢登科</w:t>
                  </w:r>
                </w:p>
              </w:tc>
            </w:tr>
            <w:tr w14:paraId="0978C65D">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129928DA">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深圳前海旭鑫资产管理有限公司</w:t>
                  </w:r>
                </w:p>
              </w:tc>
              <w:tc>
                <w:tcPr>
                  <w:tcW w:w="1984" w:type="dxa"/>
                  <w:tcBorders>
                    <w:top w:val="nil"/>
                    <w:left w:val="nil"/>
                    <w:bottom w:val="single" w:color="auto" w:sz="4" w:space="0"/>
                    <w:right w:val="single" w:color="auto" w:sz="4" w:space="0"/>
                  </w:tcBorders>
                  <w:shd w:val="clear" w:color="auto" w:fill="auto"/>
                  <w:noWrap/>
                  <w:vAlign w:val="center"/>
                </w:tcPr>
                <w:p w14:paraId="562C18E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李凌飞</w:t>
                  </w:r>
                </w:p>
              </w:tc>
            </w:tr>
            <w:tr w14:paraId="62F86CBD">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D544AA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深圳市凯玄投资有限公司</w:t>
                  </w:r>
                </w:p>
              </w:tc>
              <w:tc>
                <w:tcPr>
                  <w:tcW w:w="1984" w:type="dxa"/>
                  <w:tcBorders>
                    <w:top w:val="nil"/>
                    <w:left w:val="nil"/>
                    <w:bottom w:val="single" w:color="auto" w:sz="4" w:space="0"/>
                    <w:right w:val="single" w:color="auto" w:sz="4" w:space="0"/>
                  </w:tcBorders>
                  <w:shd w:val="clear" w:color="auto" w:fill="auto"/>
                  <w:noWrap/>
                  <w:vAlign w:val="center"/>
                </w:tcPr>
                <w:p w14:paraId="553587A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周里亚</w:t>
                  </w:r>
                </w:p>
              </w:tc>
            </w:tr>
            <w:tr w14:paraId="38CD87E9">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CDED902">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深圳市鑫融长弘投资管理有限公司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1EB827A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戴溪</w:t>
                  </w:r>
                </w:p>
              </w:tc>
            </w:tr>
            <w:tr w14:paraId="02F402B4">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D9BB5C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世纪金源投资集团有限公司</w:t>
                  </w:r>
                </w:p>
              </w:tc>
              <w:tc>
                <w:tcPr>
                  <w:tcW w:w="1984" w:type="dxa"/>
                  <w:tcBorders>
                    <w:top w:val="nil"/>
                    <w:left w:val="nil"/>
                    <w:bottom w:val="single" w:color="auto" w:sz="4" w:space="0"/>
                    <w:right w:val="single" w:color="auto" w:sz="4" w:space="0"/>
                  </w:tcBorders>
                  <w:shd w:val="clear" w:color="auto" w:fill="auto"/>
                  <w:noWrap/>
                  <w:vAlign w:val="center"/>
                </w:tcPr>
                <w:p w14:paraId="3B9F8F2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张晓昭</w:t>
                  </w:r>
                </w:p>
              </w:tc>
            </w:tr>
            <w:tr w14:paraId="446ABB11">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54E3C6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苏州工业园区元禾重元股权投资基金管理有限公司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63C1798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李喆</w:t>
                  </w:r>
                </w:p>
              </w:tc>
            </w:tr>
            <w:tr w14:paraId="01DF1300">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1467725D">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苏州凯恩资本管理股份有限公司</w:t>
                  </w:r>
                </w:p>
              </w:tc>
              <w:tc>
                <w:tcPr>
                  <w:tcW w:w="1984" w:type="dxa"/>
                  <w:tcBorders>
                    <w:top w:val="nil"/>
                    <w:left w:val="nil"/>
                    <w:bottom w:val="single" w:color="auto" w:sz="4" w:space="0"/>
                    <w:right w:val="single" w:color="auto" w:sz="4" w:space="0"/>
                  </w:tcBorders>
                  <w:shd w:val="clear" w:color="auto" w:fill="auto"/>
                  <w:noWrap/>
                  <w:vAlign w:val="center"/>
                </w:tcPr>
                <w:p w14:paraId="64D7230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阮金阳</w:t>
                  </w:r>
                </w:p>
              </w:tc>
            </w:tr>
            <w:tr w14:paraId="0AE6854E">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EC1351A">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苏州龙远投资管理有限公司</w:t>
                  </w:r>
                </w:p>
              </w:tc>
              <w:tc>
                <w:tcPr>
                  <w:tcW w:w="1984" w:type="dxa"/>
                  <w:tcBorders>
                    <w:top w:val="nil"/>
                    <w:left w:val="nil"/>
                    <w:bottom w:val="single" w:color="auto" w:sz="4" w:space="0"/>
                    <w:right w:val="single" w:color="auto" w:sz="4" w:space="0"/>
                  </w:tcBorders>
                  <w:shd w:val="clear" w:color="auto" w:fill="auto"/>
                  <w:noWrap/>
                  <w:vAlign w:val="center"/>
                </w:tcPr>
                <w:p w14:paraId="3F751F0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李声农</w:t>
                  </w:r>
                </w:p>
              </w:tc>
            </w:tr>
            <w:tr w14:paraId="590A876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12B75CF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泰山财产保险股份有限公司</w:t>
                  </w:r>
                </w:p>
              </w:tc>
              <w:tc>
                <w:tcPr>
                  <w:tcW w:w="1984" w:type="dxa"/>
                  <w:tcBorders>
                    <w:top w:val="nil"/>
                    <w:left w:val="nil"/>
                    <w:bottom w:val="single" w:color="auto" w:sz="4" w:space="0"/>
                    <w:right w:val="single" w:color="auto" w:sz="4" w:space="0"/>
                  </w:tcBorders>
                  <w:shd w:val="clear" w:color="auto" w:fill="auto"/>
                  <w:noWrap/>
                  <w:vAlign w:val="center"/>
                </w:tcPr>
                <w:p w14:paraId="39C3372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张东华</w:t>
                  </w:r>
                </w:p>
              </w:tc>
            </w:tr>
            <w:tr w14:paraId="3329A21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1A16C49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同泰基金管理有限公司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77B30D7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彭帅</w:t>
                  </w:r>
                </w:p>
              </w:tc>
            </w:tr>
            <w:tr w14:paraId="00B2546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1F9A9C05">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信达证券股份有限公司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4CDD0D3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姜佳明</w:t>
                  </w:r>
                </w:p>
              </w:tc>
            </w:tr>
            <w:tr w14:paraId="258526FA">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06C05B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兴证全球基金管理有限公司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0068358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张浩然</w:t>
                  </w:r>
                </w:p>
              </w:tc>
            </w:tr>
            <w:tr w14:paraId="62A42B95">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495EAA9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循远资产管理(上海)有限公司</w:t>
                  </w:r>
                </w:p>
              </w:tc>
              <w:tc>
                <w:tcPr>
                  <w:tcW w:w="1984" w:type="dxa"/>
                  <w:tcBorders>
                    <w:top w:val="nil"/>
                    <w:left w:val="nil"/>
                    <w:bottom w:val="single" w:color="auto" w:sz="4" w:space="0"/>
                    <w:right w:val="single" w:color="auto" w:sz="4" w:space="0"/>
                  </w:tcBorders>
                  <w:shd w:val="clear" w:color="auto" w:fill="auto"/>
                  <w:noWrap/>
                  <w:vAlign w:val="center"/>
                </w:tcPr>
                <w:p w14:paraId="1A7240B7">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田肖溪</w:t>
                  </w:r>
                </w:p>
              </w:tc>
            </w:tr>
            <w:tr w14:paraId="695DA213">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11A7EB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长江证券股份有限公司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65D8F1A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冯源</w:t>
                  </w:r>
                </w:p>
              </w:tc>
            </w:tr>
            <w:tr w14:paraId="6F66BE4F">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415DB5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招商银行股份有限公司</w:t>
                  </w:r>
                </w:p>
              </w:tc>
              <w:tc>
                <w:tcPr>
                  <w:tcW w:w="1984" w:type="dxa"/>
                  <w:tcBorders>
                    <w:top w:val="nil"/>
                    <w:left w:val="nil"/>
                    <w:bottom w:val="single" w:color="auto" w:sz="4" w:space="0"/>
                    <w:right w:val="single" w:color="auto" w:sz="4" w:space="0"/>
                  </w:tcBorders>
                  <w:shd w:val="clear" w:color="auto" w:fill="auto"/>
                  <w:noWrap/>
                  <w:vAlign w:val="center"/>
                </w:tcPr>
                <w:p w14:paraId="3ABBF80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于佳鑫</w:t>
                  </w:r>
                </w:p>
              </w:tc>
            </w:tr>
            <w:tr w14:paraId="4E19C139">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3F26B7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中国银河证券股份有限公司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59F3CAE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胡天昊</w:t>
                  </w:r>
                </w:p>
              </w:tc>
            </w:tr>
            <w:tr w14:paraId="624ADF27">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1655E7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中国银河证券股份有限公司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580C8E0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李泉</w:t>
                  </w:r>
                </w:p>
              </w:tc>
            </w:tr>
            <w:tr w14:paraId="56B7FF5D">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7221D973">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中泰证券股份有限公司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7D98F3B8">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郑燕萍</w:t>
                  </w:r>
                </w:p>
              </w:tc>
            </w:tr>
            <w:tr w14:paraId="4A7157B3">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533F2D9">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中泰证券股份有限公司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535B74DF">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余月琴</w:t>
                  </w:r>
                </w:p>
              </w:tc>
            </w:tr>
            <w:tr w14:paraId="2B7D2416">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6BC70A7E">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中信建投证券股份有限公司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5E5DE600">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李楚涵</w:t>
                  </w:r>
                </w:p>
              </w:tc>
            </w:tr>
            <w:tr w14:paraId="4CE4200D">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5566F90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中信建投证券股份有限公司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0BC1828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于成龙</w:t>
                  </w:r>
                </w:p>
              </w:tc>
            </w:tr>
            <w:tr w14:paraId="4CA9E1EC">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311257E1">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中信证券股份有限公司</w:t>
                  </w:r>
                </w:p>
              </w:tc>
              <w:tc>
                <w:tcPr>
                  <w:tcW w:w="1984" w:type="dxa"/>
                  <w:tcBorders>
                    <w:top w:val="nil"/>
                    <w:left w:val="nil"/>
                    <w:bottom w:val="single" w:color="auto" w:sz="4" w:space="0"/>
                    <w:right w:val="single" w:color="auto" w:sz="4" w:space="0"/>
                  </w:tcBorders>
                  <w:shd w:val="clear" w:color="auto" w:fill="auto"/>
                  <w:noWrap/>
                  <w:vAlign w:val="center"/>
                </w:tcPr>
                <w:p w14:paraId="4C6089A6">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潘儒琛</w:t>
                  </w:r>
                </w:p>
              </w:tc>
            </w:tr>
            <w:tr w14:paraId="667F8129">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0881465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中银基金管理有限公司</w:t>
                  </w:r>
                </w:p>
              </w:tc>
              <w:tc>
                <w:tcPr>
                  <w:tcW w:w="1984" w:type="dxa"/>
                  <w:tcBorders>
                    <w:top w:val="nil"/>
                    <w:left w:val="nil"/>
                    <w:bottom w:val="single" w:color="auto" w:sz="4" w:space="0"/>
                    <w:right w:val="single" w:color="auto" w:sz="4" w:space="0"/>
                  </w:tcBorders>
                  <w:shd w:val="clear" w:color="auto" w:fill="auto"/>
                  <w:noWrap/>
                  <w:vAlign w:val="center"/>
                </w:tcPr>
                <w:p w14:paraId="4C949F3C">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张令泓</w:t>
                  </w:r>
                </w:p>
              </w:tc>
            </w:tr>
            <w:tr w14:paraId="00F5FFAE">
              <w:tblPrEx>
                <w:tblCellMar>
                  <w:top w:w="0" w:type="dxa"/>
                  <w:left w:w="108" w:type="dxa"/>
                  <w:bottom w:w="0" w:type="dxa"/>
                  <w:right w:w="108" w:type="dxa"/>
                </w:tblCellMar>
              </w:tblPrEx>
              <w:trPr>
                <w:trHeight w:val="340" w:hRule="atLeast"/>
              </w:trPr>
              <w:tc>
                <w:tcPr>
                  <w:tcW w:w="5702" w:type="dxa"/>
                  <w:tcBorders>
                    <w:top w:val="nil"/>
                    <w:left w:val="single" w:color="auto" w:sz="4" w:space="0"/>
                    <w:bottom w:val="single" w:color="auto" w:sz="4" w:space="0"/>
                    <w:right w:val="single" w:color="auto" w:sz="4" w:space="0"/>
                  </w:tcBorders>
                  <w:shd w:val="clear" w:color="auto" w:fill="auto"/>
                  <w:noWrap/>
                  <w:vAlign w:val="center"/>
                </w:tcPr>
                <w:p w14:paraId="157B0EA4">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重庆渝汇投资(集团)有限公司</w:t>
                  </w:r>
                </w:p>
              </w:tc>
              <w:tc>
                <w:tcPr>
                  <w:tcW w:w="1984" w:type="dxa"/>
                  <w:tcBorders>
                    <w:top w:val="nil"/>
                    <w:left w:val="nil"/>
                    <w:bottom w:val="single" w:color="auto" w:sz="4" w:space="0"/>
                    <w:right w:val="single" w:color="auto" w:sz="4" w:space="0"/>
                  </w:tcBorders>
                  <w:shd w:val="clear" w:color="auto" w:fill="auto"/>
                  <w:noWrap/>
                  <w:vAlign w:val="center"/>
                </w:tcPr>
                <w:p w14:paraId="1E755EF0">
                  <w:pPr>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李树平</w:t>
                  </w:r>
                </w:p>
              </w:tc>
            </w:tr>
          </w:tbl>
          <w:p w14:paraId="388D0B7F">
            <w:pPr>
              <w:snapToGrid w:val="0"/>
              <w:spacing w:after="0" w:line="276" w:lineRule="auto"/>
              <w:rPr>
                <w:rFonts w:ascii="宋体" w:hAnsi="宋体" w:eastAsia="宋体" w:cs="仿宋"/>
                <w:b/>
                <w:sz w:val="21"/>
                <w:szCs w:val="21"/>
              </w:rPr>
            </w:pPr>
          </w:p>
        </w:tc>
      </w:tr>
      <w:tr w14:paraId="20BF9643">
        <w:tblPrEx>
          <w:tblCellMar>
            <w:top w:w="0" w:type="dxa"/>
            <w:left w:w="108" w:type="dxa"/>
            <w:bottom w:w="41" w:type="dxa"/>
            <w:right w:w="0" w:type="dxa"/>
          </w:tblCellMar>
        </w:tblPrEx>
        <w:trPr>
          <w:trHeight w:val="615"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25BA">
            <w:pPr>
              <w:snapToGrid w:val="0"/>
              <w:spacing w:after="0" w:line="240" w:lineRule="auto"/>
              <w:ind w:right="11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本次活动是否涉及应当披露重大信息</w:t>
            </w:r>
          </w:p>
        </w:tc>
        <w:tc>
          <w:tcPr>
            <w:tcW w:w="7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7C07">
            <w:pPr>
              <w:snapToGrid w:val="0"/>
              <w:spacing w:after="0" w:line="240" w:lineRule="auto"/>
              <w:rPr>
                <w:rFonts w:ascii="Times New Roman" w:hAnsi="Times New Roman" w:eastAsia="宋体" w:cs="Times New Roman"/>
                <w:sz w:val="24"/>
                <w:szCs w:val="24"/>
              </w:rPr>
            </w:pPr>
            <w:bookmarkStart w:id="0" w:name="OLE_LINK1"/>
            <w:bookmarkStart w:id="1" w:name="OLE_LINK2"/>
            <w:r>
              <w:rPr>
                <w:rFonts w:hint="eastAsia" w:ascii="Times New Roman" w:hAnsi="Times New Roman" w:eastAsia="宋体" w:cs="Times New Roman"/>
                <w:sz w:val="24"/>
                <w:szCs w:val="24"/>
              </w:rPr>
              <w:t>否</w:t>
            </w:r>
            <w:bookmarkEnd w:id="0"/>
            <w:bookmarkEnd w:id="1"/>
          </w:p>
        </w:tc>
      </w:tr>
      <w:tr w14:paraId="44BA6E58">
        <w:tblPrEx>
          <w:tblCellMar>
            <w:top w:w="0" w:type="dxa"/>
            <w:left w:w="108" w:type="dxa"/>
            <w:bottom w:w="41" w:type="dxa"/>
            <w:right w:w="0" w:type="dxa"/>
          </w:tblCellMar>
        </w:tblPrEx>
        <w:trPr>
          <w:trHeight w:val="615" w:hRule="atLeas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204B">
            <w:pPr>
              <w:snapToGrid w:val="0"/>
              <w:spacing w:after="0" w:line="240" w:lineRule="auto"/>
              <w:ind w:right="110"/>
              <w:jc w:val="center"/>
              <w:rPr>
                <w:rFonts w:ascii="Times New Roman" w:hAnsi="Times New Roman" w:eastAsia="宋体" w:cs="Times New Roman"/>
                <w:sz w:val="24"/>
                <w:szCs w:val="24"/>
              </w:rPr>
            </w:pPr>
            <w:r>
              <w:rPr>
                <w:rFonts w:ascii="Times New Roman" w:hAnsi="Times New Roman" w:eastAsia="宋体" w:cs="Times New Roman"/>
                <w:sz w:val="24"/>
                <w:szCs w:val="24"/>
              </w:rPr>
              <w:t>日期</w:t>
            </w:r>
          </w:p>
        </w:tc>
        <w:tc>
          <w:tcPr>
            <w:tcW w:w="7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FABA">
            <w:pPr>
              <w:snapToGrid w:val="0"/>
              <w:spacing w:after="0" w:line="240" w:lineRule="auto"/>
              <w:rPr>
                <w:rFonts w:ascii="Times New Roman" w:hAnsi="Times New Roman" w:eastAsia="宋体" w:cs="Times New Roman"/>
                <w:sz w:val="24"/>
                <w:szCs w:val="24"/>
              </w:rPr>
            </w:pPr>
            <w:r>
              <w:rPr>
                <w:rFonts w:ascii="Times New Roman" w:hAnsi="Times New Roman" w:eastAsia="宋体" w:cs="Times New Roman"/>
                <w:sz w:val="24"/>
                <w:szCs w:val="24"/>
              </w:rPr>
              <w:t>2026年8月28日</w:t>
            </w:r>
          </w:p>
        </w:tc>
      </w:tr>
    </w:tbl>
    <w:p w14:paraId="649EA382">
      <w:pPr>
        <w:rPr>
          <w:rFonts w:ascii="宋体" w:hAnsi="宋体" w:eastAsia="宋体"/>
        </w:rPr>
      </w:pPr>
    </w:p>
    <w:sectPr>
      <w:pgSz w:w="11906" w:h="16838"/>
      <w:pgMar w:top="1445" w:right="1796" w:bottom="1584"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A09AD"/>
    <w:multiLevelType w:val="multilevel"/>
    <w:tmpl w:val="2A9A09AD"/>
    <w:lvl w:ilvl="0" w:tentative="0">
      <w:start w:val="1"/>
      <w:numFmt w:val="chineseCountingThousand"/>
      <w:pStyle w:val="11"/>
      <w:suff w:val="nothing"/>
      <w:lvlText w:val="问题%1、"/>
      <w:lvlJc w:val="left"/>
      <w:pPr>
        <w:ind w:left="5812" w:firstLine="0"/>
      </w:pPr>
      <w:rPr>
        <w:rFonts w:hint="eastAsia"/>
        <w:lang w:val="en-US"/>
      </w:rPr>
    </w:lvl>
    <w:lvl w:ilvl="1" w:tentative="0">
      <w:start w:val="1"/>
      <w:numFmt w:val="lowerLetter"/>
      <w:lvlText w:val="%2)"/>
      <w:lvlJc w:val="left"/>
      <w:pPr>
        <w:ind w:left="6281" w:hanging="420"/>
      </w:pPr>
    </w:lvl>
    <w:lvl w:ilvl="2" w:tentative="0">
      <w:start w:val="1"/>
      <w:numFmt w:val="lowerRoman"/>
      <w:lvlText w:val="%3."/>
      <w:lvlJc w:val="right"/>
      <w:pPr>
        <w:ind w:left="6701" w:hanging="420"/>
      </w:pPr>
    </w:lvl>
    <w:lvl w:ilvl="3" w:tentative="0">
      <w:start w:val="1"/>
      <w:numFmt w:val="decimal"/>
      <w:lvlText w:val="%4."/>
      <w:lvlJc w:val="left"/>
      <w:pPr>
        <w:ind w:left="7121" w:hanging="420"/>
      </w:pPr>
    </w:lvl>
    <w:lvl w:ilvl="4" w:tentative="0">
      <w:start w:val="1"/>
      <w:numFmt w:val="lowerLetter"/>
      <w:lvlText w:val="%5)"/>
      <w:lvlJc w:val="left"/>
      <w:pPr>
        <w:ind w:left="7541" w:hanging="420"/>
      </w:pPr>
    </w:lvl>
    <w:lvl w:ilvl="5" w:tentative="0">
      <w:start w:val="1"/>
      <w:numFmt w:val="lowerRoman"/>
      <w:lvlText w:val="%6."/>
      <w:lvlJc w:val="right"/>
      <w:pPr>
        <w:ind w:left="7961" w:hanging="420"/>
      </w:pPr>
    </w:lvl>
    <w:lvl w:ilvl="6" w:tentative="0">
      <w:start w:val="1"/>
      <w:numFmt w:val="decimal"/>
      <w:lvlText w:val="%7."/>
      <w:lvlJc w:val="left"/>
      <w:pPr>
        <w:ind w:left="8381" w:hanging="420"/>
      </w:pPr>
    </w:lvl>
    <w:lvl w:ilvl="7" w:tentative="0">
      <w:start w:val="1"/>
      <w:numFmt w:val="lowerLetter"/>
      <w:lvlText w:val="%8)"/>
      <w:lvlJc w:val="left"/>
      <w:pPr>
        <w:ind w:left="8801" w:hanging="420"/>
      </w:pPr>
    </w:lvl>
    <w:lvl w:ilvl="8" w:tentative="0">
      <w:start w:val="1"/>
      <w:numFmt w:val="lowerRoman"/>
      <w:lvlText w:val="%9."/>
      <w:lvlJc w:val="right"/>
      <w:pPr>
        <w:ind w:left="92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5B"/>
    <w:rsid w:val="00001A3A"/>
    <w:rsid w:val="00002729"/>
    <w:rsid w:val="00004E83"/>
    <w:rsid w:val="0000539D"/>
    <w:rsid w:val="000173A3"/>
    <w:rsid w:val="00024E13"/>
    <w:rsid w:val="00025A26"/>
    <w:rsid w:val="00025D3D"/>
    <w:rsid w:val="00025E0C"/>
    <w:rsid w:val="00030BC0"/>
    <w:rsid w:val="00030DB0"/>
    <w:rsid w:val="0003471C"/>
    <w:rsid w:val="00036A3D"/>
    <w:rsid w:val="00042817"/>
    <w:rsid w:val="00052997"/>
    <w:rsid w:val="000543BF"/>
    <w:rsid w:val="00055700"/>
    <w:rsid w:val="00063C69"/>
    <w:rsid w:val="000718B2"/>
    <w:rsid w:val="00074960"/>
    <w:rsid w:val="0007599B"/>
    <w:rsid w:val="00087F15"/>
    <w:rsid w:val="0009254F"/>
    <w:rsid w:val="000948C4"/>
    <w:rsid w:val="00094A5D"/>
    <w:rsid w:val="0009703A"/>
    <w:rsid w:val="00097AB3"/>
    <w:rsid w:val="000B1C5B"/>
    <w:rsid w:val="000B5078"/>
    <w:rsid w:val="000C125A"/>
    <w:rsid w:val="000C195A"/>
    <w:rsid w:val="000C223F"/>
    <w:rsid w:val="000C288A"/>
    <w:rsid w:val="000C5557"/>
    <w:rsid w:val="000D106C"/>
    <w:rsid w:val="000D228D"/>
    <w:rsid w:val="000D4E2D"/>
    <w:rsid w:val="000D7139"/>
    <w:rsid w:val="000E37EE"/>
    <w:rsid w:val="000E3E6A"/>
    <w:rsid w:val="000E5508"/>
    <w:rsid w:val="000F31ED"/>
    <w:rsid w:val="000F7D68"/>
    <w:rsid w:val="000F7EB0"/>
    <w:rsid w:val="000F7F03"/>
    <w:rsid w:val="001031D3"/>
    <w:rsid w:val="001044DE"/>
    <w:rsid w:val="00104C13"/>
    <w:rsid w:val="001063D6"/>
    <w:rsid w:val="001102CF"/>
    <w:rsid w:val="00112375"/>
    <w:rsid w:val="00112E35"/>
    <w:rsid w:val="001216DE"/>
    <w:rsid w:val="00123029"/>
    <w:rsid w:val="00125D8E"/>
    <w:rsid w:val="00127A94"/>
    <w:rsid w:val="001348EA"/>
    <w:rsid w:val="00135FD7"/>
    <w:rsid w:val="00136206"/>
    <w:rsid w:val="00137976"/>
    <w:rsid w:val="00140042"/>
    <w:rsid w:val="00141931"/>
    <w:rsid w:val="00143AE4"/>
    <w:rsid w:val="00143CA6"/>
    <w:rsid w:val="00144824"/>
    <w:rsid w:val="00145321"/>
    <w:rsid w:val="00152938"/>
    <w:rsid w:val="001550F1"/>
    <w:rsid w:val="0015616F"/>
    <w:rsid w:val="0015742D"/>
    <w:rsid w:val="001632F5"/>
    <w:rsid w:val="001737AC"/>
    <w:rsid w:val="00176218"/>
    <w:rsid w:val="001857D7"/>
    <w:rsid w:val="00185A26"/>
    <w:rsid w:val="001878B1"/>
    <w:rsid w:val="0019421C"/>
    <w:rsid w:val="001A6715"/>
    <w:rsid w:val="001A7D5E"/>
    <w:rsid w:val="001B3FA7"/>
    <w:rsid w:val="001B554C"/>
    <w:rsid w:val="001C0F56"/>
    <w:rsid w:val="001C3FF6"/>
    <w:rsid w:val="001C4DB4"/>
    <w:rsid w:val="001C67A6"/>
    <w:rsid w:val="001D5055"/>
    <w:rsid w:val="001D5145"/>
    <w:rsid w:val="001D772E"/>
    <w:rsid w:val="001E47C1"/>
    <w:rsid w:val="001E762A"/>
    <w:rsid w:val="001F4029"/>
    <w:rsid w:val="0020115F"/>
    <w:rsid w:val="002110D5"/>
    <w:rsid w:val="00212D3D"/>
    <w:rsid w:val="00214101"/>
    <w:rsid w:val="00215A0E"/>
    <w:rsid w:val="00215D11"/>
    <w:rsid w:val="00225706"/>
    <w:rsid w:val="00225C6B"/>
    <w:rsid w:val="00226D27"/>
    <w:rsid w:val="00226E49"/>
    <w:rsid w:val="00230711"/>
    <w:rsid w:val="00233A7B"/>
    <w:rsid w:val="00235A19"/>
    <w:rsid w:val="00235E9E"/>
    <w:rsid w:val="002414F7"/>
    <w:rsid w:val="00241CC5"/>
    <w:rsid w:val="00251E2F"/>
    <w:rsid w:val="00255410"/>
    <w:rsid w:val="00255428"/>
    <w:rsid w:val="0026081D"/>
    <w:rsid w:val="00261145"/>
    <w:rsid w:val="00270014"/>
    <w:rsid w:val="0027580B"/>
    <w:rsid w:val="00276BC3"/>
    <w:rsid w:val="00277A5D"/>
    <w:rsid w:val="00285404"/>
    <w:rsid w:val="002861CE"/>
    <w:rsid w:val="00292305"/>
    <w:rsid w:val="002943EA"/>
    <w:rsid w:val="00294A91"/>
    <w:rsid w:val="0029502B"/>
    <w:rsid w:val="002955C0"/>
    <w:rsid w:val="00295CF9"/>
    <w:rsid w:val="002964E0"/>
    <w:rsid w:val="0029669F"/>
    <w:rsid w:val="002A0C23"/>
    <w:rsid w:val="002A1C68"/>
    <w:rsid w:val="002A26CA"/>
    <w:rsid w:val="002C1660"/>
    <w:rsid w:val="002C44B2"/>
    <w:rsid w:val="002D3281"/>
    <w:rsid w:val="002D32CF"/>
    <w:rsid w:val="002D367F"/>
    <w:rsid w:val="002D568D"/>
    <w:rsid w:val="002E1DD5"/>
    <w:rsid w:val="002E37E7"/>
    <w:rsid w:val="002E5A02"/>
    <w:rsid w:val="002F2439"/>
    <w:rsid w:val="003022C4"/>
    <w:rsid w:val="00305567"/>
    <w:rsid w:val="0031237B"/>
    <w:rsid w:val="00313D9D"/>
    <w:rsid w:val="00313E02"/>
    <w:rsid w:val="00316204"/>
    <w:rsid w:val="0032116F"/>
    <w:rsid w:val="003242CA"/>
    <w:rsid w:val="00331242"/>
    <w:rsid w:val="00346E5B"/>
    <w:rsid w:val="00352380"/>
    <w:rsid w:val="00352F4C"/>
    <w:rsid w:val="0035603C"/>
    <w:rsid w:val="00361A28"/>
    <w:rsid w:val="00363360"/>
    <w:rsid w:val="00380F26"/>
    <w:rsid w:val="00386536"/>
    <w:rsid w:val="00395A36"/>
    <w:rsid w:val="0039600B"/>
    <w:rsid w:val="003A2BD0"/>
    <w:rsid w:val="003A55E3"/>
    <w:rsid w:val="003A592D"/>
    <w:rsid w:val="003A6493"/>
    <w:rsid w:val="003B0062"/>
    <w:rsid w:val="003B0E60"/>
    <w:rsid w:val="003B325D"/>
    <w:rsid w:val="003B46E8"/>
    <w:rsid w:val="003B50FC"/>
    <w:rsid w:val="003B7FA7"/>
    <w:rsid w:val="003C25A3"/>
    <w:rsid w:val="003C56AB"/>
    <w:rsid w:val="003D42C8"/>
    <w:rsid w:val="003D50AC"/>
    <w:rsid w:val="003E1294"/>
    <w:rsid w:val="003E3C00"/>
    <w:rsid w:val="003E787F"/>
    <w:rsid w:val="003F47A3"/>
    <w:rsid w:val="004056FC"/>
    <w:rsid w:val="004065E4"/>
    <w:rsid w:val="00420177"/>
    <w:rsid w:val="00420811"/>
    <w:rsid w:val="00422127"/>
    <w:rsid w:val="004267EA"/>
    <w:rsid w:val="00427703"/>
    <w:rsid w:val="00432461"/>
    <w:rsid w:val="00432802"/>
    <w:rsid w:val="0043325A"/>
    <w:rsid w:val="004360AE"/>
    <w:rsid w:val="00437578"/>
    <w:rsid w:val="00440384"/>
    <w:rsid w:val="00444710"/>
    <w:rsid w:val="00445A79"/>
    <w:rsid w:val="00445FCC"/>
    <w:rsid w:val="00446913"/>
    <w:rsid w:val="00452647"/>
    <w:rsid w:val="00456769"/>
    <w:rsid w:val="004578A0"/>
    <w:rsid w:val="00461B41"/>
    <w:rsid w:val="00463404"/>
    <w:rsid w:val="00466377"/>
    <w:rsid w:val="00475248"/>
    <w:rsid w:val="00475F09"/>
    <w:rsid w:val="00476361"/>
    <w:rsid w:val="00481531"/>
    <w:rsid w:val="004852B5"/>
    <w:rsid w:val="00496B83"/>
    <w:rsid w:val="004A59B7"/>
    <w:rsid w:val="004B06FE"/>
    <w:rsid w:val="004B273F"/>
    <w:rsid w:val="004B34D3"/>
    <w:rsid w:val="004B4052"/>
    <w:rsid w:val="004B4784"/>
    <w:rsid w:val="004C3A3F"/>
    <w:rsid w:val="004D2719"/>
    <w:rsid w:val="004D2DB0"/>
    <w:rsid w:val="004D70E5"/>
    <w:rsid w:val="004E518F"/>
    <w:rsid w:val="004E5E7C"/>
    <w:rsid w:val="004F2442"/>
    <w:rsid w:val="004F2EF7"/>
    <w:rsid w:val="004F4BE7"/>
    <w:rsid w:val="004F6953"/>
    <w:rsid w:val="00501183"/>
    <w:rsid w:val="005014B3"/>
    <w:rsid w:val="00505218"/>
    <w:rsid w:val="00506D5F"/>
    <w:rsid w:val="0051364F"/>
    <w:rsid w:val="00513B86"/>
    <w:rsid w:val="005200D4"/>
    <w:rsid w:val="005204F0"/>
    <w:rsid w:val="00523D22"/>
    <w:rsid w:val="005308E8"/>
    <w:rsid w:val="00530FA0"/>
    <w:rsid w:val="00535E1A"/>
    <w:rsid w:val="005458E1"/>
    <w:rsid w:val="00545CD9"/>
    <w:rsid w:val="00552A44"/>
    <w:rsid w:val="00560D9A"/>
    <w:rsid w:val="0056465F"/>
    <w:rsid w:val="00564A23"/>
    <w:rsid w:val="00564FB4"/>
    <w:rsid w:val="00566756"/>
    <w:rsid w:val="00566854"/>
    <w:rsid w:val="00566D2B"/>
    <w:rsid w:val="00570385"/>
    <w:rsid w:val="005756A5"/>
    <w:rsid w:val="00576584"/>
    <w:rsid w:val="00580D54"/>
    <w:rsid w:val="00582282"/>
    <w:rsid w:val="005878DB"/>
    <w:rsid w:val="005952E6"/>
    <w:rsid w:val="00597614"/>
    <w:rsid w:val="005A189D"/>
    <w:rsid w:val="005A2D8D"/>
    <w:rsid w:val="005C1B52"/>
    <w:rsid w:val="005C6488"/>
    <w:rsid w:val="005D177F"/>
    <w:rsid w:val="005D20DB"/>
    <w:rsid w:val="005D6104"/>
    <w:rsid w:val="005E056A"/>
    <w:rsid w:val="005E1D43"/>
    <w:rsid w:val="005E42A7"/>
    <w:rsid w:val="005E43ED"/>
    <w:rsid w:val="005E6585"/>
    <w:rsid w:val="005F5382"/>
    <w:rsid w:val="005F5E13"/>
    <w:rsid w:val="005F6B40"/>
    <w:rsid w:val="00607E54"/>
    <w:rsid w:val="0061006D"/>
    <w:rsid w:val="00613EFC"/>
    <w:rsid w:val="0061440C"/>
    <w:rsid w:val="006177E7"/>
    <w:rsid w:val="00620B21"/>
    <w:rsid w:val="0062397F"/>
    <w:rsid w:val="00626368"/>
    <w:rsid w:val="00627036"/>
    <w:rsid w:val="006306E1"/>
    <w:rsid w:val="00631C26"/>
    <w:rsid w:val="00632745"/>
    <w:rsid w:val="0063497C"/>
    <w:rsid w:val="006400C5"/>
    <w:rsid w:val="0066133A"/>
    <w:rsid w:val="00663345"/>
    <w:rsid w:val="00663B6F"/>
    <w:rsid w:val="00666330"/>
    <w:rsid w:val="00666493"/>
    <w:rsid w:val="00674CB2"/>
    <w:rsid w:val="006763AB"/>
    <w:rsid w:val="006814D2"/>
    <w:rsid w:val="00681D2A"/>
    <w:rsid w:val="00681E57"/>
    <w:rsid w:val="00684556"/>
    <w:rsid w:val="0068584A"/>
    <w:rsid w:val="00693CC9"/>
    <w:rsid w:val="00693F74"/>
    <w:rsid w:val="00696E5E"/>
    <w:rsid w:val="006A3D78"/>
    <w:rsid w:val="006A68E8"/>
    <w:rsid w:val="006B1845"/>
    <w:rsid w:val="006B416E"/>
    <w:rsid w:val="006B7AF0"/>
    <w:rsid w:val="006B7B87"/>
    <w:rsid w:val="006C1B30"/>
    <w:rsid w:val="006C5288"/>
    <w:rsid w:val="006D2A34"/>
    <w:rsid w:val="006D2CC2"/>
    <w:rsid w:val="006E2DB4"/>
    <w:rsid w:val="006E3283"/>
    <w:rsid w:val="006E39EC"/>
    <w:rsid w:val="006E3F22"/>
    <w:rsid w:val="006E4843"/>
    <w:rsid w:val="006F1E87"/>
    <w:rsid w:val="006F72CC"/>
    <w:rsid w:val="006F76E8"/>
    <w:rsid w:val="00707E16"/>
    <w:rsid w:val="0071067B"/>
    <w:rsid w:val="007114D8"/>
    <w:rsid w:val="00721722"/>
    <w:rsid w:val="00721C39"/>
    <w:rsid w:val="0072662A"/>
    <w:rsid w:val="0072688D"/>
    <w:rsid w:val="007312E9"/>
    <w:rsid w:val="00740291"/>
    <w:rsid w:val="007418EE"/>
    <w:rsid w:val="007436AB"/>
    <w:rsid w:val="007447D1"/>
    <w:rsid w:val="00746127"/>
    <w:rsid w:val="00750989"/>
    <w:rsid w:val="007516E0"/>
    <w:rsid w:val="00751714"/>
    <w:rsid w:val="00754AC7"/>
    <w:rsid w:val="00756CFC"/>
    <w:rsid w:val="00762143"/>
    <w:rsid w:val="00770574"/>
    <w:rsid w:val="00771496"/>
    <w:rsid w:val="00774C95"/>
    <w:rsid w:val="00780A3D"/>
    <w:rsid w:val="0078796E"/>
    <w:rsid w:val="00790267"/>
    <w:rsid w:val="00791F13"/>
    <w:rsid w:val="00796059"/>
    <w:rsid w:val="007A1E8E"/>
    <w:rsid w:val="007A2671"/>
    <w:rsid w:val="007B5D2A"/>
    <w:rsid w:val="007B6FBC"/>
    <w:rsid w:val="007B7504"/>
    <w:rsid w:val="007C1EFD"/>
    <w:rsid w:val="007C272D"/>
    <w:rsid w:val="007C5F2C"/>
    <w:rsid w:val="007D4A19"/>
    <w:rsid w:val="007E02A2"/>
    <w:rsid w:val="007E4588"/>
    <w:rsid w:val="007E6D1E"/>
    <w:rsid w:val="007F18F0"/>
    <w:rsid w:val="007F2545"/>
    <w:rsid w:val="0080182A"/>
    <w:rsid w:val="00807635"/>
    <w:rsid w:val="00811635"/>
    <w:rsid w:val="00813B49"/>
    <w:rsid w:val="00815CAF"/>
    <w:rsid w:val="00817786"/>
    <w:rsid w:val="00821E85"/>
    <w:rsid w:val="008224F0"/>
    <w:rsid w:val="008228C2"/>
    <w:rsid w:val="00822AB4"/>
    <w:rsid w:val="00830B0A"/>
    <w:rsid w:val="00833268"/>
    <w:rsid w:val="00835CC7"/>
    <w:rsid w:val="00846B82"/>
    <w:rsid w:val="00846F80"/>
    <w:rsid w:val="0084794B"/>
    <w:rsid w:val="00850CDF"/>
    <w:rsid w:val="008514E3"/>
    <w:rsid w:val="00852612"/>
    <w:rsid w:val="00853335"/>
    <w:rsid w:val="00857817"/>
    <w:rsid w:val="00861F2F"/>
    <w:rsid w:val="00864223"/>
    <w:rsid w:val="00864A72"/>
    <w:rsid w:val="00865D89"/>
    <w:rsid w:val="0087009C"/>
    <w:rsid w:val="00872499"/>
    <w:rsid w:val="00873167"/>
    <w:rsid w:val="00882187"/>
    <w:rsid w:val="00882FEE"/>
    <w:rsid w:val="0089164D"/>
    <w:rsid w:val="00892DF4"/>
    <w:rsid w:val="0089318D"/>
    <w:rsid w:val="0089756D"/>
    <w:rsid w:val="008A24E8"/>
    <w:rsid w:val="008B0A0A"/>
    <w:rsid w:val="008B0DF1"/>
    <w:rsid w:val="008B3298"/>
    <w:rsid w:val="008B7C62"/>
    <w:rsid w:val="008C0EA8"/>
    <w:rsid w:val="008C36A9"/>
    <w:rsid w:val="008D5528"/>
    <w:rsid w:val="008E2ECA"/>
    <w:rsid w:val="008E6F69"/>
    <w:rsid w:val="008F2B5C"/>
    <w:rsid w:val="008F763B"/>
    <w:rsid w:val="00901923"/>
    <w:rsid w:val="00903767"/>
    <w:rsid w:val="00910B0B"/>
    <w:rsid w:val="0091144C"/>
    <w:rsid w:val="0091362E"/>
    <w:rsid w:val="009162F4"/>
    <w:rsid w:val="00917671"/>
    <w:rsid w:val="009178DF"/>
    <w:rsid w:val="0092559D"/>
    <w:rsid w:val="0093158F"/>
    <w:rsid w:val="0093268D"/>
    <w:rsid w:val="009340F7"/>
    <w:rsid w:val="00940D0B"/>
    <w:rsid w:val="00947CD0"/>
    <w:rsid w:val="00951CE6"/>
    <w:rsid w:val="009523A4"/>
    <w:rsid w:val="00955617"/>
    <w:rsid w:val="00956E97"/>
    <w:rsid w:val="00957DD6"/>
    <w:rsid w:val="009609FF"/>
    <w:rsid w:val="00960D4E"/>
    <w:rsid w:val="009625D5"/>
    <w:rsid w:val="00964F79"/>
    <w:rsid w:val="009677E6"/>
    <w:rsid w:val="00971609"/>
    <w:rsid w:val="00974642"/>
    <w:rsid w:val="00975E2E"/>
    <w:rsid w:val="00977704"/>
    <w:rsid w:val="00981578"/>
    <w:rsid w:val="00983DD8"/>
    <w:rsid w:val="0098561C"/>
    <w:rsid w:val="009901B4"/>
    <w:rsid w:val="009A1AF8"/>
    <w:rsid w:val="009A2C5E"/>
    <w:rsid w:val="009B1765"/>
    <w:rsid w:val="009B4F2A"/>
    <w:rsid w:val="009B61EE"/>
    <w:rsid w:val="009C2753"/>
    <w:rsid w:val="009C4D11"/>
    <w:rsid w:val="009D4A08"/>
    <w:rsid w:val="009D58CC"/>
    <w:rsid w:val="009D58F7"/>
    <w:rsid w:val="009D73C1"/>
    <w:rsid w:val="009E0D43"/>
    <w:rsid w:val="009E2FBA"/>
    <w:rsid w:val="009F1E36"/>
    <w:rsid w:val="00A10E13"/>
    <w:rsid w:val="00A1275E"/>
    <w:rsid w:val="00A12796"/>
    <w:rsid w:val="00A13DF0"/>
    <w:rsid w:val="00A13F3E"/>
    <w:rsid w:val="00A15A2A"/>
    <w:rsid w:val="00A23682"/>
    <w:rsid w:val="00A26C44"/>
    <w:rsid w:val="00A27638"/>
    <w:rsid w:val="00A37834"/>
    <w:rsid w:val="00A405A9"/>
    <w:rsid w:val="00A40965"/>
    <w:rsid w:val="00A523A3"/>
    <w:rsid w:val="00A56076"/>
    <w:rsid w:val="00A56837"/>
    <w:rsid w:val="00A612F3"/>
    <w:rsid w:val="00A6369D"/>
    <w:rsid w:val="00A65C78"/>
    <w:rsid w:val="00A663A5"/>
    <w:rsid w:val="00A6724E"/>
    <w:rsid w:val="00A700F9"/>
    <w:rsid w:val="00A70F23"/>
    <w:rsid w:val="00A76435"/>
    <w:rsid w:val="00A8185F"/>
    <w:rsid w:val="00A82C2E"/>
    <w:rsid w:val="00A856B2"/>
    <w:rsid w:val="00A85CBF"/>
    <w:rsid w:val="00A87097"/>
    <w:rsid w:val="00A9357E"/>
    <w:rsid w:val="00A937FD"/>
    <w:rsid w:val="00A93C19"/>
    <w:rsid w:val="00A9586C"/>
    <w:rsid w:val="00A96275"/>
    <w:rsid w:val="00AA1CBA"/>
    <w:rsid w:val="00AA3924"/>
    <w:rsid w:val="00AA645D"/>
    <w:rsid w:val="00AB0AF0"/>
    <w:rsid w:val="00AB27AC"/>
    <w:rsid w:val="00AB31B8"/>
    <w:rsid w:val="00AB4A60"/>
    <w:rsid w:val="00AC0FAF"/>
    <w:rsid w:val="00AC1772"/>
    <w:rsid w:val="00AC59DC"/>
    <w:rsid w:val="00AD06D5"/>
    <w:rsid w:val="00AD4B41"/>
    <w:rsid w:val="00AD6021"/>
    <w:rsid w:val="00AD64D3"/>
    <w:rsid w:val="00AE1801"/>
    <w:rsid w:val="00AF0692"/>
    <w:rsid w:val="00AF12D3"/>
    <w:rsid w:val="00AF2F14"/>
    <w:rsid w:val="00AF4168"/>
    <w:rsid w:val="00AF5DEC"/>
    <w:rsid w:val="00AF6897"/>
    <w:rsid w:val="00AF775C"/>
    <w:rsid w:val="00B0098C"/>
    <w:rsid w:val="00B02455"/>
    <w:rsid w:val="00B05B9E"/>
    <w:rsid w:val="00B0670C"/>
    <w:rsid w:val="00B07F13"/>
    <w:rsid w:val="00B120BA"/>
    <w:rsid w:val="00B1214D"/>
    <w:rsid w:val="00B12BBC"/>
    <w:rsid w:val="00B17347"/>
    <w:rsid w:val="00B17C3B"/>
    <w:rsid w:val="00B23E73"/>
    <w:rsid w:val="00B23F77"/>
    <w:rsid w:val="00B26682"/>
    <w:rsid w:val="00B31BF5"/>
    <w:rsid w:val="00B53BFF"/>
    <w:rsid w:val="00B5786F"/>
    <w:rsid w:val="00B61550"/>
    <w:rsid w:val="00B63883"/>
    <w:rsid w:val="00B65271"/>
    <w:rsid w:val="00B67384"/>
    <w:rsid w:val="00B675A3"/>
    <w:rsid w:val="00B70F2F"/>
    <w:rsid w:val="00B77B8C"/>
    <w:rsid w:val="00B82372"/>
    <w:rsid w:val="00B83D70"/>
    <w:rsid w:val="00B877A6"/>
    <w:rsid w:val="00B907A1"/>
    <w:rsid w:val="00B909DC"/>
    <w:rsid w:val="00B9345D"/>
    <w:rsid w:val="00B94E0F"/>
    <w:rsid w:val="00B96FCC"/>
    <w:rsid w:val="00BA0900"/>
    <w:rsid w:val="00BA195C"/>
    <w:rsid w:val="00BA19FC"/>
    <w:rsid w:val="00BA3369"/>
    <w:rsid w:val="00BA3657"/>
    <w:rsid w:val="00BA64A7"/>
    <w:rsid w:val="00BA6AAA"/>
    <w:rsid w:val="00BB0E93"/>
    <w:rsid w:val="00BB6E5B"/>
    <w:rsid w:val="00BB6F5B"/>
    <w:rsid w:val="00BB78D7"/>
    <w:rsid w:val="00BC1783"/>
    <w:rsid w:val="00BC4759"/>
    <w:rsid w:val="00BC5359"/>
    <w:rsid w:val="00BD44A8"/>
    <w:rsid w:val="00BE006F"/>
    <w:rsid w:val="00BF340C"/>
    <w:rsid w:val="00BF3AFC"/>
    <w:rsid w:val="00BF4541"/>
    <w:rsid w:val="00BF78CC"/>
    <w:rsid w:val="00C04069"/>
    <w:rsid w:val="00C046BE"/>
    <w:rsid w:val="00C059FB"/>
    <w:rsid w:val="00C107F9"/>
    <w:rsid w:val="00C11993"/>
    <w:rsid w:val="00C12348"/>
    <w:rsid w:val="00C14E8A"/>
    <w:rsid w:val="00C15CDB"/>
    <w:rsid w:val="00C224A7"/>
    <w:rsid w:val="00C22D7C"/>
    <w:rsid w:val="00C24587"/>
    <w:rsid w:val="00C26846"/>
    <w:rsid w:val="00C31E94"/>
    <w:rsid w:val="00C32FB5"/>
    <w:rsid w:val="00C361B9"/>
    <w:rsid w:val="00C4284F"/>
    <w:rsid w:val="00C4779D"/>
    <w:rsid w:val="00C5270A"/>
    <w:rsid w:val="00C532A4"/>
    <w:rsid w:val="00C535F0"/>
    <w:rsid w:val="00C624DA"/>
    <w:rsid w:val="00C626D4"/>
    <w:rsid w:val="00C66D7E"/>
    <w:rsid w:val="00C74AF9"/>
    <w:rsid w:val="00C80817"/>
    <w:rsid w:val="00C8209E"/>
    <w:rsid w:val="00C907BC"/>
    <w:rsid w:val="00C90B08"/>
    <w:rsid w:val="00C94027"/>
    <w:rsid w:val="00C94B07"/>
    <w:rsid w:val="00C94EC9"/>
    <w:rsid w:val="00C9553C"/>
    <w:rsid w:val="00CA07F2"/>
    <w:rsid w:val="00CA149A"/>
    <w:rsid w:val="00CA3D54"/>
    <w:rsid w:val="00CA562C"/>
    <w:rsid w:val="00CA785B"/>
    <w:rsid w:val="00CB015E"/>
    <w:rsid w:val="00CB31F2"/>
    <w:rsid w:val="00CC11D7"/>
    <w:rsid w:val="00CC1725"/>
    <w:rsid w:val="00CC2794"/>
    <w:rsid w:val="00CC3249"/>
    <w:rsid w:val="00CD4C28"/>
    <w:rsid w:val="00CD566B"/>
    <w:rsid w:val="00CF28AD"/>
    <w:rsid w:val="00CF5E2B"/>
    <w:rsid w:val="00D03FFD"/>
    <w:rsid w:val="00D059DA"/>
    <w:rsid w:val="00D05A46"/>
    <w:rsid w:val="00D230ED"/>
    <w:rsid w:val="00D2484B"/>
    <w:rsid w:val="00D31843"/>
    <w:rsid w:val="00D326A5"/>
    <w:rsid w:val="00D33C3A"/>
    <w:rsid w:val="00D45D88"/>
    <w:rsid w:val="00D47622"/>
    <w:rsid w:val="00D5034E"/>
    <w:rsid w:val="00D504EA"/>
    <w:rsid w:val="00D54801"/>
    <w:rsid w:val="00D700C3"/>
    <w:rsid w:val="00D71381"/>
    <w:rsid w:val="00D7301A"/>
    <w:rsid w:val="00D73924"/>
    <w:rsid w:val="00D74AF7"/>
    <w:rsid w:val="00D754AF"/>
    <w:rsid w:val="00D80117"/>
    <w:rsid w:val="00D91E31"/>
    <w:rsid w:val="00D948C7"/>
    <w:rsid w:val="00D976B1"/>
    <w:rsid w:val="00DA0C34"/>
    <w:rsid w:val="00DB1637"/>
    <w:rsid w:val="00DB1E72"/>
    <w:rsid w:val="00DB2B2E"/>
    <w:rsid w:val="00DB51E2"/>
    <w:rsid w:val="00DB6FCA"/>
    <w:rsid w:val="00DC5D4A"/>
    <w:rsid w:val="00DC67CC"/>
    <w:rsid w:val="00DC6F33"/>
    <w:rsid w:val="00DD621A"/>
    <w:rsid w:val="00DD63B6"/>
    <w:rsid w:val="00DF7C40"/>
    <w:rsid w:val="00E00381"/>
    <w:rsid w:val="00E02786"/>
    <w:rsid w:val="00E02D9A"/>
    <w:rsid w:val="00E05E68"/>
    <w:rsid w:val="00E139D0"/>
    <w:rsid w:val="00E13C37"/>
    <w:rsid w:val="00E15253"/>
    <w:rsid w:val="00E268AC"/>
    <w:rsid w:val="00E30699"/>
    <w:rsid w:val="00E32316"/>
    <w:rsid w:val="00E34E00"/>
    <w:rsid w:val="00E363B0"/>
    <w:rsid w:val="00E36B23"/>
    <w:rsid w:val="00E43614"/>
    <w:rsid w:val="00E442F4"/>
    <w:rsid w:val="00E47726"/>
    <w:rsid w:val="00E53AEE"/>
    <w:rsid w:val="00E547AD"/>
    <w:rsid w:val="00E57474"/>
    <w:rsid w:val="00E60C0B"/>
    <w:rsid w:val="00E639D9"/>
    <w:rsid w:val="00E64469"/>
    <w:rsid w:val="00E6661D"/>
    <w:rsid w:val="00E67CA7"/>
    <w:rsid w:val="00E7340F"/>
    <w:rsid w:val="00E75976"/>
    <w:rsid w:val="00E76454"/>
    <w:rsid w:val="00E816CE"/>
    <w:rsid w:val="00E8680E"/>
    <w:rsid w:val="00E913DF"/>
    <w:rsid w:val="00E91DA3"/>
    <w:rsid w:val="00E9488C"/>
    <w:rsid w:val="00E94C05"/>
    <w:rsid w:val="00E9653D"/>
    <w:rsid w:val="00EA0AAF"/>
    <w:rsid w:val="00EA284B"/>
    <w:rsid w:val="00EB057F"/>
    <w:rsid w:val="00EB4F6E"/>
    <w:rsid w:val="00EB62FB"/>
    <w:rsid w:val="00EC319D"/>
    <w:rsid w:val="00EC48D1"/>
    <w:rsid w:val="00ED45C4"/>
    <w:rsid w:val="00ED5554"/>
    <w:rsid w:val="00ED67F1"/>
    <w:rsid w:val="00ED70B2"/>
    <w:rsid w:val="00EE4BB4"/>
    <w:rsid w:val="00EF0ED4"/>
    <w:rsid w:val="00F03F04"/>
    <w:rsid w:val="00F11775"/>
    <w:rsid w:val="00F131CA"/>
    <w:rsid w:val="00F144C1"/>
    <w:rsid w:val="00F14BE0"/>
    <w:rsid w:val="00F1580A"/>
    <w:rsid w:val="00F23562"/>
    <w:rsid w:val="00F312FE"/>
    <w:rsid w:val="00F316F1"/>
    <w:rsid w:val="00F328D1"/>
    <w:rsid w:val="00F32B3F"/>
    <w:rsid w:val="00F35F92"/>
    <w:rsid w:val="00F414DF"/>
    <w:rsid w:val="00F440CE"/>
    <w:rsid w:val="00F47B74"/>
    <w:rsid w:val="00F50026"/>
    <w:rsid w:val="00F506F7"/>
    <w:rsid w:val="00F56104"/>
    <w:rsid w:val="00F610C8"/>
    <w:rsid w:val="00F7336B"/>
    <w:rsid w:val="00F811D6"/>
    <w:rsid w:val="00F86543"/>
    <w:rsid w:val="00F87224"/>
    <w:rsid w:val="00F91072"/>
    <w:rsid w:val="00F9277F"/>
    <w:rsid w:val="00F936FB"/>
    <w:rsid w:val="00F95C80"/>
    <w:rsid w:val="00F96DC9"/>
    <w:rsid w:val="00FA11DD"/>
    <w:rsid w:val="00FA15F9"/>
    <w:rsid w:val="00FA4BBB"/>
    <w:rsid w:val="00FB3672"/>
    <w:rsid w:val="00FB54BA"/>
    <w:rsid w:val="00FB63A4"/>
    <w:rsid w:val="00FB6AE5"/>
    <w:rsid w:val="00FC03CA"/>
    <w:rsid w:val="00FC7134"/>
    <w:rsid w:val="00FC7852"/>
    <w:rsid w:val="00FC7D2B"/>
    <w:rsid w:val="00FD0B40"/>
    <w:rsid w:val="00FD3EF7"/>
    <w:rsid w:val="00FD672F"/>
    <w:rsid w:val="00FD6F9A"/>
    <w:rsid w:val="00FD798C"/>
    <w:rsid w:val="00FE0DC4"/>
    <w:rsid w:val="00FE3EAB"/>
    <w:rsid w:val="00FF1C63"/>
    <w:rsid w:val="00FF3428"/>
    <w:rsid w:val="00FF51D2"/>
    <w:rsid w:val="00FF572D"/>
    <w:rsid w:val="00FF7D3B"/>
    <w:rsid w:val="762A5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8"/>
    <w:qFormat/>
    <w:uiPriority w:val="0"/>
    <w:pPr>
      <w:widowControl w:val="0"/>
      <w:spacing w:after="0" w:line="240" w:lineRule="auto"/>
      <w:jc w:val="both"/>
    </w:pPr>
    <w:rPr>
      <w:rFonts w:ascii="宋体" w:hAnsi="Courier New" w:eastAsia="宋体" w:cs="Times New Roman"/>
      <w:color w:val="auto"/>
      <w:sz w:val="21"/>
      <w:szCs w:val="24"/>
    </w:rPr>
  </w:style>
  <w:style w:type="paragraph" w:styleId="3">
    <w:name w:val="Balloon Text"/>
    <w:basedOn w:val="1"/>
    <w:link w:val="18"/>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8">
    <w:name w:val="纯文本 字符"/>
    <w:basedOn w:val="7"/>
    <w:link w:val="2"/>
    <w:qFormat/>
    <w:uiPriority w:val="0"/>
    <w:rPr>
      <w:rFonts w:ascii="宋体" w:hAnsi="Courier New" w:eastAsia="宋体" w:cs="Times New Roman"/>
      <w:szCs w:val="24"/>
    </w:rPr>
  </w:style>
  <w:style w:type="character" w:customStyle="1" w:styleId="9">
    <w:name w:val="页眉 字符"/>
    <w:basedOn w:val="7"/>
    <w:link w:val="5"/>
    <w:uiPriority w:val="99"/>
    <w:rPr>
      <w:rFonts w:ascii="Calibri" w:hAnsi="Calibri" w:eastAsia="Calibri" w:cs="Calibri"/>
      <w:color w:val="000000"/>
      <w:sz w:val="18"/>
      <w:szCs w:val="18"/>
    </w:rPr>
  </w:style>
  <w:style w:type="character" w:customStyle="1" w:styleId="10">
    <w:name w:val="页脚 字符"/>
    <w:basedOn w:val="7"/>
    <w:link w:val="4"/>
    <w:qFormat/>
    <w:uiPriority w:val="99"/>
    <w:rPr>
      <w:rFonts w:ascii="Calibri" w:hAnsi="Calibri" w:eastAsia="Calibri" w:cs="Calibri"/>
      <w:color w:val="000000"/>
      <w:sz w:val="18"/>
      <w:szCs w:val="18"/>
    </w:rPr>
  </w:style>
  <w:style w:type="paragraph" w:customStyle="1" w:styleId="11">
    <w:name w:val="样式1"/>
    <w:basedOn w:val="12"/>
    <w:link w:val="13"/>
    <w:qFormat/>
    <w:uiPriority w:val="0"/>
    <w:pPr>
      <w:numPr>
        <w:ilvl w:val="0"/>
        <w:numId w:val="1"/>
      </w:numPr>
      <w:spacing w:before="120" w:after="0" w:line="360" w:lineRule="auto"/>
      <w:ind w:left="0" w:firstLine="200"/>
      <w:jc w:val="both"/>
    </w:pPr>
    <w:rPr>
      <w:rFonts w:ascii="宋体" w:hAnsi="宋体" w:eastAsia="宋体" w:cstheme="minorBidi"/>
      <w:b/>
      <w:color w:val="0070C0"/>
      <w:sz w:val="24"/>
      <w:szCs w:val="24"/>
      <w:shd w:val="clear" w:color="auto" w:fill="FFFFFF"/>
    </w:rPr>
  </w:style>
  <w:style w:type="paragraph" w:styleId="12">
    <w:name w:val="List Paragraph"/>
    <w:basedOn w:val="1"/>
    <w:qFormat/>
    <w:uiPriority w:val="34"/>
    <w:pPr>
      <w:ind w:firstLine="420" w:firstLineChars="200"/>
    </w:pPr>
  </w:style>
  <w:style w:type="character" w:customStyle="1" w:styleId="13">
    <w:name w:val="样式1 字符"/>
    <w:basedOn w:val="7"/>
    <w:link w:val="11"/>
    <w:qFormat/>
    <w:uiPriority w:val="0"/>
    <w:rPr>
      <w:rFonts w:ascii="宋体" w:hAnsi="宋体" w:eastAsia="宋体"/>
      <w:b/>
      <w:color w:val="0070C0"/>
      <w:sz w:val="24"/>
      <w:szCs w:val="24"/>
    </w:rPr>
  </w:style>
  <w:style w:type="paragraph" w:customStyle="1" w:styleId="14">
    <w:name w:val="正文-文本"/>
    <w:basedOn w:val="1"/>
    <w:link w:val="15"/>
    <w:qFormat/>
    <w:uiPriority w:val="0"/>
    <w:pPr>
      <w:widowControl w:val="0"/>
      <w:spacing w:before="120" w:after="120" w:line="360" w:lineRule="auto"/>
      <w:ind w:firstLine="480" w:firstLineChars="200"/>
      <w:jc w:val="both"/>
    </w:pPr>
    <w:rPr>
      <w:rFonts w:ascii="宋体" w:hAnsi="宋体" w:eastAsia="宋体" w:cstheme="minorBidi"/>
      <w:color w:val="auto"/>
      <w:sz w:val="24"/>
      <w:szCs w:val="24"/>
    </w:rPr>
  </w:style>
  <w:style w:type="character" w:customStyle="1" w:styleId="15">
    <w:name w:val="正文-文本 字符"/>
    <w:basedOn w:val="7"/>
    <w:link w:val="14"/>
    <w:qFormat/>
    <w:uiPriority w:val="0"/>
    <w:rPr>
      <w:rFonts w:ascii="宋体" w:hAnsi="宋体" w:eastAsia="宋体"/>
      <w:sz w:val="24"/>
      <w:szCs w:val="24"/>
    </w:rPr>
  </w:style>
  <w:style w:type="paragraph" w:customStyle="1" w:styleId="16">
    <w:name w:val="样式123"/>
    <w:basedOn w:val="11"/>
    <w:link w:val="17"/>
    <w:qFormat/>
    <w:uiPriority w:val="0"/>
    <w:pPr>
      <w:ind w:firstLine="482"/>
    </w:pPr>
    <w:rPr>
      <w:rFonts w:ascii="仿宋" w:hAnsi="仿宋" w:eastAsia="仿宋"/>
      <w:color w:val="000000" w:themeColor="text1"/>
      <w14:textFill>
        <w14:solidFill>
          <w14:schemeClr w14:val="tx1"/>
        </w14:solidFill>
      </w14:textFill>
    </w:rPr>
  </w:style>
  <w:style w:type="character" w:customStyle="1" w:styleId="17">
    <w:name w:val="样式123 字符"/>
    <w:basedOn w:val="13"/>
    <w:link w:val="16"/>
    <w:uiPriority w:val="0"/>
    <w:rPr>
      <w:rFonts w:ascii="仿宋" w:hAnsi="仿宋" w:eastAsia="仿宋"/>
      <w:color w:val="000000" w:themeColor="text1"/>
      <w:sz w:val="24"/>
      <w:szCs w:val="24"/>
      <w14:textFill>
        <w14:solidFill>
          <w14:schemeClr w14:val="tx1"/>
        </w14:solidFill>
      </w14:textFill>
    </w:rPr>
  </w:style>
  <w:style w:type="character" w:customStyle="1" w:styleId="18">
    <w:name w:val="批注框文本 字符"/>
    <w:basedOn w:val="7"/>
    <w:link w:val="3"/>
    <w:semiHidden/>
    <w:qFormat/>
    <w:uiPriority w:val="99"/>
    <w:rPr>
      <w:rFonts w:ascii="Calibri" w:hAnsi="Calibri" w:eastAsia="Calibri" w:cs="Calibri"/>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10304</Words>
  <Characters>10890</Characters>
  <Lines>80</Lines>
  <Paragraphs>22</Paragraphs>
  <TotalTime>6</TotalTime>
  <ScaleCrop>false</ScaleCrop>
  <LinksUpToDate>false</LinksUpToDate>
  <CharactersWithSpaces>10998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2025-08-29T07:33:00Z</dcterms:created>
  <dc:creator>刘玉萍01</dc:creator>
  <cp:lastModifiedBy>Ztendeavor</cp:lastModifiedBy>
  <dcterms:modified xsi:type="dcterms:W3CDTF">2026-09-02T09:13:05Z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eyJoZGlkIjoiMWFlYWY0NzkyMTBjOTUwZmIwM2FjZGZiNDNkM2E3Y2IiLCJ1c2VySWQiOiIyNDUxODA3NjMifQ==</vt:lpwstr>
  </property>
  <property fmtid="{D5CDD505-2E9C-101B-9397-08002B2CF9AE}" pid="3" name="KSOProductBuildVer">
    <vt:lpwstr>2052-12.1.0.28505</vt:lpwstr>
  </property>
  <property fmtid="{D5CDD505-2E9C-101B-9397-08002B2CF9AE}" pid="4" name="ICV">
    <vt:lpwstr>164EAC8142144D9899F300F5393FAAC6_12</vt:lpwstr>
  </property>
</Properties>
</file>