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E6C867">
      <w:pPr>
        <w:widowControl/>
        <w:shd w:val="clear" w:color="auto" w:fill="FFFFFF"/>
        <w:spacing w:line="480" w:lineRule="auto"/>
        <w:rPr>
          <w:rFonts w:cs="宋体" w:asciiTheme="minorEastAsia" w:hAnsiTheme="minorEastAsia"/>
          <w:color w:val="000000"/>
          <w:kern w:val="0"/>
          <w:sz w:val="24"/>
          <w:szCs w:val="21"/>
        </w:rPr>
      </w:pPr>
      <w:r>
        <w:rPr>
          <w:rFonts w:cs="宋体" w:asciiTheme="minorEastAsia" w:hAnsiTheme="minorEastAsia"/>
          <w:color w:val="000000"/>
          <w:kern w:val="0"/>
          <w:sz w:val="24"/>
          <w:szCs w:val="21"/>
        </w:rPr>
        <w:t xml:space="preserve">证券代码：688379         </w:t>
      </w:r>
      <w:r>
        <w:rPr>
          <w:rFonts w:hint="eastAsia" w:cs="宋体" w:asciiTheme="minorEastAsia" w:hAnsiTheme="minorEastAsia"/>
          <w:color w:val="000000"/>
          <w:kern w:val="0"/>
          <w:sz w:val="24"/>
          <w:szCs w:val="21"/>
        </w:rPr>
        <w:t xml:space="preserve">    </w:t>
      </w:r>
      <w:r>
        <w:rPr>
          <w:rFonts w:cs="宋体" w:asciiTheme="minorEastAsia" w:hAnsiTheme="minorEastAsia"/>
          <w:color w:val="000000"/>
          <w:kern w:val="0"/>
          <w:sz w:val="24"/>
          <w:szCs w:val="21"/>
        </w:rPr>
        <w:t xml:space="preserve">                      </w:t>
      </w:r>
      <w:r>
        <w:rPr>
          <w:rFonts w:hint="eastAsia" w:cs="宋体" w:asciiTheme="minorEastAsia" w:hAnsiTheme="minorEastAsia"/>
          <w:color w:val="000000"/>
          <w:kern w:val="0"/>
          <w:sz w:val="24"/>
          <w:szCs w:val="21"/>
        </w:rPr>
        <w:t xml:space="preserve">   </w:t>
      </w:r>
      <w:r>
        <w:rPr>
          <w:rFonts w:cs="宋体" w:asciiTheme="minorEastAsia" w:hAnsiTheme="minorEastAsia"/>
          <w:color w:val="000000"/>
          <w:kern w:val="0"/>
          <w:sz w:val="24"/>
          <w:szCs w:val="21"/>
        </w:rPr>
        <w:t>证券简称：华光新材</w:t>
      </w:r>
    </w:p>
    <w:p w14:paraId="3AA2DEFA">
      <w:pPr>
        <w:widowControl/>
        <w:shd w:val="clear" w:color="auto" w:fill="FFFFFF"/>
        <w:spacing w:line="480" w:lineRule="auto"/>
        <w:jc w:val="center"/>
        <w:rPr>
          <w:rFonts w:ascii="Courier New" w:hAnsi="Courier New" w:eastAsia="宋体" w:cs="宋体"/>
          <w:color w:val="000000"/>
          <w:kern w:val="0"/>
          <w:sz w:val="30"/>
          <w:szCs w:val="30"/>
        </w:rPr>
      </w:pPr>
      <w:r>
        <w:rPr>
          <w:rFonts w:ascii="Courier New" w:hAnsi="Courier New" w:eastAsia="宋体" w:cs="宋体"/>
          <w:b/>
          <w:bCs/>
          <w:color w:val="000000"/>
          <w:kern w:val="0"/>
          <w:sz w:val="30"/>
          <w:szCs w:val="30"/>
        </w:rPr>
        <w:t>杭州华光焊接新材料股份有限公司投资者关系活动记录表</w:t>
      </w:r>
    </w:p>
    <w:p w14:paraId="1550E235">
      <w:pPr>
        <w:widowControl/>
        <w:shd w:val="clear" w:color="auto" w:fill="FFFFFF"/>
        <w:spacing w:line="480" w:lineRule="auto"/>
        <w:ind w:firstLine="480" w:firstLineChars="200"/>
        <w:jc w:val="right"/>
        <w:rPr>
          <w:rFonts w:cs="宋体" w:asciiTheme="minorEastAsia" w:hAnsiTheme="minorEastAsia"/>
          <w:color w:val="000000"/>
          <w:kern w:val="0"/>
          <w:sz w:val="24"/>
          <w:szCs w:val="21"/>
        </w:rPr>
      </w:pPr>
      <w:r>
        <w:rPr>
          <w:rFonts w:cs="宋体" w:asciiTheme="minorEastAsia" w:hAnsiTheme="minorEastAsia"/>
          <w:color w:val="000000"/>
          <w:kern w:val="0"/>
          <w:sz w:val="24"/>
          <w:szCs w:val="21"/>
        </w:rPr>
        <w:t>编号：202</w:t>
      </w:r>
      <w:r>
        <w:rPr>
          <w:rFonts w:hint="eastAsia" w:cs="宋体" w:asciiTheme="minorEastAsia" w:hAnsiTheme="minorEastAsia"/>
          <w:color w:val="000000"/>
          <w:kern w:val="0"/>
          <w:sz w:val="24"/>
          <w:szCs w:val="21"/>
        </w:rPr>
        <w:t>6</w:t>
      </w:r>
      <w:r>
        <w:rPr>
          <w:rFonts w:cs="宋体" w:asciiTheme="minorEastAsia" w:hAnsiTheme="minorEastAsia"/>
          <w:color w:val="000000"/>
          <w:kern w:val="0"/>
          <w:sz w:val="24"/>
          <w:szCs w:val="21"/>
        </w:rPr>
        <w:t>-00</w:t>
      </w:r>
      <w:r>
        <w:rPr>
          <w:rFonts w:hint="eastAsia" w:cs="宋体" w:asciiTheme="minorEastAsia" w:hAnsiTheme="minorEastAsia"/>
          <w:color w:val="000000"/>
          <w:kern w:val="0"/>
          <w:sz w:val="24"/>
          <w:szCs w:val="21"/>
        </w:rPr>
        <w:t>9</w:t>
      </w:r>
    </w:p>
    <w:tbl>
      <w:tblPr>
        <w:tblStyle w:val="9"/>
        <w:tblpPr w:leftFromText="180" w:rightFromText="180" w:vertAnchor="text" w:tblpXSpec="right" w:tblpY="1"/>
        <w:tblOverlap w:val="never"/>
        <w:tblW w:w="91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7455"/>
      </w:tblGrid>
      <w:tr w14:paraId="6F7B2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696" w:type="dxa"/>
            <w:vAlign w:val="center"/>
          </w:tcPr>
          <w:p w14:paraId="5B02C65F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投资者关系活动类别</w:t>
            </w:r>
          </w:p>
        </w:tc>
        <w:tc>
          <w:tcPr>
            <w:tcW w:w="7455" w:type="dxa"/>
            <w:vAlign w:val="center"/>
          </w:tcPr>
          <w:p w14:paraId="1481106B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■特定对象调研 □分析师会议</w:t>
            </w:r>
          </w:p>
          <w:p w14:paraId="365F8D8C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□媒体采访 □业绩说明会</w:t>
            </w:r>
          </w:p>
          <w:p w14:paraId="0AC601F0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□新闻发布会 □路演活动</w:t>
            </w:r>
          </w:p>
          <w:p w14:paraId="69451200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□现场参观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 xml:space="preserve"> </w:t>
            </w:r>
          </w:p>
          <w:p w14:paraId="19D08496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□其他</w:t>
            </w:r>
          </w:p>
        </w:tc>
      </w:tr>
      <w:tr w14:paraId="6A96B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atLeast"/>
        </w:trPr>
        <w:tc>
          <w:tcPr>
            <w:tcW w:w="1696" w:type="dxa"/>
            <w:vAlign w:val="center"/>
          </w:tcPr>
          <w:p w14:paraId="62C46DE7">
            <w:pPr>
              <w:widowControl/>
              <w:spacing w:line="3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参与单位名称</w:t>
            </w:r>
          </w:p>
        </w:tc>
        <w:tc>
          <w:tcPr>
            <w:tcW w:w="7455" w:type="dxa"/>
            <w:vAlign w:val="center"/>
          </w:tcPr>
          <w:p w14:paraId="24B90F8F">
            <w:pPr>
              <w:widowControl/>
              <w:spacing w:line="420" w:lineRule="atLeas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中邮证券、招商基金、华泰资管、新华基金、长城基金、汇丰晋信基金、前海开源、华宝基金、国金基金、鹏华基金、银河基金、平安基金、诺安基金、交银施罗德、天弘基金、山西证券、信达澳亚基金、泰信基金、广发基金、招商基金、华泰柏瑞基金、松溪投资、诺安基金、申万菱信基金、华福证券、太平养老、兴银基金、中银国际证券、尚信资产、彤源基金、兆顺基金、国投证券、泓德基金、中信资管、广发证券、乾行资管、前海人寿保险、国新证券、量函基金、长江资管、明德投资、博普资产、真科基金</w:t>
            </w:r>
          </w:p>
        </w:tc>
      </w:tr>
      <w:tr w14:paraId="505B9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696" w:type="dxa"/>
            <w:vAlign w:val="center"/>
          </w:tcPr>
          <w:p w14:paraId="32D950F2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时间</w:t>
            </w:r>
          </w:p>
        </w:tc>
        <w:tc>
          <w:tcPr>
            <w:tcW w:w="7455" w:type="dxa"/>
            <w:vAlign w:val="center"/>
          </w:tcPr>
          <w:p w14:paraId="56031C25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27日-2026年9月3日</w:t>
            </w:r>
          </w:p>
        </w:tc>
      </w:tr>
      <w:tr w14:paraId="3B4F9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696" w:type="dxa"/>
            <w:vAlign w:val="center"/>
          </w:tcPr>
          <w:p w14:paraId="6476C21A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参会方式</w:t>
            </w:r>
          </w:p>
        </w:tc>
        <w:tc>
          <w:tcPr>
            <w:tcW w:w="7455" w:type="dxa"/>
            <w:vAlign w:val="center"/>
          </w:tcPr>
          <w:p w14:paraId="3B0148B8">
            <w:pPr>
              <w:widowControl/>
              <w:spacing w:line="420" w:lineRule="atLeast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1"/>
                <w:shd w:val="clear" w:color="auto" w:fill="FFFFFF"/>
              </w:rPr>
              <w:t>线上调研、券商策略会、机构路演</w:t>
            </w:r>
          </w:p>
        </w:tc>
      </w:tr>
      <w:tr w14:paraId="456DC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696" w:type="dxa"/>
            <w:vAlign w:val="center"/>
          </w:tcPr>
          <w:p w14:paraId="7835A1AA">
            <w:pPr>
              <w:widowControl/>
              <w:spacing w:line="3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上市公司接待人员姓名</w:t>
            </w:r>
          </w:p>
        </w:tc>
        <w:tc>
          <w:tcPr>
            <w:tcW w:w="7455" w:type="dxa"/>
            <w:vAlign w:val="center"/>
          </w:tcPr>
          <w:p w14:paraId="3C87EBCC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董事会秘书胡岭、证券事务代表李美娟</w:t>
            </w:r>
          </w:p>
        </w:tc>
      </w:tr>
      <w:tr w14:paraId="76283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696" w:type="dxa"/>
            <w:vAlign w:val="center"/>
          </w:tcPr>
          <w:p w14:paraId="1E7D300F">
            <w:pPr>
              <w:widowControl/>
              <w:spacing w:line="42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1"/>
              </w:rPr>
              <w:t>投资者关系活动主要内容介绍</w:t>
            </w:r>
          </w:p>
        </w:tc>
        <w:tc>
          <w:tcPr>
            <w:tcW w:w="7455" w:type="dxa"/>
            <w:vAlign w:val="center"/>
          </w:tcPr>
          <w:p w14:paraId="37E9D9DA">
            <w:pPr>
              <w:pStyle w:val="13"/>
              <w:widowControl/>
              <w:spacing w:line="460" w:lineRule="exact"/>
              <w:ind w:firstLine="0" w:firstLineChars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第一部分 介绍公司相关情况</w:t>
            </w:r>
          </w:p>
          <w:p w14:paraId="022097AC">
            <w:pPr>
              <w:pStyle w:val="13"/>
              <w:widowControl/>
              <w:spacing w:line="460" w:lineRule="exact"/>
              <w:ind w:firstLine="4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内容包括华光新材基本情况、2026年半年度经营状况、未来发展规划。</w:t>
            </w:r>
          </w:p>
          <w:p w14:paraId="4DE8B63E">
            <w:pPr>
              <w:pStyle w:val="13"/>
              <w:widowControl/>
              <w:spacing w:line="460" w:lineRule="exact"/>
              <w:ind w:firstLine="480"/>
              <w:rPr>
                <w:rFonts w:ascii="Times New Roman" w:hAnsi="Times New Roman"/>
                <w:sz w:val="24"/>
                <w:szCs w:val="24"/>
              </w:rPr>
            </w:pPr>
          </w:p>
          <w:p w14:paraId="360B16B7">
            <w:pPr>
              <w:pStyle w:val="13"/>
              <w:widowControl/>
              <w:spacing w:line="460" w:lineRule="exact"/>
              <w:ind w:firstLine="0" w:firstLineChars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 xml:space="preserve">第二部分 </w:t>
            </w:r>
            <w:r>
              <w:rPr>
                <w:rFonts w:ascii="Times New Roman" w:hAnsi="Times New Roman"/>
                <w:sz w:val="24"/>
                <w:szCs w:val="24"/>
              </w:rPr>
              <w:t>提问回答</w:t>
            </w:r>
          </w:p>
          <w:p w14:paraId="3EA571F9">
            <w:pPr>
              <w:pStyle w:val="13"/>
              <w:widowControl/>
              <w:spacing w:line="460" w:lineRule="exact"/>
              <w:ind w:firstLine="0" w:firstLineChars="0"/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问题1、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今年上半年公司营收实现了较高增长，主要驱动因素是什么？</w:t>
            </w:r>
          </w:p>
          <w:p w14:paraId="783DD088">
            <w:pPr>
              <w:pStyle w:val="13"/>
              <w:widowControl/>
              <w:spacing w:line="460" w:lineRule="exact"/>
              <w:ind w:firstLine="0" w:firstLineChars="0"/>
              <w:rPr>
                <w:rFonts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答：2026年上半年营业收入超23亿元，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同比增长91.44%，主要因为公司在巩固制冷暖通、电力电气等领域的基础上，积极拓展电子、新能源汽车等新赛道，业务量逐步放大；同时，原材料价格上涨也带动了营收的增长。</w:t>
            </w:r>
          </w:p>
          <w:p w14:paraId="27ABB7CD">
            <w:pPr>
              <w:pStyle w:val="13"/>
              <w:widowControl/>
              <w:spacing w:line="460" w:lineRule="exact"/>
              <w:ind w:firstLine="480"/>
              <w:jc w:val="left"/>
              <w:rPr>
                <w:rFonts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03255C76">
            <w:pPr>
              <w:pStyle w:val="13"/>
              <w:widowControl/>
              <w:spacing w:line="460" w:lineRule="exact"/>
              <w:ind w:firstLine="0" w:firstLineChars="0"/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问题2、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今年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半年度各业务领域营业收入增长情况及业务结构变化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？</w:t>
            </w:r>
          </w:p>
          <w:p w14:paraId="4A10F5DC">
            <w:pPr>
              <w:numPr>
                <w:ilvl w:val="255"/>
                <w:numId w:val="0"/>
              </w:numPr>
              <w:spacing w:line="360" w:lineRule="auto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答：2026年上半年公司各应用领域的营收增长均超过50%，增速最快的为电子领域，上半年营收同比增速为177.37%，其中数据中心液冷用精密钎焊材料营业收入进一步增长，2026年上半年营业收入实现2.16亿元，占总营业收入的9.36%，成为公司业绩增长的重要动力。新领域营收增长带动公司业务结构持续优化，其中，制冷暖通领域收入占比为37.82%，电子领域为29.78%，电力电气领域为19.45%，新能源汽车领域</w:t>
            </w:r>
            <w:r>
              <w:rPr>
                <w:rFonts w:asciiTheme="minorEastAsia" w:hAnsi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为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6.61%，其他各类工业应用领域</w:t>
            </w:r>
            <w:r>
              <w:rPr>
                <w:rFonts w:asciiTheme="minorEastAsia" w:hAnsi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为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6.33%，</w:t>
            </w:r>
            <w:r>
              <w:rPr>
                <w:rFonts w:ascii="'宋体'" w:hAnsi="'宋体'" w:eastAsia="'宋体'"/>
                <w:color w:val="000000"/>
                <w:sz w:val="24"/>
              </w:rPr>
              <w:t>多元化结构</w:t>
            </w:r>
            <w:r>
              <w:rPr>
                <w:rFonts w:hint="eastAsia" w:ascii="'宋体'" w:hAnsi="'宋体'" w:eastAsia="'宋体'"/>
                <w:color w:val="000000"/>
                <w:sz w:val="24"/>
              </w:rPr>
              <w:t>有效改善了</w:t>
            </w:r>
            <w:r>
              <w:rPr>
                <w:rFonts w:ascii="'宋体'" w:hAnsi="'宋体'" w:eastAsia="'宋体'"/>
                <w:color w:val="000000"/>
                <w:sz w:val="24"/>
              </w:rPr>
              <w:t>单一行业周期波动</w:t>
            </w:r>
            <w:r>
              <w:rPr>
                <w:rFonts w:hint="eastAsia" w:ascii="'宋体'" w:hAnsi="'宋体'" w:eastAsia="'宋体'"/>
                <w:color w:val="000000"/>
                <w:sz w:val="24"/>
              </w:rPr>
              <w:t>带来的业绩影响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。</w:t>
            </w:r>
          </w:p>
          <w:p w14:paraId="2725D341">
            <w:pPr>
              <w:pStyle w:val="13"/>
              <w:widowControl/>
              <w:spacing w:line="460" w:lineRule="exact"/>
              <w:ind w:firstLine="0" w:firstLineChars="0"/>
              <w:jc w:val="left"/>
              <w:rPr>
                <w:rFonts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5302DD91">
            <w:pPr>
              <w:pStyle w:val="13"/>
              <w:widowControl/>
              <w:spacing w:line="460" w:lineRule="exact"/>
              <w:ind w:firstLine="0" w:firstLineChars="0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问题3、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今年半年度新能源汽车领域收入增长的驱动因素是什么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？</w:t>
            </w:r>
          </w:p>
          <w:p w14:paraId="0C9A6491">
            <w:pPr>
              <w:pStyle w:val="13"/>
              <w:widowControl/>
              <w:spacing w:line="460" w:lineRule="exact"/>
              <w:ind w:firstLine="0" w:firstLineChars="0"/>
              <w:jc w:val="left"/>
              <w:rPr>
                <w:rFonts w:asciiTheme="minorEastAsia" w:hAnsi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</w:rPr>
              <w:t>答：近年来公司通过产品技术创新构建了丰富的产品矩阵，有力支撑新能源汽车领域的业务拓展。公司聚焦动力电池、电控、电机、热管理系统等场景的钎焊材料需求，加大市场开拓力度，带动该领域营收的持续增长</w:t>
            </w:r>
            <w:r>
              <w:rPr>
                <w:rFonts w:ascii="宋体" w:hAnsi="宋体" w:cs="宋体"/>
                <w:sz w:val="24"/>
                <w:szCs w:val="24"/>
              </w:rPr>
              <w:t>。</w:t>
            </w:r>
          </w:p>
          <w:p w14:paraId="5228EFD8">
            <w:pPr>
              <w:pStyle w:val="13"/>
              <w:widowControl/>
              <w:spacing w:line="460" w:lineRule="exact"/>
              <w:ind w:firstLine="480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  <w:p w14:paraId="66AF0161">
            <w:pPr>
              <w:pStyle w:val="13"/>
              <w:widowControl/>
              <w:spacing w:line="460" w:lineRule="exact"/>
              <w:ind w:firstLine="0" w:firstLineChars="0"/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问题4、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半年度海外业务收入增长超70%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，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是否具有可持续性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？</w:t>
            </w:r>
          </w:p>
          <w:p w14:paraId="04E91686">
            <w:pPr>
              <w:pStyle w:val="13"/>
              <w:widowControl/>
              <w:spacing w:line="460" w:lineRule="exact"/>
              <w:ind w:firstLine="0" w:firstLineChars="0"/>
              <w:jc w:val="left"/>
              <w:rPr>
                <w:rFonts w:asciiTheme="minorEastAsia" w:hAnsiTheme="minorEastAsia" w:cstheme="minorEastAsia"/>
                <w:color w:val="000000"/>
                <w:sz w:val="24"/>
                <w:szCs w:val="24"/>
              </w:rPr>
            </w:pPr>
            <w:r>
              <w:rPr>
                <w:rStyle w:val="11"/>
                <w:rFonts w:hint="eastAsia" w:asciiTheme="minorEastAsia" w:hAnsiTheme="minorEastAsia" w:cstheme="minorEastAsia"/>
                <w:b w:val="0"/>
                <w:bCs/>
                <w:color w:val="000000"/>
                <w:sz w:val="24"/>
                <w:szCs w:val="24"/>
              </w:rPr>
              <w:t>答：2026年，公司积极拓展海外市场，加速全球化布局，海外业务已拓展至60个国家和地区；在深耕制冷业务的同时，积极拓展电子、新能源汽车领域业务，拓展了多家行业头部战略客户，为后续业绩持续增长奠定基础。</w:t>
            </w:r>
          </w:p>
          <w:p w14:paraId="4933D89F">
            <w:pPr>
              <w:pStyle w:val="13"/>
              <w:widowControl/>
              <w:spacing w:line="460" w:lineRule="exact"/>
              <w:ind w:left="-360" w:firstLine="480"/>
              <w:jc w:val="left"/>
              <w:rPr>
                <w:rFonts w:asciiTheme="minorEastAsia" w:hAnsiTheme="minorEastAsia" w:cstheme="minorEastAsia"/>
                <w:color w:val="000000"/>
                <w:sz w:val="24"/>
                <w:szCs w:val="24"/>
              </w:rPr>
            </w:pPr>
          </w:p>
          <w:p w14:paraId="47D714B5">
            <w:pPr>
              <w:pStyle w:val="13"/>
              <w:widowControl/>
              <w:spacing w:line="460" w:lineRule="exact"/>
              <w:ind w:firstLine="0" w:firstLineChars="0"/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问题5</w:t>
            </w:r>
            <w:r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  <w:t>、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泰国工厂上半年营收情况，产能释放节奏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>？</w:t>
            </w:r>
          </w:p>
          <w:p w14:paraId="1ED257D2">
            <w:pPr>
              <w:widowControl/>
              <w:spacing w:line="360" w:lineRule="auto"/>
              <w:jc w:val="left"/>
              <w:rPr>
                <w:rFonts w:asciiTheme="minorEastAsia" w:hAnsi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答：泰国工厂（一期）在今年2月投产后，紧锣密鼓推进客户审厂工作，上半年已逐步实现销售收入，现阶段处于产能爬坡阶段，下半年销售规模可望稳步提升。</w:t>
            </w:r>
          </w:p>
          <w:p w14:paraId="48B83274">
            <w:pPr>
              <w:pStyle w:val="13"/>
              <w:widowControl/>
              <w:spacing w:line="460" w:lineRule="exact"/>
              <w:ind w:firstLine="0" w:firstLineChars="0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  <w:p w14:paraId="788C2E21">
            <w:pPr>
              <w:pStyle w:val="13"/>
              <w:widowControl/>
              <w:spacing w:line="460" w:lineRule="exact"/>
              <w:ind w:firstLine="0" w:firstLineChars="0"/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问题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上半年锡基钎料增长情况如何，其中</w:t>
            </w: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锡膏</w:t>
            </w:r>
            <w:bookmarkStart w:id="0" w:name="_GoBack"/>
            <w:bookmarkEnd w:id="0"/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业务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进展情况</w:t>
            </w:r>
            <w:r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</w:rPr>
              <w:t>？</w:t>
            </w:r>
          </w:p>
          <w:p w14:paraId="0C7C8A2F">
            <w:pPr>
              <w:pStyle w:val="13"/>
              <w:widowControl/>
              <w:spacing w:line="460" w:lineRule="exact"/>
              <w:ind w:firstLine="0" w:firstLineChars="0"/>
              <w:jc w:val="left"/>
              <w:rPr>
                <w:rFonts w:asciiTheme="minorEastAsia" w:hAnsi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答：2026年上半年，锡基钎料营业收入实现2.76亿元，在优化产品销售结构的基础上营收同比增长42.74%。其中，锡膏业务收入实现较高增长，但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</w:rPr>
              <w:t>受行业验证周期较长等因素影响，在整体营收中占比不高。后续公司将进一步加大微小间距锡膏产品研发，加快国内外新客户验证导入，持续提升锡膏业务营收规模。</w:t>
            </w:r>
          </w:p>
          <w:p w14:paraId="27303F70">
            <w:pPr>
              <w:pStyle w:val="13"/>
              <w:widowControl/>
              <w:spacing w:line="460" w:lineRule="exact"/>
              <w:ind w:firstLine="0" w:firstLineChars="0"/>
              <w:jc w:val="left"/>
              <w:rPr>
                <w:rFonts w:asciiTheme="minorEastAsia" w:hAnsiTheme="minorEastAsia" w:cstheme="minorEastAsia"/>
                <w:color w:val="000000"/>
                <w:sz w:val="24"/>
                <w:szCs w:val="24"/>
              </w:rPr>
            </w:pPr>
          </w:p>
          <w:p w14:paraId="66927F96">
            <w:pPr>
              <w:widowControl/>
              <w:spacing w:line="360" w:lineRule="auto"/>
              <w:rPr>
                <w:rFonts w:asciiTheme="minorEastAsia" w:hAnsiTheme="minorEastAsia" w:cstheme="minorEastAsia"/>
                <w:color w:val="000000"/>
                <w:sz w:val="24"/>
                <w:szCs w:val="24"/>
              </w:rPr>
            </w:pPr>
          </w:p>
          <w:p w14:paraId="3BF2B63F">
            <w:pPr>
              <w:pStyle w:val="13"/>
              <w:spacing w:line="460" w:lineRule="exact"/>
              <w:ind w:firstLine="0" w:firstLineChars="0"/>
              <w:rPr>
                <w:rFonts w:ascii="宋体" w:hAnsi="宋体"/>
                <w:sz w:val="24"/>
                <w:szCs w:val="24"/>
              </w:rPr>
            </w:pPr>
          </w:p>
          <w:p w14:paraId="0E26EC36">
            <w:pPr>
              <w:pStyle w:val="13"/>
              <w:spacing w:line="460" w:lineRule="exact"/>
              <w:ind w:firstLine="0" w:firstLineChars="0"/>
              <w:rPr>
                <w:rFonts w:ascii="宋体" w:hAnsi="宋体"/>
                <w:sz w:val="24"/>
                <w:szCs w:val="24"/>
              </w:rPr>
            </w:pPr>
          </w:p>
          <w:p w14:paraId="213DF73A">
            <w:pPr>
              <w:pStyle w:val="13"/>
              <w:spacing w:line="460" w:lineRule="exact"/>
              <w:ind w:firstLine="0" w:firstLineChars="0"/>
              <w:rPr>
                <w:rFonts w:ascii="宋体" w:hAnsi="宋体" w:cs="宋体"/>
                <w:sz w:val="24"/>
                <w:szCs w:val="24"/>
              </w:rPr>
            </w:pPr>
          </w:p>
          <w:p w14:paraId="651DCF9F">
            <w:pPr>
              <w:pStyle w:val="13"/>
              <w:spacing w:line="460" w:lineRule="exact"/>
              <w:ind w:firstLine="480"/>
              <w:rPr>
                <w:rFonts w:ascii="Times New Roman" w:hAnsi="Times New Roman"/>
                <w:sz w:val="24"/>
              </w:rPr>
            </w:pPr>
            <w:r>
              <w:rPr>
                <w:rFonts w:ascii="宋体" w:hAnsi="宋体"/>
                <w:sz w:val="24"/>
                <w:szCs w:val="24"/>
              </w:rPr>
              <w:t>接待过程中，公司与投资者进行了充分的交流与沟通，并严格遵守有关法律法规及公司《信息披露管理制度》等要求，</w:t>
            </w:r>
            <w:r>
              <w:rPr>
                <w:rFonts w:hint="eastAsia" w:ascii="宋体" w:hAnsi="宋体"/>
                <w:sz w:val="24"/>
                <w:szCs w:val="24"/>
              </w:rPr>
              <w:t>确保</w:t>
            </w:r>
            <w:r>
              <w:rPr>
                <w:rFonts w:ascii="宋体" w:hAnsi="宋体"/>
                <w:sz w:val="24"/>
                <w:szCs w:val="24"/>
              </w:rPr>
              <w:t>信息披露的真实、准确、完整、及时、公平。</w:t>
            </w:r>
          </w:p>
        </w:tc>
      </w:tr>
    </w:tbl>
    <w:p w14:paraId="00924CE7"/>
    <w:p w14:paraId="66DE16F7"/>
    <w:sectPr>
      <w:pgSz w:w="11906" w:h="16838"/>
      <w:pgMar w:top="1134" w:right="1418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'宋体'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019"/>
    <w:rsid w:val="000C024B"/>
    <w:rsid w:val="00135019"/>
    <w:rsid w:val="00186E5D"/>
    <w:rsid w:val="00240707"/>
    <w:rsid w:val="004A0CFC"/>
    <w:rsid w:val="00587FE9"/>
    <w:rsid w:val="005F3E69"/>
    <w:rsid w:val="00616EBB"/>
    <w:rsid w:val="00692F32"/>
    <w:rsid w:val="0081745A"/>
    <w:rsid w:val="00AD3DCD"/>
    <w:rsid w:val="00C07970"/>
    <w:rsid w:val="00C56F41"/>
    <w:rsid w:val="00D043BB"/>
    <w:rsid w:val="00D715FA"/>
    <w:rsid w:val="00EA0EB4"/>
    <w:rsid w:val="00EA4335"/>
    <w:rsid w:val="00EE781A"/>
    <w:rsid w:val="00FA4AF8"/>
    <w:rsid w:val="00FC19E0"/>
    <w:rsid w:val="01531AA2"/>
    <w:rsid w:val="0232079E"/>
    <w:rsid w:val="0410030A"/>
    <w:rsid w:val="049067AC"/>
    <w:rsid w:val="07635FE9"/>
    <w:rsid w:val="08031F33"/>
    <w:rsid w:val="083E495B"/>
    <w:rsid w:val="0AA11E30"/>
    <w:rsid w:val="0C663271"/>
    <w:rsid w:val="0FF9556D"/>
    <w:rsid w:val="128226C0"/>
    <w:rsid w:val="1682314E"/>
    <w:rsid w:val="16AF5D04"/>
    <w:rsid w:val="192045E2"/>
    <w:rsid w:val="19B96A31"/>
    <w:rsid w:val="19EB5EAF"/>
    <w:rsid w:val="1B3837CC"/>
    <w:rsid w:val="1D3746B3"/>
    <w:rsid w:val="1F3C4541"/>
    <w:rsid w:val="1F8660A0"/>
    <w:rsid w:val="20BA2B17"/>
    <w:rsid w:val="25667D35"/>
    <w:rsid w:val="26B57D5D"/>
    <w:rsid w:val="2B8B5E68"/>
    <w:rsid w:val="2E9640D5"/>
    <w:rsid w:val="2FB63E2D"/>
    <w:rsid w:val="2FCF2953"/>
    <w:rsid w:val="308D5437"/>
    <w:rsid w:val="309175CE"/>
    <w:rsid w:val="32543208"/>
    <w:rsid w:val="328B38AD"/>
    <w:rsid w:val="34183724"/>
    <w:rsid w:val="34982C18"/>
    <w:rsid w:val="382872B8"/>
    <w:rsid w:val="3849593E"/>
    <w:rsid w:val="3C94676F"/>
    <w:rsid w:val="3CA16CEE"/>
    <w:rsid w:val="3CD427B4"/>
    <w:rsid w:val="3ECB2497"/>
    <w:rsid w:val="417A6FCF"/>
    <w:rsid w:val="41F53A9C"/>
    <w:rsid w:val="42EA2285"/>
    <w:rsid w:val="43DA4301"/>
    <w:rsid w:val="49276894"/>
    <w:rsid w:val="4A976A30"/>
    <w:rsid w:val="4AD62257"/>
    <w:rsid w:val="4B07690F"/>
    <w:rsid w:val="4BF81337"/>
    <w:rsid w:val="4CE90385"/>
    <w:rsid w:val="4FB5139E"/>
    <w:rsid w:val="50824463"/>
    <w:rsid w:val="50EF4EA5"/>
    <w:rsid w:val="50FC43CE"/>
    <w:rsid w:val="52C360E1"/>
    <w:rsid w:val="5305223C"/>
    <w:rsid w:val="549F3B48"/>
    <w:rsid w:val="56A142C6"/>
    <w:rsid w:val="59B42321"/>
    <w:rsid w:val="5B573045"/>
    <w:rsid w:val="5EF83509"/>
    <w:rsid w:val="5F881BCB"/>
    <w:rsid w:val="6014041E"/>
    <w:rsid w:val="615117B2"/>
    <w:rsid w:val="61FA48E2"/>
    <w:rsid w:val="64375FEA"/>
    <w:rsid w:val="64580CB0"/>
    <w:rsid w:val="65FA0F8A"/>
    <w:rsid w:val="660E63DF"/>
    <w:rsid w:val="6B3B4F08"/>
    <w:rsid w:val="6C1B38EF"/>
    <w:rsid w:val="6FA974BD"/>
    <w:rsid w:val="6FB8233D"/>
    <w:rsid w:val="71B75F36"/>
    <w:rsid w:val="74614EB2"/>
    <w:rsid w:val="787550FD"/>
    <w:rsid w:val="79A05AEA"/>
    <w:rsid w:val="7F1B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6"/>
    <w:qFormat/>
    <w:uiPriority w:val="0"/>
    <w:pPr>
      <w:jc w:val="left"/>
    </w:pPr>
  </w:style>
  <w:style w:type="paragraph" w:styleId="4">
    <w:name w:val="Balloon Text"/>
    <w:basedOn w:val="1"/>
    <w:link w:val="18"/>
    <w:qFormat/>
    <w:uiPriority w:val="0"/>
    <w:rPr>
      <w:sz w:val="18"/>
      <w:szCs w:val="18"/>
    </w:r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7"/>
    <w:qFormat/>
    <w:uiPriority w:val="0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annotation reference"/>
    <w:basedOn w:val="10"/>
    <w:qFormat/>
    <w:uiPriority w:val="0"/>
    <w:rPr>
      <w:sz w:val="21"/>
      <w:szCs w:val="21"/>
    </w:rPr>
  </w:style>
  <w:style w:type="paragraph" w:customStyle="1" w:styleId="13">
    <w:name w:val="_Style 6"/>
    <w:basedOn w:val="1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14">
    <w:name w:val="页眉 Char"/>
    <w:basedOn w:val="10"/>
    <w:link w:val="6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0"/>
    <w:link w:val="5"/>
    <w:qFormat/>
    <w:uiPriority w:val="0"/>
    <w:rPr>
      <w:kern w:val="2"/>
      <w:sz w:val="18"/>
      <w:szCs w:val="18"/>
    </w:rPr>
  </w:style>
  <w:style w:type="character" w:customStyle="1" w:styleId="16">
    <w:name w:val="批注文字 Char"/>
    <w:basedOn w:val="10"/>
    <w:link w:val="3"/>
    <w:qFormat/>
    <w:uiPriority w:val="0"/>
    <w:rPr>
      <w:kern w:val="2"/>
      <w:sz w:val="21"/>
      <w:szCs w:val="22"/>
    </w:rPr>
  </w:style>
  <w:style w:type="character" w:customStyle="1" w:styleId="17">
    <w:name w:val="批注主题 Char"/>
    <w:basedOn w:val="16"/>
    <w:link w:val="7"/>
    <w:qFormat/>
    <w:uiPriority w:val="0"/>
    <w:rPr>
      <w:b/>
      <w:bCs/>
      <w:kern w:val="2"/>
      <w:sz w:val="21"/>
      <w:szCs w:val="22"/>
    </w:rPr>
  </w:style>
  <w:style w:type="character" w:customStyle="1" w:styleId="18">
    <w:name w:val="批注框文本 Char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1395</Words>
  <Characters>1488</Characters>
  <Lines>11</Lines>
  <Paragraphs>3</Paragraphs>
  <TotalTime>21</TotalTime>
  <ScaleCrop>false</ScaleCrop>
  <LinksUpToDate>false</LinksUpToDate>
  <CharactersWithSpaces>1532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2026-08-19T12:13:00Z</dcterms:created>
  <dc:creator>limeijuan</dc:creator>
  <cp:lastModifiedBy>柳柳</cp:lastModifiedBy>
  <dcterms:modified xsi:type="dcterms:W3CDTF">2026-09-04T08:13:54Z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58B959C8576A40949C99967DEED49533_13</vt:lpwstr>
  </property>
  <property fmtid="{D5CDD505-2E9C-101B-9397-08002B2CF9AE}" pid="4" name="KSOTemplateDocerSaveRecord">
    <vt:lpwstr>eyJoZGlkIjoiODU2OWE2MGU2YTc1YTZjYmQ2YTQ5Mjg4Njk5MmZiZjgiLCJ1c2VySWQiOiI3MTg2NDM3MzIifQ==</vt:lpwstr>
  </property>
</Properties>
</file>