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CF5B0">
      <w:pPr>
        <w:snapToGrid w:val="0"/>
        <w:spacing w:line="360" w:lineRule="auto"/>
        <w:jc w:val="center"/>
        <w:rPr>
          <w:rFonts w:ascii="宋体" w:hAnsi="宋体" w:eastAsia="宋体"/>
          <w:b/>
          <w:bCs/>
          <w:sz w:val="30"/>
          <w:szCs w:val="30"/>
        </w:rPr>
      </w:pPr>
      <w:r>
        <w:rPr>
          <w:rFonts w:hint="eastAsia" w:ascii="宋体" w:hAnsi="宋体" w:eastAsia="宋体"/>
          <w:b/>
          <w:bCs/>
          <w:sz w:val="30"/>
          <w:szCs w:val="30"/>
        </w:rPr>
        <w:t>上海之江生物科技股份有限公司</w:t>
      </w:r>
    </w:p>
    <w:p w14:paraId="1A9EDF11">
      <w:pPr>
        <w:snapToGrid w:val="0"/>
        <w:spacing w:line="360" w:lineRule="auto"/>
        <w:jc w:val="center"/>
        <w:rPr>
          <w:rFonts w:hint="eastAsia" w:ascii="宋体" w:hAnsi="宋体" w:eastAsia="宋体"/>
          <w:b/>
          <w:bCs/>
          <w:sz w:val="30"/>
          <w:szCs w:val="30"/>
        </w:rPr>
      </w:pPr>
      <w:r>
        <w:rPr>
          <w:rFonts w:hint="eastAsia" w:ascii="宋体" w:hAnsi="宋体" w:eastAsia="宋体"/>
          <w:b/>
          <w:bCs/>
          <w:sz w:val="30"/>
          <w:szCs w:val="30"/>
        </w:rPr>
        <w:t>投资者关系活动记录表</w:t>
      </w:r>
    </w:p>
    <w:p w14:paraId="0B6B84E7">
      <w:pPr>
        <w:snapToGrid w:val="0"/>
        <w:spacing w:line="360" w:lineRule="auto"/>
        <w:jc w:val="center"/>
        <w:rPr>
          <w:rFonts w:hint="eastAsia" w:ascii="宋体" w:hAnsi="宋体" w:eastAsia="宋体"/>
          <w:b/>
          <w:bCs/>
          <w:sz w:val="30"/>
          <w:szCs w:val="30"/>
          <w:lang w:eastAsia="zh-CN"/>
        </w:rPr>
      </w:pPr>
      <w:r>
        <w:rPr>
          <w:rFonts w:hint="eastAsia" w:ascii="宋体" w:hAnsi="宋体" w:eastAsia="宋体"/>
          <w:b/>
          <w:bCs/>
          <w:sz w:val="30"/>
          <w:szCs w:val="30"/>
          <w:lang w:eastAsia="zh-CN"/>
        </w:rPr>
        <w:t>（</w:t>
      </w:r>
      <w:r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  <w:t>2026年9月</w:t>
      </w:r>
      <w:r>
        <w:rPr>
          <w:rFonts w:hint="eastAsia" w:ascii="宋体" w:hAnsi="宋体" w:eastAsia="宋体"/>
          <w:b/>
          <w:bCs/>
          <w:sz w:val="30"/>
          <w:szCs w:val="30"/>
          <w:lang w:eastAsia="zh-CN"/>
        </w:rPr>
        <w:t>）</w:t>
      </w:r>
    </w:p>
    <w:p w14:paraId="1E966CD8">
      <w:pPr>
        <w:jc w:val="right"/>
        <w:rPr>
          <w:rFonts w:ascii="宋体" w:hAnsi="宋体" w:eastAsia="宋体" w:cs="Calibri"/>
          <w:b/>
          <w:bCs/>
          <w:sz w:val="30"/>
          <w:szCs w:val="30"/>
        </w:rPr>
      </w:pPr>
      <w:r>
        <w:rPr>
          <w:rFonts w:ascii="宋体" w:hAnsi="宋体" w:eastAsia="宋体"/>
          <w:b/>
          <w:bCs/>
          <w:sz w:val="30"/>
          <w:szCs w:val="30"/>
        </w:rPr>
        <w:t xml:space="preserve">                    </w:t>
      </w:r>
      <w:r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  <w:t>编号：20</w:t>
      </w:r>
      <w:bookmarkStart w:id="0" w:name="_GoBack"/>
      <w:bookmarkEnd w:id="0"/>
      <w:r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  <w:t>26-004</w:t>
      </w:r>
    </w:p>
    <w:tbl>
      <w:tblPr>
        <w:tblStyle w:val="9"/>
        <w:tblW w:w="9781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9"/>
        <w:gridCol w:w="7362"/>
      </w:tblGrid>
      <w:tr w14:paraId="514EA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419" w:type="dxa"/>
            <w:vAlign w:val="center"/>
          </w:tcPr>
          <w:p w14:paraId="28E8F9EB">
            <w:pPr>
              <w:jc w:val="left"/>
              <w:rPr>
                <w:rFonts w:ascii="宋体" w:hAnsi="宋体" w:eastAsia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/>
                <w:b/>
                <w:bCs/>
                <w:sz w:val="30"/>
                <w:szCs w:val="30"/>
              </w:rPr>
              <w:t>投资者关系活</w:t>
            </w:r>
          </w:p>
          <w:p w14:paraId="7016BEF8">
            <w:pPr>
              <w:jc w:val="left"/>
              <w:rPr>
                <w:rFonts w:ascii="宋体" w:hAnsi="宋体" w:eastAsia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/>
                <w:b/>
                <w:bCs/>
                <w:sz w:val="30"/>
                <w:szCs w:val="30"/>
              </w:rPr>
              <w:t>动类别</w:t>
            </w:r>
          </w:p>
        </w:tc>
        <w:tc>
          <w:tcPr>
            <w:tcW w:w="7362" w:type="dxa"/>
            <w:vAlign w:val="center"/>
          </w:tcPr>
          <w:p w14:paraId="45C49E6B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特定对象调研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□分析师会议     □媒体采访</w:t>
            </w:r>
          </w:p>
          <w:p w14:paraId="5A3BD9D4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□业绩说明会</w:t>
            </w:r>
            <w:r>
              <w:rPr>
                <w:rFonts w:ascii="宋体" w:hAnsi="宋体" w:eastAsia="宋体"/>
                <w:sz w:val="24"/>
                <w:szCs w:val="24"/>
              </w:rPr>
              <w:tab/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□新闻发布会</w:t>
            </w:r>
            <w:r>
              <w:rPr>
                <w:rFonts w:ascii="宋体" w:hAnsi="宋体" w:eastAsia="宋体"/>
                <w:sz w:val="24"/>
                <w:szCs w:val="24"/>
              </w:rPr>
              <w:tab/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□路演活动</w:t>
            </w:r>
          </w:p>
          <w:p w14:paraId="01801D0D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□现场参观</w:t>
            </w:r>
            <w:r>
              <w:rPr>
                <w:rFonts w:ascii="宋体" w:hAnsi="宋体" w:eastAsia="宋体"/>
                <w:sz w:val="24"/>
                <w:szCs w:val="24"/>
              </w:rPr>
              <w:tab/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□其他</w:t>
            </w:r>
          </w:p>
        </w:tc>
      </w:tr>
      <w:tr w14:paraId="34E37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419" w:type="dxa"/>
            <w:vAlign w:val="center"/>
          </w:tcPr>
          <w:p w14:paraId="0B3070C4">
            <w:pPr>
              <w:jc w:val="left"/>
              <w:rPr>
                <w:rFonts w:ascii="宋体" w:hAnsi="宋体" w:eastAsia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/>
                <w:b/>
                <w:bCs/>
                <w:sz w:val="30"/>
                <w:szCs w:val="30"/>
              </w:rPr>
              <w:t>参与单位名称</w:t>
            </w:r>
          </w:p>
        </w:tc>
        <w:tc>
          <w:tcPr>
            <w:tcW w:w="7362" w:type="dxa"/>
            <w:vAlign w:val="center"/>
          </w:tcPr>
          <w:p w14:paraId="1CD6C88F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上海清淙投资</w:t>
            </w:r>
          </w:p>
        </w:tc>
      </w:tr>
      <w:tr w14:paraId="5D5FD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419" w:type="dxa"/>
            <w:vAlign w:val="center"/>
          </w:tcPr>
          <w:p w14:paraId="54034BD8">
            <w:pPr>
              <w:jc w:val="left"/>
              <w:rPr>
                <w:rFonts w:ascii="宋体" w:hAnsi="宋体" w:eastAsia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/>
                <w:b/>
                <w:bCs/>
                <w:sz w:val="30"/>
                <w:szCs w:val="30"/>
              </w:rPr>
              <w:t>时间</w:t>
            </w:r>
          </w:p>
        </w:tc>
        <w:tc>
          <w:tcPr>
            <w:tcW w:w="7362" w:type="dxa"/>
            <w:vAlign w:val="center"/>
          </w:tcPr>
          <w:p w14:paraId="1B530C18">
            <w:pPr>
              <w:spacing w:line="360" w:lineRule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ascii="宋体" w:hAnsi="宋体" w:eastAsia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9</w:t>
            </w:r>
            <w:r>
              <w:rPr>
                <w:rFonts w:ascii="宋体" w:hAnsi="宋体" w:eastAsia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3日</w:t>
            </w:r>
          </w:p>
        </w:tc>
      </w:tr>
      <w:tr w14:paraId="1569D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2419" w:type="dxa"/>
            <w:vAlign w:val="center"/>
          </w:tcPr>
          <w:p w14:paraId="18184124">
            <w:pPr>
              <w:jc w:val="left"/>
              <w:rPr>
                <w:rFonts w:ascii="宋体" w:hAnsi="宋体" w:eastAsia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/>
                <w:b/>
                <w:bCs/>
                <w:sz w:val="30"/>
                <w:szCs w:val="30"/>
              </w:rPr>
              <w:t>地点</w:t>
            </w:r>
          </w:p>
        </w:tc>
        <w:tc>
          <w:tcPr>
            <w:tcW w:w="7362" w:type="dxa"/>
            <w:vAlign w:val="center"/>
          </w:tcPr>
          <w:p w14:paraId="41FB69DF">
            <w:pPr>
              <w:spacing w:line="360" w:lineRule="auto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上海市闵行区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陈行公路2168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号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智慧广场9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号楼之江生物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会议室</w:t>
            </w:r>
          </w:p>
        </w:tc>
      </w:tr>
      <w:tr w14:paraId="7657A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2419" w:type="dxa"/>
            <w:vAlign w:val="center"/>
          </w:tcPr>
          <w:p w14:paraId="75B70627">
            <w:pPr>
              <w:jc w:val="left"/>
              <w:rPr>
                <w:rFonts w:ascii="宋体" w:hAnsi="宋体" w:eastAsia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/>
                <w:b/>
                <w:bCs/>
                <w:sz w:val="30"/>
                <w:szCs w:val="30"/>
              </w:rPr>
              <w:t>公司接待人员</w:t>
            </w:r>
          </w:p>
          <w:p w14:paraId="6262EAEC">
            <w:pPr>
              <w:jc w:val="left"/>
              <w:rPr>
                <w:rFonts w:ascii="宋体" w:hAnsi="宋体" w:eastAsia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/>
                <w:b/>
                <w:bCs/>
                <w:sz w:val="30"/>
                <w:szCs w:val="30"/>
              </w:rPr>
              <w:t>姓名</w:t>
            </w:r>
          </w:p>
        </w:tc>
        <w:tc>
          <w:tcPr>
            <w:tcW w:w="7362" w:type="dxa"/>
            <w:vAlign w:val="center"/>
          </w:tcPr>
          <w:p w14:paraId="377E5C8A">
            <w:pPr>
              <w:spacing w:line="360" w:lineRule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公司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副总经理兼</w:t>
            </w:r>
            <w:r>
              <w:rPr>
                <w:rFonts w:ascii="宋体" w:hAnsi="宋体" w:eastAsia="宋体"/>
                <w:sz w:val="24"/>
                <w:szCs w:val="24"/>
              </w:rPr>
              <w:t>董事会秘书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：倪卫琴</w:t>
            </w:r>
          </w:p>
          <w:p w14:paraId="02966C7C">
            <w:pPr>
              <w:spacing w:line="360" w:lineRule="auto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证券事务代表：金宇丹</w:t>
            </w:r>
          </w:p>
          <w:p w14:paraId="059254F6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9DCB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2419" w:type="dxa"/>
            <w:vAlign w:val="center"/>
          </w:tcPr>
          <w:p w14:paraId="02735531">
            <w:pPr>
              <w:jc w:val="left"/>
              <w:rPr>
                <w:rFonts w:ascii="宋体" w:hAnsi="宋体" w:eastAsia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/>
                <w:b/>
                <w:bCs/>
                <w:sz w:val="30"/>
                <w:szCs w:val="30"/>
              </w:rPr>
              <w:t>投资者关系活动主要内容介绍</w:t>
            </w:r>
          </w:p>
        </w:tc>
        <w:tc>
          <w:tcPr>
            <w:tcW w:w="7362" w:type="dxa"/>
            <w:vAlign w:val="center"/>
          </w:tcPr>
          <w:p w14:paraId="020C9658">
            <w:pPr>
              <w:spacing w:line="360" w:lineRule="auto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交流的主要问题及答复：</w:t>
            </w:r>
          </w:p>
          <w:p w14:paraId="04A905B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right="0" w:rightChars="0" w:firstLine="482" w:firstLineChars="200"/>
              <w:jc w:val="both"/>
              <w:textAlignment w:val="baseline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问：想了解一下公司目前主营情况。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  <w:t xml:space="preserve">     答：2026年上半年业务结构方面，核酸检测试剂盒是公司主要的收入来源，其中妇科类、呼吸道类、肝炎类试剂收入占比较高。2026年公司多项产品已取得国内医疗器械注册证和国际认证。公司在持续巩固分子诊断主业的同时，并通过拓展国内外渠道、加速前沿技术产业化等多维度举措，系统性推动公司的可持续发展。</w:t>
            </w:r>
          </w:p>
          <w:p w14:paraId="34BD87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问：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想了解一下贵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公司及其各子公司之间的分工情况。 </w:t>
            </w:r>
          </w:p>
          <w:p w14:paraId="760AA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  <w:t>答：之江生物作为集团公司，专注于试剂的研发、生产和销售，是核心业务的基础；子公司之江科技负责仪器设备的研发与生产，与试剂业务协同形成一体化解决方案，并承担药物研发职能；子公司上海奥润专注于磁珠材料的研发和生产；子公司之江未来致力于膜材料等前沿技术的研发；子公司之江再生医学致力于类器官、芯片等前沿技术和产品的研发；之江细胞技术承载细胞治疗药物和技术等方向的研发，布局未来创新领域；子公司之江美国专注于研发创新、国际注册认证及先进技术对接；子公司川月株式会社作为海外生产基地，重点辐射日本及欧美市场。各子公司产品线独立运营、专业分工，形成协同，稳步推进公司创新业务与多元化布局。</w:t>
            </w:r>
          </w:p>
          <w:p w14:paraId="2A3FA8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2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问：想了解一下公司在上游原材料（磁珠、膜材料）领域的进展情况。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答：在上游核心原材料领域，公司重点布局磁珠与膜材料技术。磁珠产品已实现系列化、商业化，SA磁珠、片段选择性磁珠及外泌体磁珠均已形成成熟产品，可广泛应用于核酸提取与高通量自动化检测、特定长度核酸片段的富集与分离、外泌体的高效捕获与纯化等场景，具备稳定的规模化生产和对外销售能力，满足从分子诊断到生命科学研究的多元化需求。膜材料已进入工艺放大阶段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</w:p>
          <w:p w14:paraId="30B516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问：想了解一下类器官的具体应用场景有哪些？ </w:t>
            </w:r>
          </w:p>
          <w:p w14:paraId="63B52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  <w:t>答：公司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</w:rPr>
              <w:t>依托已建立的多肿瘤模型及高通量自动化平台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  <w:lang w:val="en-US" w:eastAsia="zh-CN"/>
              </w:rPr>
              <w:t>建立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</w:rPr>
              <w:t>药物筛选、药效评价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  <w:lang w:val="en-US" w:eastAsia="zh-CN"/>
              </w:rPr>
              <w:t>药物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</w:rPr>
              <w:t>毒性评估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  <w:lang w:val="en-US" w:eastAsia="zh-CN"/>
              </w:rPr>
              <w:t>及肿瘤药敏等方面的应用场景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</w:rPr>
              <w:t>，显著提升实验效率与标准化水平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</w:rPr>
              <w:t>目前公司已实现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  <w:lang w:val="en-US" w:eastAsia="zh-CN"/>
              </w:rPr>
              <w:t>类器官业务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</w:rPr>
              <w:t>科研服务落地，后续将向GMP体系升级，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  <w:lang w:val="en-US" w:eastAsia="zh-CN"/>
              </w:rPr>
              <w:t>可为客户提供标品、自动化平台、耗材及技术服务内容。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</w:rPr>
              <w:t>与公司在抗体药、细胞治疗等方向的研发形成协同，共同构建从诊断到治疗的闭环能力。</w:t>
            </w:r>
          </w:p>
          <w:p w14:paraId="403BC9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2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问：想了解一下公司埃博拉检测产品的销售情况，以及小青耕产品在非洲的应用情况。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答：2026年5月，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公司的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埃博拉病毒核酸检测试剂入选非洲疾控中心首批推荐名单；2026年7月，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产品正式列入世界卫生组织应急使用清单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EUL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。公司的小青耕产品可与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试剂组合，为疫情现场及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周边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地区提供一体化分子诊断解决方案。目前，公司埃博拉病毒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检测产品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海外销售进展顺利，相关订单正在陆续交付中。</w:t>
            </w:r>
          </w:p>
          <w:p w14:paraId="4FCED3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2" w:firstLineChars="200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问：公司与三优生物在哪些领域开展合作，具体合作模式是什么？未来是否会考虑继续增资？</w:t>
            </w:r>
          </w:p>
          <w:p w14:paraId="668AF3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答：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公司与三优生物建立了深度战略合作关系，呈现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双向赋能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的特点。一方面，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  <w:t>公司依托参股的三优生物及自建团队，布局肿瘤与传染病领域的抗体药物，双方在抗体药物发现与早期开发领域开展多项合作项。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另一方面，公司基于在自动化平台方面的技术积累，为三优生物提供设备定制化服务，支持其抗体药物研发过程中的高通量筛选、自动化处理等关键环节。后续股权安排将结合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双方的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战略协同进展与市场环境等因素统筹考虑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  <w:t>。</w:t>
            </w:r>
          </w:p>
          <w:p w14:paraId="5BEFDE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2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问：想了解一下公司后续是否会有新的股权激励计划？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  <w:t xml:space="preserve">     答：截至目前，公司已开展五次股份回购。其中2022年和2024年的回购股份全部注销；2025年公司共实施了三次回购，前两次主要用于市值管理，第三次回购目前仍在进行中，回购股份将在未来适宜时机用于员工持股计划或股权激励。</w:t>
            </w:r>
          </w:p>
          <w:p w14:paraId="6E51B0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2" w:firstLineChars="200"/>
              <w:textAlignment w:val="auto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问：想了解一下公司账上现金后续如何安排？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答：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截至2026年上半年，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公司货币资金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约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24.51亿元，重点围绕以下四大方向规划使用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第一，坚持以科技创新为引擎，持续优化现有产品质量，提升以技术、质量、品牌、服务为核心的竞争能力；第二，聚焦新材料、新装备、新工艺和新品开发，拓展产品矩阵，实现从传染病向肿瘤领域的战略延伸，推动在疾病早筛、伴随诊断、复发监测及治疗等多元化场景的应用；第三，依托海外子公司，积极开拓国际市场，推动规模化产品的CE、FDA等海外认证，加快全球布局和海外业务拓展步伐；第四，公司正积极关注并审慎评估符合战略方向的并购及投资机会，通过投资、参股、合作等方式布局上中下游相关产业链中较高技术壁垒、核心竞争力较强的项目。</w:t>
            </w:r>
          </w:p>
        </w:tc>
      </w:tr>
    </w:tbl>
    <w:p w14:paraId="4A281E75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C7DE43">
    <w:pPr>
      <w:pStyle w:val="6"/>
      <w:jc w:val="left"/>
    </w:pPr>
    <w:r>
      <w:rPr>
        <w:rFonts w:hint="eastAsia" w:ascii="宋体" w:hAnsi="宋体" w:eastAsia="宋体" w:cs="宋体"/>
        <w:b/>
        <w:bCs/>
        <w:sz w:val="24"/>
        <w:szCs w:val="24"/>
        <w:lang w:val="en-US" w:eastAsia="zh-CN"/>
      </w:rPr>
      <w:t>证券简称：之江生物                                  证券代码：688317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2F2345"/>
    <w:multiLevelType w:val="singleLevel"/>
    <w:tmpl w:val="012F2345"/>
    <w:lvl w:ilvl="0" w:tentative="0">
      <w:start w:val="1"/>
      <w:numFmt w:val="decimal"/>
      <w:lvlText w:val="%1."/>
      <w:lvlJc w:val="left"/>
      <w:pPr>
        <w:ind w:left="0" w:leftChars="0" w:firstLine="40" w:firstLineChars="0"/>
      </w:pPr>
      <w:rPr>
        <w:rFonts w:hint="default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llOGIxNzgxN2ZhNzEzNWM1MTg1YWJhYzU5YzQ5YmYifQ=="/>
  </w:docVars>
  <w:rsids>
    <w:rsidRoot w:val="004E38CE"/>
    <w:rsid w:val="00007266"/>
    <w:rsid w:val="00007BF5"/>
    <w:rsid w:val="000204D5"/>
    <w:rsid w:val="00041D9D"/>
    <w:rsid w:val="000E28C0"/>
    <w:rsid w:val="00126F6F"/>
    <w:rsid w:val="00150A86"/>
    <w:rsid w:val="001511C8"/>
    <w:rsid w:val="001925CE"/>
    <w:rsid w:val="001A5D03"/>
    <w:rsid w:val="001D45C3"/>
    <w:rsid w:val="001D7D59"/>
    <w:rsid w:val="002050CF"/>
    <w:rsid w:val="002212EE"/>
    <w:rsid w:val="002C16D4"/>
    <w:rsid w:val="002C49A2"/>
    <w:rsid w:val="0031283E"/>
    <w:rsid w:val="00331C82"/>
    <w:rsid w:val="003C0DFA"/>
    <w:rsid w:val="003C7394"/>
    <w:rsid w:val="0041193E"/>
    <w:rsid w:val="00430EC9"/>
    <w:rsid w:val="004E05DF"/>
    <w:rsid w:val="004E38CE"/>
    <w:rsid w:val="00501956"/>
    <w:rsid w:val="005248DB"/>
    <w:rsid w:val="0053742C"/>
    <w:rsid w:val="005435D2"/>
    <w:rsid w:val="00544F3A"/>
    <w:rsid w:val="00575AA1"/>
    <w:rsid w:val="005D12CF"/>
    <w:rsid w:val="005D6A82"/>
    <w:rsid w:val="006400DD"/>
    <w:rsid w:val="00642722"/>
    <w:rsid w:val="006A6BA2"/>
    <w:rsid w:val="006E2581"/>
    <w:rsid w:val="006E7F5A"/>
    <w:rsid w:val="006F5F81"/>
    <w:rsid w:val="00721FC1"/>
    <w:rsid w:val="00763D78"/>
    <w:rsid w:val="00843EE7"/>
    <w:rsid w:val="00844EFE"/>
    <w:rsid w:val="00894916"/>
    <w:rsid w:val="008A1908"/>
    <w:rsid w:val="008F64D9"/>
    <w:rsid w:val="0091539A"/>
    <w:rsid w:val="00925590"/>
    <w:rsid w:val="00957709"/>
    <w:rsid w:val="00993463"/>
    <w:rsid w:val="009A263B"/>
    <w:rsid w:val="009C1151"/>
    <w:rsid w:val="009F005B"/>
    <w:rsid w:val="00A86B43"/>
    <w:rsid w:val="00AA2D87"/>
    <w:rsid w:val="00AF040C"/>
    <w:rsid w:val="00BB695B"/>
    <w:rsid w:val="00BF357E"/>
    <w:rsid w:val="00C337F0"/>
    <w:rsid w:val="00CA1657"/>
    <w:rsid w:val="00CB276A"/>
    <w:rsid w:val="00CF04DF"/>
    <w:rsid w:val="00D12D78"/>
    <w:rsid w:val="00D32466"/>
    <w:rsid w:val="00D417B6"/>
    <w:rsid w:val="00D51D8D"/>
    <w:rsid w:val="00D75316"/>
    <w:rsid w:val="00DC26F6"/>
    <w:rsid w:val="00E32733"/>
    <w:rsid w:val="00E603FA"/>
    <w:rsid w:val="00E71BC5"/>
    <w:rsid w:val="00E913F2"/>
    <w:rsid w:val="00ED2C5A"/>
    <w:rsid w:val="00EE440E"/>
    <w:rsid w:val="00EF5318"/>
    <w:rsid w:val="00F06482"/>
    <w:rsid w:val="00FA2CE6"/>
    <w:rsid w:val="00FD2D42"/>
    <w:rsid w:val="03B94246"/>
    <w:rsid w:val="03E01391"/>
    <w:rsid w:val="05DF3DE1"/>
    <w:rsid w:val="06F3106F"/>
    <w:rsid w:val="10C2169C"/>
    <w:rsid w:val="113413B0"/>
    <w:rsid w:val="11935716"/>
    <w:rsid w:val="12BE0493"/>
    <w:rsid w:val="17A821AF"/>
    <w:rsid w:val="17D26762"/>
    <w:rsid w:val="18673677"/>
    <w:rsid w:val="18E3411F"/>
    <w:rsid w:val="19902D1D"/>
    <w:rsid w:val="1F9E4534"/>
    <w:rsid w:val="22327245"/>
    <w:rsid w:val="22AC4CE9"/>
    <w:rsid w:val="23A1697A"/>
    <w:rsid w:val="26BE19EF"/>
    <w:rsid w:val="276E1732"/>
    <w:rsid w:val="29F86C12"/>
    <w:rsid w:val="2B5C7F1B"/>
    <w:rsid w:val="2C3167C0"/>
    <w:rsid w:val="32A110F4"/>
    <w:rsid w:val="384A2B0C"/>
    <w:rsid w:val="3C973C5F"/>
    <w:rsid w:val="3CA757CE"/>
    <w:rsid w:val="3E8A7577"/>
    <w:rsid w:val="409E142B"/>
    <w:rsid w:val="42A97452"/>
    <w:rsid w:val="43087A30"/>
    <w:rsid w:val="49D002BE"/>
    <w:rsid w:val="4A6C513B"/>
    <w:rsid w:val="4C265483"/>
    <w:rsid w:val="4DCC0923"/>
    <w:rsid w:val="4F4A27AE"/>
    <w:rsid w:val="521833A7"/>
    <w:rsid w:val="56277D4B"/>
    <w:rsid w:val="57016C0B"/>
    <w:rsid w:val="5B0A090A"/>
    <w:rsid w:val="61B53248"/>
    <w:rsid w:val="64892B9A"/>
    <w:rsid w:val="6AF11079"/>
    <w:rsid w:val="6C3C16FD"/>
    <w:rsid w:val="6DD11099"/>
    <w:rsid w:val="6FB75A30"/>
    <w:rsid w:val="719B709D"/>
    <w:rsid w:val="739475FB"/>
    <w:rsid w:val="74700A08"/>
    <w:rsid w:val="74B7743A"/>
    <w:rsid w:val="778D5CDC"/>
    <w:rsid w:val="779F037C"/>
    <w:rsid w:val="7AAE3E0E"/>
    <w:rsid w:val="7D78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ody Text"/>
    <w:basedOn w:val="1"/>
    <w:qFormat/>
    <w:uiPriority w:val="0"/>
    <w:pPr>
      <w:spacing w:before="0" w:after="0"/>
    </w:pPr>
  </w:style>
  <w:style w:type="paragraph" w:styleId="4">
    <w:name w:val="Balloon Text"/>
    <w:basedOn w:val="1"/>
    <w:link w:val="14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autoRedefine/>
    <w:qFormat/>
    <w:uiPriority w:val="34"/>
    <w:pPr>
      <w:ind w:firstLine="420" w:firstLineChars="200"/>
    </w:pPr>
    <w:rPr>
      <w:rFonts w:ascii="等线" w:hAnsi="等线" w:eastAsia="等线" w:cs="Times New Roman"/>
    </w:rPr>
  </w:style>
  <w:style w:type="character" w:customStyle="1" w:styleId="12">
    <w:name w:val="页眉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5"/>
    <w:autoRedefine/>
    <w:qFormat/>
    <w:uiPriority w:val="99"/>
    <w:rPr>
      <w:sz w:val="18"/>
      <w:szCs w:val="18"/>
    </w:rPr>
  </w:style>
  <w:style w:type="character" w:customStyle="1" w:styleId="14">
    <w:name w:val="批注框文本 字符"/>
    <w:basedOn w:val="10"/>
    <w:link w:val="4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1888</Words>
  <Characters>1940</Characters>
  <Lines>23</Lines>
  <Paragraphs>6</Paragraphs>
  <TotalTime>0</TotalTime>
  <ScaleCrop>false</ScaleCrop>
  <LinksUpToDate>false</LinksUpToDate>
  <CharactersWithSpaces>2010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2022-05-26T03:24:00Z</dcterms:created>
  <dc:creator>楚天舒</dc:creator>
  <cp:lastModifiedBy>Vivian1405424780</cp:lastModifiedBy>
  <dcterms:modified xsi:type="dcterms:W3CDTF">2026-09-04T08:28:40Z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C03E0C7B5FEA45DDA4FC687868ED5B99</vt:lpwstr>
  </property>
  <property fmtid="{D5CDD505-2E9C-101B-9397-08002B2CF9AE}" pid="4" name="KSOTemplateDocerSaveRecord">
    <vt:lpwstr>eyJoZGlkIjoiNzYzMGY4YjljOTRmN2U2Y2VjMDAyMjZiOGU5OTIyOTIiLCJ1c2VySWQiOiIxODY2NjIyMyJ9</vt:lpwstr>
  </property>
</Properties>
</file>