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0BE2" w:rsidRDefault="00FD75B6">
      <w:pPr>
        <w:keepNext/>
        <w:keepLines/>
        <w:spacing w:before="260" w:after="260" w:line="360" w:lineRule="auto"/>
        <w:jc w:val="center"/>
        <w:outlineLvl w:val="1"/>
        <w:rPr>
          <w:rFonts w:ascii="宋体" w:eastAsia="宋体" w:hAnsi="宋体" w:cs="Times New Roman"/>
          <w:b/>
          <w:bCs/>
          <w:iCs/>
          <w:sz w:val="24"/>
          <w:szCs w:val="24"/>
        </w:rPr>
      </w:pPr>
      <w:r>
        <w:rPr>
          <w:rFonts w:ascii="宋体" w:eastAsia="宋体" w:hAnsi="宋体" w:cs="Times New Roman" w:hint="eastAsia"/>
          <w:b/>
          <w:bCs/>
          <w:iCs/>
          <w:sz w:val="24"/>
          <w:szCs w:val="24"/>
        </w:rPr>
        <w:t>证券代码：688</w:t>
      </w:r>
      <w:r>
        <w:rPr>
          <w:rFonts w:ascii="宋体" w:eastAsia="宋体" w:hAnsi="宋体" w:cs="Times New Roman"/>
          <w:b/>
          <w:bCs/>
          <w:iCs/>
          <w:sz w:val="24"/>
          <w:szCs w:val="24"/>
        </w:rPr>
        <w:t>577</w:t>
      </w:r>
      <w:r>
        <w:rPr>
          <w:rFonts w:ascii="宋体" w:eastAsia="宋体" w:hAnsi="宋体" w:cs="Times New Roman" w:hint="eastAsia"/>
          <w:b/>
          <w:bCs/>
          <w:iCs/>
          <w:sz w:val="24"/>
          <w:szCs w:val="24"/>
        </w:rPr>
        <w:t xml:space="preserve">            </w:t>
      </w:r>
      <w:r>
        <w:rPr>
          <w:rFonts w:ascii="宋体" w:eastAsia="宋体" w:hAnsi="宋体" w:cs="Times New Roman"/>
          <w:b/>
          <w:bCs/>
          <w:iCs/>
          <w:sz w:val="24"/>
          <w:szCs w:val="24"/>
        </w:rPr>
        <w:t xml:space="preserve">  </w:t>
      </w:r>
      <w:r>
        <w:rPr>
          <w:rFonts w:ascii="宋体" w:eastAsia="宋体" w:hAnsi="宋体" w:cs="Times New Roman" w:hint="eastAsia"/>
          <w:b/>
          <w:bCs/>
          <w:iCs/>
          <w:sz w:val="24"/>
          <w:szCs w:val="24"/>
        </w:rPr>
        <w:t xml:space="preserve">             证券简称：浙海德曼</w:t>
      </w:r>
    </w:p>
    <w:p w:rsidR="00DB0BE2" w:rsidRDefault="00FD75B6">
      <w:pPr>
        <w:keepNext/>
        <w:keepLines/>
        <w:spacing w:before="260" w:after="260" w:line="360" w:lineRule="auto"/>
        <w:jc w:val="center"/>
        <w:outlineLvl w:val="1"/>
        <w:rPr>
          <w:rFonts w:ascii="宋体" w:eastAsia="宋体" w:hAnsi="宋体" w:cs="Times New Roman"/>
          <w:b/>
          <w:bCs/>
          <w:iCs/>
          <w:sz w:val="24"/>
          <w:szCs w:val="24"/>
        </w:rPr>
      </w:pPr>
      <w:r>
        <w:rPr>
          <w:b/>
          <w:bCs/>
          <w:noProof/>
          <w:sz w:val="30"/>
          <w:szCs w:val="30"/>
        </w:rPr>
        <w:drawing>
          <wp:inline distT="0" distB="0" distL="0" distR="0">
            <wp:extent cx="2790825" cy="596265"/>
            <wp:effectExtent l="19050" t="0" r="9158" b="0"/>
            <wp:docPr id="1" name="图片 1" descr="7c469db35eacef598dc68b5cef8a9d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7c469db35eacef598dc68b5cef8a9d6"/>
                    <pic:cNvPicPr>
                      <a:picLocks noChangeAspect="1" noChangeArrowheads="1"/>
                    </pic:cNvPicPr>
                  </pic:nvPicPr>
                  <pic:blipFill>
                    <a:blip r:embed="rId8" cstate="print"/>
                    <a:srcRect/>
                    <a:stretch>
                      <a:fillRect/>
                    </a:stretch>
                  </pic:blipFill>
                  <pic:spPr>
                    <a:xfrm>
                      <a:off x="0" y="0"/>
                      <a:ext cx="2809900" cy="600345"/>
                    </a:xfrm>
                    <a:prstGeom prst="rect">
                      <a:avLst/>
                    </a:prstGeom>
                    <a:noFill/>
                    <a:ln w="9525">
                      <a:noFill/>
                      <a:miter lim="800000"/>
                      <a:headEnd/>
                      <a:tailEnd/>
                    </a:ln>
                  </pic:spPr>
                </pic:pic>
              </a:graphicData>
            </a:graphic>
          </wp:inline>
        </w:drawing>
      </w:r>
    </w:p>
    <w:p w:rsidR="00DB0BE2" w:rsidRDefault="00FD75B6">
      <w:pPr>
        <w:keepNext/>
        <w:keepLines/>
        <w:spacing w:before="260" w:after="260" w:line="360" w:lineRule="auto"/>
        <w:jc w:val="center"/>
        <w:outlineLvl w:val="1"/>
        <w:rPr>
          <w:rFonts w:ascii="宋体" w:eastAsia="宋体" w:hAnsi="宋体" w:cs="Times New Roman"/>
          <w:b/>
          <w:bCs/>
          <w:sz w:val="30"/>
          <w:szCs w:val="30"/>
        </w:rPr>
      </w:pPr>
      <w:r>
        <w:rPr>
          <w:rFonts w:ascii="宋体" w:eastAsia="宋体" w:hAnsi="宋体" w:cs="Times New Roman" w:hint="eastAsia"/>
          <w:b/>
          <w:bCs/>
          <w:sz w:val="30"/>
          <w:szCs w:val="30"/>
        </w:rPr>
        <w:t>浙江海德曼智能装备股份有限公司投资者关系活动记录表</w:t>
      </w:r>
    </w:p>
    <w:p w:rsidR="00DB0BE2" w:rsidRDefault="00FD75B6">
      <w:pPr>
        <w:keepNext/>
        <w:keepLines/>
        <w:spacing w:before="260" w:after="260" w:line="360" w:lineRule="auto"/>
        <w:jc w:val="right"/>
        <w:outlineLvl w:val="1"/>
        <w:rPr>
          <w:rFonts w:ascii="宋体" w:eastAsia="宋体" w:hAnsi="宋体" w:cs="Times New Roman"/>
          <w:b/>
          <w:bCs/>
          <w:sz w:val="24"/>
          <w:szCs w:val="24"/>
        </w:rPr>
      </w:pPr>
      <w:r>
        <w:rPr>
          <w:rFonts w:ascii="宋体" w:eastAsia="宋体" w:hAnsi="宋体" w:cs="Times New Roman" w:hint="eastAsia"/>
          <w:b/>
          <w:bCs/>
          <w:sz w:val="24"/>
          <w:szCs w:val="24"/>
        </w:rPr>
        <w:t>编号：202</w:t>
      </w:r>
      <w:r w:rsidR="000C2571">
        <w:rPr>
          <w:rFonts w:ascii="宋体" w:eastAsia="宋体" w:hAnsi="宋体" w:cs="Times New Roman"/>
          <w:b/>
          <w:bCs/>
          <w:sz w:val="24"/>
          <w:szCs w:val="24"/>
        </w:rPr>
        <w:t>6</w:t>
      </w:r>
      <w:r>
        <w:rPr>
          <w:rFonts w:ascii="宋体" w:eastAsia="宋体" w:hAnsi="宋体" w:cs="Times New Roman" w:hint="eastAsia"/>
          <w:b/>
          <w:bCs/>
          <w:sz w:val="24"/>
          <w:szCs w:val="24"/>
        </w:rPr>
        <w:t>-0</w:t>
      </w:r>
      <w:r>
        <w:rPr>
          <w:rFonts w:ascii="宋体" w:eastAsia="宋体" w:hAnsi="宋体" w:cs="Times New Roman"/>
          <w:b/>
          <w:bCs/>
          <w:sz w:val="24"/>
          <w:szCs w:val="24"/>
        </w:rPr>
        <w:t>0</w:t>
      </w:r>
      <w:r w:rsidR="00A852F4">
        <w:rPr>
          <w:rFonts w:ascii="宋体" w:eastAsia="宋体" w:hAnsi="宋体" w:cs="Times New Roman"/>
          <w:b/>
          <w:bCs/>
          <w:sz w:val="24"/>
          <w:szCs w:val="24"/>
        </w:rPr>
        <w:t>4</w:t>
      </w:r>
    </w:p>
    <w:tbl>
      <w:tblPr>
        <w:tblW w:w="907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7371"/>
      </w:tblGrid>
      <w:tr w:rsidR="00DB0BE2">
        <w:tc>
          <w:tcPr>
            <w:tcW w:w="1702" w:type="dxa"/>
            <w:shd w:val="clear" w:color="auto" w:fill="auto"/>
          </w:tcPr>
          <w:p w:rsidR="00DB0BE2" w:rsidRDefault="00FD75B6">
            <w:pPr>
              <w:spacing w:line="360" w:lineRule="auto"/>
              <w:rPr>
                <w:rFonts w:ascii="宋体" w:eastAsia="宋体" w:hAnsi="宋体" w:cs="Times New Roman"/>
                <w:b/>
                <w:bCs/>
                <w:iCs/>
                <w:sz w:val="24"/>
                <w:szCs w:val="24"/>
              </w:rPr>
            </w:pPr>
            <w:r>
              <w:rPr>
                <w:rFonts w:ascii="宋体" w:eastAsia="宋体" w:hAnsi="宋体" w:cs="Times New Roman" w:hint="eastAsia"/>
                <w:b/>
                <w:bCs/>
                <w:iCs/>
                <w:sz w:val="24"/>
                <w:szCs w:val="24"/>
              </w:rPr>
              <w:t>投资者关系活动类别</w:t>
            </w:r>
          </w:p>
        </w:tc>
        <w:tc>
          <w:tcPr>
            <w:tcW w:w="7371" w:type="dxa"/>
            <w:shd w:val="clear" w:color="auto" w:fill="auto"/>
          </w:tcPr>
          <w:p w:rsidR="00DB0BE2" w:rsidRDefault="00FD75B6">
            <w:pPr>
              <w:spacing w:line="360" w:lineRule="auto"/>
              <w:rPr>
                <w:rFonts w:ascii="宋体" w:eastAsia="宋体" w:hAnsi="宋体" w:cs="Times New Roman"/>
                <w:bCs/>
                <w:iCs/>
                <w:sz w:val="24"/>
                <w:szCs w:val="24"/>
              </w:rPr>
            </w:pPr>
            <w:r>
              <w:rPr>
                <w:rFonts w:ascii="宋体" w:eastAsia="宋体" w:hAnsi="宋体" w:cs="Times New Roman" w:hint="eastAsia"/>
                <w:sz w:val="24"/>
                <w:szCs w:val="24"/>
              </w:rPr>
              <w:t xml:space="preserve">■特定对象调研                 </w:t>
            </w:r>
            <w:r>
              <w:rPr>
                <w:rFonts w:ascii="宋体" w:eastAsia="宋体" w:hAnsi="宋体" w:cs="Times New Roman" w:hint="eastAsia"/>
                <w:bCs/>
                <w:iCs/>
                <w:sz w:val="24"/>
                <w:szCs w:val="24"/>
              </w:rPr>
              <w:t>□</w:t>
            </w:r>
            <w:r>
              <w:rPr>
                <w:rFonts w:ascii="宋体" w:eastAsia="宋体" w:hAnsi="宋体" w:cs="Times New Roman" w:hint="eastAsia"/>
                <w:sz w:val="24"/>
                <w:szCs w:val="24"/>
              </w:rPr>
              <w:t>分析师会议</w:t>
            </w:r>
          </w:p>
          <w:p w:rsidR="00DB0BE2" w:rsidRDefault="00FD75B6">
            <w:pPr>
              <w:spacing w:line="360" w:lineRule="auto"/>
              <w:rPr>
                <w:rFonts w:ascii="宋体" w:eastAsia="宋体" w:hAnsi="宋体" w:cs="Times New Roman"/>
                <w:bCs/>
                <w:iCs/>
                <w:sz w:val="24"/>
                <w:szCs w:val="24"/>
              </w:rPr>
            </w:pPr>
            <w:r>
              <w:rPr>
                <w:rFonts w:ascii="宋体" w:eastAsia="宋体" w:hAnsi="宋体" w:cs="Times New Roman" w:hint="eastAsia"/>
                <w:bCs/>
                <w:iCs/>
                <w:sz w:val="24"/>
                <w:szCs w:val="24"/>
              </w:rPr>
              <w:t>□</w:t>
            </w:r>
            <w:r>
              <w:rPr>
                <w:rFonts w:ascii="宋体" w:eastAsia="宋体" w:hAnsi="宋体" w:cs="Times New Roman" w:hint="eastAsia"/>
                <w:sz w:val="24"/>
                <w:szCs w:val="24"/>
              </w:rPr>
              <w:t xml:space="preserve">媒体采访                     </w:t>
            </w:r>
            <w:r>
              <w:rPr>
                <w:rFonts w:ascii="宋体" w:eastAsia="宋体" w:hAnsi="宋体" w:cs="Times New Roman" w:hint="eastAsia"/>
                <w:bCs/>
                <w:iCs/>
                <w:sz w:val="24"/>
                <w:szCs w:val="24"/>
              </w:rPr>
              <w:t>□</w:t>
            </w:r>
            <w:r>
              <w:rPr>
                <w:rFonts w:ascii="宋体" w:eastAsia="宋体" w:hAnsi="宋体" w:cs="Times New Roman" w:hint="eastAsia"/>
                <w:sz w:val="24"/>
                <w:szCs w:val="24"/>
              </w:rPr>
              <w:t>业绩说明会</w:t>
            </w:r>
          </w:p>
          <w:p w:rsidR="00DB0BE2" w:rsidRDefault="00FD75B6">
            <w:pPr>
              <w:spacing w:line="360" w:lineRule="auto"/>
              <w:rPr>
                <w:rFonts w:ascii="宋体" w:eastAsia="宋体" w:hAnsi="宋体" w:cs="Times New Roman"/>
                <w:bCs/>
                <w:iCs/>
                <w:sz w:val="24"/>
                <w:szCs w:val="24"/>
              </w:rPr>
            </w:pPr>
            <w:r>
              <w:rPr>
                <w:rFonts w:ascii="宋体" w:eastAsia="宋体" w:hAnsi="宋体" w:cs="Times New Roman" w:hint="eastAsia"/>
                <w:bCs/>
                <w:iCs/>
                <w:sz w:val="24"/>
                <w:szCs w:val="24"/>
              </w:rPr>
              <w:t>□</w:t>
            </w:r>
            <w:r>
              <w:rPr>
                <w:rFonts w:ascii="宋体" w:eastAsia="宋体" w:hAnsi="宋体" w:cs="Times New Roman" w:hint="eastAsia"/>
                <w:sz w:val="24"/>
                <w:szCs w:val="24"/>
              </w:rPr>
              <w:t xml:space="preserve">新闻发布会                   </w:t>
            </w:r>
            <w:r>
              <w:rPr>
                <w:rFonts w:ascii="宋体" w:eastAsia="宋体" w:hAnsi="宋体" w:cs="Times New Roman" w:hint="eastAsia"/>
                <w:bCs/>
                <w:iCs/>
                <w:sz w:val="24"/>
                <w:szCs w:val="24"/>
              </w:rPr>
              <w:t>□</w:t>
            </w:r>
            <w:r>
              <w:rPr>
                <w:rFonts w:ascii="宋体" w:eastAsia="宋体" w:hAnsi="宋体" w:cs="Times New Roman" w:hint="eastAsia"/>
                <w:sz w:val="24"/>
                <w:szCs w:val="24"/>
              </w:rPr>
              <w:t>路演活动</w:t>
            </w:r>
          </w:p>
          <w:p w:rsidR="00DB0BE2" w:rsidRDefault="00A852F4">
            <w:pPr>
              <w:tabs>
                <w:tab w:val="left" w:pos="2690"/>
                <w:tab w:val="center" w:pos="3199"/>
              </w:tabs>
              <w:spacing w:line="360" w:lineRule="auto"/>
              <w:rPr>
                <w:rFonts w:ascii="宋体" w:eastAsia="宋体" w:hAnsi="宋体" w:cs="Times New Roman"/>
                <w:bCs/>
                <w:iCs/>
                <w:sz w:val="24"/>
                <w:szCs w:val="24"/>
              </w:rPr>
            </w:pPr>
            <w:r>
              <w:rPr>
                <w:rFonts w:ascii="宋体" w:eastAsia="宋体" w:hAnsi="宋体" w:cs="Times New Roman" w:hint="eastAsia"/>
                <w:sz w:val="24"/>
                <w:szCs w:val="24"/>
              </w:rPr>
              <w:t>■</w:t>
            </w:r>
            <w:r w:rsidR="00FD75B6">
              <w:rPr>
                <w:rFonts w:ascii="宋体" w:eastAsia="宋体" w:hAnsi="宋体" w:cs="Times New Roman" w:hint="eastAsia"/>
                <w:sz w:val="24"/>
                <w:szCs w:val="24"/>
              </w:rPr>
              <w:t xml:space="preserve">现场参观                   </w:t>
            </w:r>
            <w:r>
              <w:rPr>
                <w:rFonts w:ascii="宋体" w:eastAsia="宋体" w:hAnsi="宋体" w:cs="Times New Roman"/>
                <w:sz w:val="24"/>
                <w:szCs w:val="24"/>
              </w:rPr>
              <w:t xml:space="preserve"> </w:t>
            </w:r>
            <w:r w:rsidR="00FD75B6">
              <w:rPr>
                <w:rFonts w:ascii="宋体" w:eastAsia="宋体" w:hAnsi="宋体" w:cs="Times New Roman" w:hint="eastAsia"/>
                <w:sz w:val="24"/>
                <w:szCs w:val="24"/>
              </w:rPr>
              <w:t xml:space="preserve"> </w:t>
            </w:r>
            <w:r>
              <w:rPr>
                <w:rFonts w:ascii="宋体" w:eastAsia="宋体" w:hAnsi="宋体" w:cs="Times New Roman" w:hint="eastAsia"/>
                <w:bCs/>
                <w:iCs/>
                <w:sz w:val="24"/>
                <w:szCs w:val="24"/>
              </w:rPr>
              <w:t>□</w:t>
            </w:r>
            <w:r w:rsidR="00FD75B6">
              <w:rPr>
                <w:rFonts w:ascii="宋体" w:eastAsia="宋体" w:hAnsi="宋体" w:cs="Times New Roman" w:hint="eastAsia"/>
                <w:sz w:val="24"/>
                <w:szCs w:val="24"/>
              </w:rPr>
              <w:t>电话会议</w:t>
            </w:r>
          </w:p>
          <w:p w:rsidR="00DB0BE2" w:rsidRDefault="00FD75B6">
            <w:pPr>
              <w:tabs>
                <w:tab w:val="center" w:pos="3199"/>
              </w:tabs>
              <w:spacing w:line="360" w:lineRule="auto"/>
              <w:rPr>
                <w:rFonts w:ascii="宋体" w:eastAsia="宋体" w:hAnsi="宋体" w:cs="Times New Roman"/>
                <w:bCs/>
                <w:iCs/>
                <w:sz w:val="24"/>
                <w:szCs w:val="24"/>
              </w:rPr>
            </w:pPr>
            <w:r>
              <w:rPr>
                <w:rFonts w:ascii="宋体" w:eastAsia="宋体" w:hAnsi="宋体" w:cs="Times New Roman" w:hint="eastAsia"/>
                <w:bCs/>
                <w:iCs/>
                <w:sz w:val="24"/>
                <w:szCs w:val="24"/>
              </w:rPr>
              <w:t>□</w:t>
            </w:r>
            <w:r>
              <w:rPr>
                <w:rFonts w:ascii="宋体" w:eastAsia="宋体" w:hAnsi="宋体" w:cs="Times New Roman" w:hint="eastAsia"/>
                <w:sz w:val="24"/>
                <w:szCs w:val="24"/>
              </w:rPr>
              <w:t>其他 （</w:t>
            </w:r>
            <w:r>
              <w:rPr>
                <w:rFonts w:ascii="宋体" w:eastAsia="宋体" w:hAnsi="宋体" w:cs="Times New Roman" w:hint="eastAsia"/>
                <w:sz w:val="24"/>
                <w:szCs w:val="24"/>
                <w:u w:val="single"/>
              </w:rPr>
              <w:t>请文字说明其他活动内容）</w:t>
            </w:r>
          </w:p>
        </w:tc>
      </w:tr>
      <w:tr w:rsidR="00DB0BE2">
        <w:tc>
          <w:tcPr>
            <w:tcW w:w="1702" w:type="dxa"/>
            <w:shd w:val="clear" w:color="auto" w:fill="auto"/>
          </w:tcPr>
          <w:p w:rsidR="00DB0BE2" w:rsidRDefault="00FD75B6">
            <w:pPr>
              <w:spacing w:line="360" w:lineRule="auto"/>
              <w:rPr>
                <w:rFonts w:ascii="宋体" w:eastAsia="宋体" w:hAnsi="宋体" w:cs="Times New Roman"/>
                <w:b/>
                <w:bCs/>
                <w:iCs/>
                <w:sz w:val="24"/>
                <w:szCs w:val="24"/>
              </w:rPr>
            </w:pPr>
            <w:r>
              <w:rPr>
                <w:rFonts w:ascii="宋体" w:eastAsia="宋体" w:hAnsi="宋体" w:cs="Times New Roman" w:hint="eastAsia"/>
                <w:b/>
                <w:bCs/>
                <w:iCs/>
                <w:sz w:val="24"/>
                <w:szCs w:val="24"/>
              </w:rPr>
              <w:t>参与单位名称及人员姓名</w:t>
            </w:r>
          </w:p>
        </w:tc>
        <w:tc>
          <w:tcPr>
            <w:tcW w:w="7371" w:type="dxa"/>
            <w:shd w:val="clear" w:color="auto" w:fill="auto"/>
            <w:vAlign w:val="center"/>
          </w:tcPr>
          <w:p w:rsidR="00A852F4" w:rsidRPr="00A852F4" w:rsidRDefault="00A852F4" w:rsidP="00A852F4">
            <w:pPr>
              <w:spacing w:line="360" w:lineRule="auto"/>
              <w:rPr>
                <w:rFonts w:asciiTheme="minorEastAsia" w:hAnsiTheme="minorEastAsia"/>
                <w:szCs w:val="21"/>
              </w:rPr>
            </w:pPr>
            <w:r w:rsidRPr="00A852F4">
              <w:rPr>
                <w:rFonts w:asciiTheme="minorEastAsia" w:hAnsiTheme="minorEastAsia" w:hint="eastAsia"/>
                <w:szCs w:val="21"/>
              </w:rPr>
              <w:t>台州市海盛产业投资有限公司</w:t>
            </w:r>
          </w:p>
          <w:p w:rsidR="00A852F4" w:rsidRPr="00A852F4" w:rsidRDefault="00A852F4" w:rsidP="00A852F4">
            <w:pPr>
              <w:spacing w:line="360" w:lineRule="auto"/>
              <w:rPr>
                <w:rFonts w:asciiTheme="minorEastAsia" w:hAnsiTheme="minorEastAsia"/>
                <w:szCs w:val="21"/>
              </w:rPr>
            </w:pPr>
            <w:r w:rsidRPr="00A852F4">
              <w:rPr>
                <w:rFonts w:asciiTheme="minorEastAsia" w:hAnsiTheme="minorEastAsia" w:hint="eastAsia"/>
                <w:szCs w:val="21"/>
              </w:rPr>
              <w:t>台州市国有资产投资集团有限公司</w:t>
            </w:r>
          </w:p>
          <w:p w:rsidR="00A852F4" w:rsidRPr="00A852F4" w:rsidRDefault="00A852F4" w:rsidP="00A852F4">
            <w:pPr>
              <w:spacing w:line="360" w:lineRule="auto"/>
              <w:rPr>
                <w:rFonts w:asciiTheme="minorEastAsia" w:hAnsiTheme="minorEastAsia"/>
                <w:szCs w:val="21"/>
              </w:rPr>
            </w:pPr>
            <w:r w:rsidRPr="00A852F4">
              <w:rPr>
                <w:rFonts w:asciiTheme="minorEastAsia" w:hAnsiTheme="minorEastAsia" w:hint="eastAsia"/>
                <w:szCs w:val="21"/>
              </w:rPr>
              <w:t>台州市资管股权投资有限公司</w:t>
            </w:r>
          </w:p>
          <w:p w:rsidR="00A852F4" w:rsidRPr="00A852F4" w:rsidRDefault="00A852F4" w:rsidP="00A852F4">
            <w:pPr>
              <w:spacing w:line="360" w:lineRule="auto"/>
              <w:rPr>
                <w:rFonts w:asciiTheme="minorEastAsia" w:hAnsiTheme="minorEastAsia"/>
                <w:szCs w:val="21"/>
              </w:rPr>
            </w:pPr>
            <w:r w:rsidRPr="00A852F4">
              <w:rPr>
                <w:rFonts w:asciiTheme="minorEastAsia" w:hAnsiTheme="minorEastAsia" w:hint="eastAsia"/>
                <w:szCs w:val="21"/>
              </w:rPr>
              <w:t>台州市交投交通产业发展有限公司</w:t>
            </w:r>
          </w:p>
          <w:p w:rsidR="00A852F4" w:rsidRPr="00A852F4" w:rsidRDefault="00A852F4" w:rsidP="00A852F4">
            <w:pPr>
              <w:spacing w:line="360" w:lineRule="auto"/>
              <w:rPr>
                <w:rFonts w:asciiTheme="minorEastAsia" w:hAnsiTheme="minorEastAsia"/>
                <w:szCs w:val="21"/>
              </w:rPr>
            </w:pPr>
            <w:r w:rsidRPr="00A852F4">
              <w:rPr>
                <w:rFonts w:asciiTheme="minorEastAsia" w:hAnsiTheme="minorEastAsia" w:hint="eastAsia"/>
                <w:szCs w:val="21"/>
              </w:rPr>
              <w:t>台州市创收股权投资有限公司/台州市资产管理有限公司（台州城投）</w:t>
            </w:r>
          </w:p>
          <w:p w:rsidR="00A852F4" w:rsidRPr="00A852F4" w:rsidRDefault="00A852F4" w:rsidP="00A852F4">
            <w:pPr>
              <w:spacing w:line="360" w:lineRule="auto"/>
              <w:rPr>
                <w:rFonts w:asciiTheme="minorEastAsia" w:hAnsiTheme="minorEastAsia"/>
                <w:szCs w:val="21"/>
              </w:rPr>
            </w:pPr>
            <w:r w:rsidRPr="00A852F4">
              <w:rPr>
                <w:rFonts w:asciiTheme="minorEastAsia" w:hAnsiTheme="minorEastAsia" w:hint="eastAsia"/>
                <w:szCs w:val="21"/>
              </w:rPr>
              <w:t>四川璞信产融投资有限责任公司</w:t>
            </w:r>
          </w:p>
          <w:p w:rsidR="00A852F4" w:rsidRPr="00A852F4" w:rsidRDefault="00A852F4" w:rsidP="00A852F4">
            <w:pPr>
              <w:spacing w:line="360" w:lineRule="auto"/>
              <w:rPr>
                <w:rFonts w:asciiTheme="minorEastAsia" w:hAnsiTheme="minorEastAsia"/>
                <w:szCs w:val="21"/>
              </w:rPr>
            </w:pPr>
            <w:r w:rsidRPr="00A852F4">
              <w:rPr>
                <w:rFonts w:asciiTheme="minorEastAsia" w:hAnsiTheme="minorEastAsia" w:hint="eastAsia"/>
                <w:szCs w:val="21"/>
              </w:rPr>
              <w:t>浙江农发产业投资有限公司</w:t>
            </w:r>
          </w:p>
          <w:p w:rsidR="00A852F4" w:rsidRPr="00A852F4" w:rsidRDefault="00A852F4" w:rsidP="00A852F4">
            <w:pPr>
              <w:spacing w:line="360" w:lineRule="auto"/>
              <w:rPr>
                <w:rFonts w:asciiTheme="minorEastAsia" w:hAnsiTheme="minorEastAsia"/>
                <w:szCs w:val="21"/>
              </w:rPr>
            </w:pPr>
            <w:r w:rsidRPr="00A852F4">
              <w:rPr>
                <w:rFonts w:asciiTheme="minorEastAsia" w:hAnsiTheme="minorEastAsia" w:hint="eastAsia"/>
                <w:szCs w:val="21"/>
              </w:rPr>
              <w:t>华西银峰投资有限责任公司</w:t>
            </w:r>
          </w:p>
          <w:p w:rsidR="00C63F61" w:rsidRPr="00503DC1" w:rsidRDefault="00A852F4" w:rsidP="00A852F4">
            <w:pPr>
              <w:spacing w:line="360" w:lineRule="auto"/>
              <w:rPr>
                <w:rFonts w:asciiTheme="minorEastAsia" w:hAnsiTheme="minorEastAsia" w:hint="eastAsia"/>
                <w:szCs w:val="21"/>
              </w:rPr>
            </w:pPr>
            <w:r w:rsidRPr="00A852F4">
              <w:rPr>
                <w:rFonts w:asciiTheme="minorEastAsia" w:hAnsiTheme="minorEastAsia" w:hint="eastAsia"/>
                <w:szCs w:val="21"/>
              </w:rPr>
              <w:t>浙江省发展资产经营有限公司</w:t>
            </w:r>
          </w:p>
        </w:tc>
      </w:tr>
      <w:tr w:rsidR="00DB0BE2">
        <w:tc>
          <w:tcPr>
            <w:tcW w:w="1702" w:type="dxa"/>
            <w:shd w:val="clear" w:color="auto" w:fill="auto"/>
          </w:tcPr>
          <w:p w:rsidR="00DB0BE2" w:rsidRDefault="00FD75B6">
            <w:pPr>
              <w:spacing w:line="360" w:lineRule="auto"/>
              <w:rPr>
                <w:rFonts w:ascii="宋体" w:eastAsia="宋体" w:hAnsi="宋体" w:cs="Times New Roman"/>
                <w:b/>
                <w:bCs/>
                <w:iCs/>
                <w:sz w:val="24"/>
                <w:szCs w:val="24"/>
              </w:rPr>
            </w:pPr>
            <w:r>
              <w:rPr>
                <w:rFonts w:ascii="宋体" w:eastAsia="宋体" w:hAnsi="宋体" w:cs="Times New Roman" w:hint="eastAsia"/>
                <w:b/>
                <w:bCs/>
                <w:iCs/>
                <w:sz w:val="24"/>
                <w:szCs w:val="24"/>
              </w:rPr>
              <w:t>会议时间</w:t>
            </w:r>
          </w:p>
        </w:tc>
        <w:tc>
          <w:tcPr>
            <w:tcW w:w="7371" w:type="dxa"/>
            <w:shd w:val="clear" w:color="auto" w:fill="auto"/>
            <w:vAlign w:val="center"/>
          </w:tcPr>
          <w:p w:rsidR="00DB0BE2" w:rsidRDefault="00FD75B6" w:rsidP="00A852F4">
            <w:pPr>
              <w:spacing w:line="360" w:lineRule="auto"/>
              <w:rPr>
                <w:rFonts w:ascii="宋体" w:eastAsia="宋体" w:hAnsi="宋体" w:cs="Times New Roman"/>
                <w:bCs/>
                <w:iCs/>
                <w:sz w:val="24"/>
                <w:szCs w:val="24"/>
              </w:rPr>
            </w:pPr>
            <w:r>
              <w:rPr>
                <w:rFonts w:ascii="宋体" w:eastAsia="宋体" w:hAnsi="宋体" w:cs="Times New Roman" w:hint="eastAsia"/>
                <w:bCs/>
                <w:iCs/>
                <w:sz w:val="24"/>
                <w:szCs w:val="24"/>
              </w:rPr>
              <w:t>202</w:t>
            </w:r>
            <w:r w:rsidR="000C2571">
              <w:rPr>
                <w:rFonts w:ascii="宋体" w:eastAsia="宋体" w:hAnsi="宋体" w:cs="Times New Roman"/>
                <w:bCs/>
                <w:iCs/>
                <w:sz w:val="24"/>
                <w:szCs w:val="24"/>
              </w:rPr>
              <w:t>6</w:t>
            </w:r>
            <w:r>
              <w:rPr>
                <w:rFonts w:ascii="宋体" w:eastAsia="宋体" w:hAnsi="宋体" w:cs="Times New Roman" w:hint="eastAsia"/>
                <w:bCs/>
                <w:iCs/>
                <w:sz w:val="24"/>
                <w:szCs w:val="24"/>
              </w:rPr>
              <w:t>年</w:t>
            </w:r>
            <w:r w:rsidR="00A852F4">
              <w:rPr>
                <w:rFonts w:ascii="宋体" w:eastAsia="宋体" w:hAnsi="宋体" w:cs="Times New Roman"/>
                <w:bCs/>
                <w:iCs/>
                <w:sz w:val="24"/>
                <w:szCs w:val="24"/>
              </w:rPr>
              <w:t>9</w:t>
            </w:r>
            <w:r>
              <w:rPr>
                <w:rFonts w:ascii="宋体" w:eastAsia="宋体" w:hAnsi="宋体" w:cs="Times New Roman" w:hint="eastAsia"/>
                <w:bCs/>
                <w:iCs/>
                <w:sz w:val="24"/>
                <w:szCs w:val="24"/>
              </w:rPr>
              <w:t>月</w:t>
            </w:r>
            <w:r w:rsidR="00A852F4">
              <w:rPr>
                <w:rFonts w:ascii="宋体" w:eastAsia="宋体" w:hAnsi="宋体" w:cs="Times New Roman"/>
                <w:bCs/>
                <w:iCs/>
                <w:sz w:val="24"/>
                <w:szCs w:val="24"/>
              </w:rPr>
              <w:t>1</w:t>
            </w:r>
            <w:r>
              <w:rPr>
                <w:rFonts w:ascii="宋体" w:eastAsia="宋体" w:hAnsi="宋体" w:cs="Times New Roman" w:hint="eastAsia"/>
                <w:bCs/>
                <w:iCs/>
                <w:sz w:val="24"/>
                <w:szCs w:val="24"/>
              </w:rPr>
              <w:t>日</w:t>
            </w:r>
          </w:p>
        </w:tc>
      </w:tr>
      <w:tr w:rsidR="00DB0BE2">
        <w:tc>
          <w:tcPr>
            <w:tcW w:w="1702" w:type="dxa"/>
            <w:shd w:val="clear" w:color="auto" w:fill="auto"/>
          </w:tcPr>
          <w:p w:rsidR="00DB0BE2" w:rsidRDefault="00FD75B6">
            <w:pPr>
              <w:spacing w:line="360" w:lineRule="auto"/>
              <w:rPr>
                <w:rFonts w:ascii="宋体" w:eastAsia="宋体" w:hAnsi="宋体" w:cs="Times New Roman"/>
                <w:b/>
                <w:bCs/>
                <w:iCs/>
                <w:sz w:val="24"/>
                <w:szCs w:val="24"/>
              </w:rPr>
            </w:pPr>
            <w:r>
              <w:rPr>
                <w:rFonts w:ascii="宋体" w:eastAsia="宋体" w:hAnsi="宋体" w:cs="Times New Roman" w:hint="eastAsia"/>
                <w:b/>
                <w:bCs/>
                <w:iCs/>
                <w:sz w:val="24"/>
                <w:szCs w:val="24"/>
              </w:rPr>
              <w:t>会议地点</w:t>
            </w:r>
          </w:p>
        </w:tc>
        <w:tc>
          <w:tcPr>
            <w:tcW w:w="7371" w:type="dxa"/>
            <w:shd w:val="clear" w:color="auto" w:fill="auto"/>
            <w:vAlign w:val="center"/>
          </w:tcPr>
          <w:p w:rsidR="00DB0BE2" w:rsidRDefault="00FD75B6">
            <w:pPr>
              <w:spacing w:line="360" w:lineRule="auto"/>
              <w:rPr>
                <w:rFonts w:asciiTheme="minorEastAsia" w:hAnsiTheme="minorEastAsia" w:cs="Times New Roman"/>
                <w:bCs/>
                <w:iCs/>
                <w:sz w:val="24"/>
                <w:szCs w:val="24"/>
              </w:rPr>
            </w:pPr>
            <w:r>
              <w:rPr>
                <w:rFonts w:asciiTheme="minorEastAsia" w:hAnsiTheme="minorEastAsia" w:hint="eastAsia"/>
                <w:color w:val="000000"/>
                <w:sz w:val="24"/>
                <w:szCs w:val="24"/>
              </w:rPr>
              <w:t>公司会议室</w:t>
            </w:r>
          </w:p>
        </w:tc>
      </w:tr>
      <w:tr w:rsidR="00DB0BE2">
        <w:tc>
          <w:tcPr>
            <w:tcW w:w="1702" w:type="dxa"/>
            <w:shd w:val="clear" w:color="auto" w:fill="auto"/>
          </w:tcPr>
          <w:p w:rsidR="00DB0BE2" w:rsidRDefault="00FD75B6">
            <w:pPr>
              <w:spacing w:line="360" w:lineRule="auto"/>
              <w:rPr>
                <w:rFonts w:ascii="宋体" w:eastAsia="宋体" w:hAnsi="宋体" w:cs="Times New Roman"/>
                <w:b/>
                <w:bCs/>
                <w:iCs/>
                <w:sz w:val="24"/>
                <w:szCs w:val="24"/>
              </w:rPr>
            </w:pPr>
            <w:r>
              <w:rPr>
                <w:rFonts w:ascii="宋体" w:eastAsia="宋体" w:hAnsi="宋体" w:cs="Times New Roman" w:hint="eastAsia"/>
                <w:b/>
                <w:bCs/>
                <w:iCs/>
                <w:sz w:val="24"/>
                <w:szCs w:val="24"/>
              </w:rPr>
              <w:t>上市公司接待人员姓名</w:t>
            </w:r>
          </w:p>
        </w:tc>
        <w:tc>
          <w:tcPr>
            <w:tcW w:w="7371" w:type="dxa"/>
            <w:shd w:val="clear" w:color="auto" w:fill="auto"/>
            <w:vAlign w:val="center"/>
          </w:tcPr>
          <w:p w:rsidR="00DB0BE2" w:rsidRDefault="00A852F4">
            <w:pPr>
              <w:spacing w:line="360" w:lineRule="auto"/>
              <w:rPr>
                <w:rFonts w:ascii="宋体" w:hAnsi="宋体"/>
                <w:sz w:val="24"/>
                <w:szCs w:val="24"/>
              </w:rPr>
            </w:pPr>
            <w:r>
              <w:rPr>
                <w:rFonts w:ascii="宋体" w:hAnsi="宋体" w:cs="宋体" w:hint="eastAsia"/>
                <w:sz w:val="24"/>
                <w:szCs w:val="24"/>
              </w:rPr>
              <w:t xml:space="preserve">董事兼总经理：白生文  </w:t>
            </w:r>
            <w:r w:rsidR="00C63F61" w:rsidRPr="00EC71A1">
              <w:rPr>
                <w:rFonts w:ascii="宋体" w:hAnsi="宋体" w:cs="宋体" w:hint="eastAsia"/>
                <w:sz w:val="24"/>
                <w:szCs w:val="24"/>
              </w:rPr>
              <w:t>副总经理、董事会秘书：林素君</w:t>
            </w:r>
            <w:r w:rsidR="00466E72">
              <w:rPr>
                <w:rFonts w:ascii="宋体" w:hAnsi="宋体" w:cs="宋体" w:hint="eastAsia"/>
                <w:sz w:val="24"/>
                <w:szCs w:val="24"/>
              </w:rPr>
              <w:t xml:space="preserve"> 财务负责人：何丽云  广发证券保代：张思远</w:t>
            </w:r>
          </w:p>
        </w:tc>
      </w:tr>
      <w:tr w:rsidR="00DB0BE2">
        <w:trPr>
          <w:trHeight w:val="841"/>
        </w:trPr>
        <w:tc>
          <w:tcPr>
            <w:tcW w:w="1702" w:type="dxa"/>
            <w:shd w:val="clear" w:color="auto" w:fill="auto"/>
            <w:vAlign w:val="center"/>
          </w:tcPr>
          <w:p w:rsidR="00DB0BE2" w:rsidRDefault="00FD75B6">
            <w:pPr>
              <w:spacing w:line="360" w:lineRule="auto"/>
              <w:rPr>
                <w:rFonts w:ascii="宋体" w:eastAsia="宋体" w:hAnsi="宋体" w:cs="Times New Roman"/>
                <w:b/>
                <w:bCs/>
                <w:iCs/>
                <w:sz w:val="24"/>
                <w:szCs w:val="24"/>
              </w:rPr>
            </w:pPr>
            <w:r>
              <w:rPr>
                <w:rFonts w:ascii="宋体" w:eastAsia="宋体" w:hAnsi="宋体" w:cs="Times New Roman" w:hint="eastAsia"/>
                <w:b/>
                <w:bCs/>
                <w:iCs/>
                <w:sz w:val="24"/>
                <w:szCs w:val="24"/>
              </w:rPr>
              <w:t>投资者关系活动主要内容介绍</w:t>
            </w:r>
          </w:p>
        </w:tc>
        <w:tc>
          <w:tcPr>
            <w:tcW w:w="7371" w:type="dxa"/>
            <w:shd w:val="clear" w:color="auto" w:fill="auto"/>
          </w:tcPr>
          <w:p w:rsidR="008E7BEB" w:rsidRDefault="00913D5C" w:rsidP="008E7BEB">
            <w:pPr>
              <w:spacing w:line="360" w:lineRule="auto"/>
              <w:ind w:firstLineChars="200" w:firstLine="480"/>
              <w:rPr>
                <w:rFonts w:ascii="宋体" w:hAnsi="宋体"/>
                <w:sz w:val="24"/>
                <w:szCs w:val="24"/>
              </w:rPr>
            </w:pPr>
            <w:r>
              <w:rPr>
                <w:rFonts w:ascii="宋体" w:hAnsi="宋体" w:hint="eastAsia"/>
                <w:sz w:val="24"/>
                <w:szCs w:val="24"/>
              </w:rPr>
              <w:t>各机构现场参观调研了海德曼沙门工厂，</w:t>
            </w:r>
            <w:r w:rsidR="008E7BEB">
              <w:rPr>
                <w:rFonts w:ascii="宋体" w:hAnsi="宋体" w:hint="eastAsia"/>
                <w:sz w:val="24"/>
                <w:szCs w:val="24"/>
              </w:rPr>
              <w:t>公司</w:t>
            </w:r>
            <w:r>
              <w:rPr>
                <w:rFonts w:ascii="宋体" w:hAnsi="宋体" w:hint="eastAsia"/>
                <w:sz w:val="24"/>
                <w:szCs w:val="24"/>
              </w:rPr>
              <w:t>总经理白生文通过PPT介绍了公司的核心竞争力及未来发展方向；</w:t>
            </w:r>
            <w:r w:rsidR="008E7BEB">
              <w:rPr>
                <w:rFonts w:ascii="宋体" w:hAnsi="宋体" w:hint="eastAsia"/>
                <w:sz w:val="24"/>
                <w:szCs w:val="24"/>
              </w:rPr>
              <w:t>董事会秘书林</w:t>
            </w:r>
            <w:r>
              <w:rPr>
                <w:rFonts w:ascii="宋体" w:hAnsi="宋体" w:hint="eastAsia"/>
                <w:sz w:val="24"/>
                <w:szCs w:val="24"/>
              </w:rPr>
              <w:t>素君</w:t>
            </w:r>
            <w:r w:rsidR="008E7BEB">
              <w:rPr>
                <w:rFonts w:ascii="宋体" w:hAnsi="宋体" w:hint="eastAsia"/>
                <w:sz w:val="24"/>
                <w:szCs w:val="24"/>
              </w:rPr>
              <w:t>通过PPT介绍了</w:t>
            </w:r>
            <w:r>
              <w:rPr>
                <w:rFonts w:ascii="宋体" w:hAnsi="宋体" w:hint="eastAsia"/>
                <w:sz w:val="24"/>
                <w:szCs w:val="24"/>
              </w:rPr>
              <w:t>半年度</w:t>
            </w:r>
            <w:r w:rsidR="008E7BEB">
              <w:rPr>
                <w:rFonts w:ascii="宋体" w:hAnsi="宋体" w:hint="eastAsia"/>
                <w:sz w:val="24"/>
                <w:szCs w:val="24"/>
              </w:rPr>
              <w:t>公司经营情况、本次定增项目情况及投资亮点。</w:t>
            </w:r>
          </w:p>
          <w:p w:rsidR="006B1ED4" w:rsidRDefault="008E7BEB" w:rsidP="006B1ED4">
            <w:pPr>
              <w:pStyle w:val="HTML"/>
              <w:shd w:val="clear" w:color="auto" w:fill="ECF0FB"/>
              <w:spacing w:line="360" w:lineRule="auto"/>
              <w:jc w:val="both"/>
              <w:rPr>
                <w:rFonts w:asciiTheme="minorEastAsia" w:eastAsiaTheme="minorEastAsia" w:hAnsiTheme="minorEastAsia" w:cstheme="minorBidi"/>
                <w:b/>
                <w:kern w:val="2"/>
              </w:rPr>
            </w:pPr>
            <w:r>
              <w:rPr>
                <w:rFonts w:hint="eastAsia"/>
                <w:b/>
              </w:rPr>
              <w:lastRenderedPageBreak/>
              <w:t>Q</w:t>
            </w:r>
            <w:r>
              <w:rPr>
                <w:b/>
              </w:rPr>
              <w:t>1</w:t>
            </w:r>
            <w:r>
              <w:rPr>
                <w:rFonts w:hint="eastAsia"/>
                <w:b/>
              </w:rPr>
              <w:t xml:space="preserve">: </w:t>
            </w:r>
            <w:r w:rsidR="00922825">
              <w:rPr>
                <w:rFonts w:hint="eastAsia"/>
                <w:b/>
              </w:rPr>
              <w:t>本次定增</w:t>
            </w:r>
            <w:r w:rsidR="00922825">
              <w:rPr>
                <w:rFonts w:asciiTheme="minorEastAsia" w:eastAsiaTheme="minorEastAsia" w:hAnsiTheme="minorEastAsia" w:cstheme="minorBidi" w:hint="eastAsia"/>
                <w:b/>
                <w:kern w:val="2"/>
              </w:rPr>
              <w:t>项目进展如何？</w:t>
            </w:r>
            <w:r w:rsidR="006709FC">
              <w:rPr>
                <w:rFonts w:asciiTheme="minorEastAsia" w:eastAsiaTheme="minorEastAsia" w:hAnsiTheme="minorEastAsia" w:cstheme="minorBidi" w:hint="eastAsia"/>
                <w:b/>
                <w:kern w:val="2"/>
              </w:rPr>
              <w:t>项目</w:t>
            </w:r>
            <w:r w:rsidR="00922825">
              <w:rPr>
                <w:rFonts w:asciiTheme="minorEastAsia" w:eastAsiaTheme="minorEastAsia" w:hAnsiTheme="minorEastAsia" w:cstheme="minorBidi" w:hint="eastAsia"/>
                <w:b/>
                <w:kern w:val="2"/>
              </w:rPr>
              <w:t>产能释放节奏？</w:t>
            </w:r>
            <w:bookmarkStart w:id="0" w:name="_GoBack"/>
            <w:bookmarkEnd w:id="0"/>
          </w:p>
          <w:p w:rsidR="006B1ED4" w:rsidRDefault="006B1ED4" w:rsidP="006B1ED4">
            <w:pPr>
              <w:pStyle w:val="005"/>
              <w:spacing w:before="156" w:after="156"/>
              <w:ind w:firstLine="480"/>
            </w:pPr>
            <w:r>
              <w:rPr>
                <w:rFonts w:hint="eastAsia"/>
              </w:rPr>
              <w:t>本次向特定对象发行股票项目实施地点位于浙江省玉环市玉环新城（漩门二期）</w:t>
            </w:r>
            <w:r>
              <w:rPr>
                <w:rFonts w:hint="eastAsia"/>
              </w:rPr>
              <w:t>BXE031-0214a</w:t>
            </w:r>
            <w:r>
              <w:rPr>
                <w:rFonts w:hint="eastAsia"/>
              </w:rPr>
              <w:t>地块，项目</w:t>
            </w:r>
            <w:r>
              <w:rPr>
                <w:rFonts w:ascii="宋体" w:hAnsi="宋体" w:hint="eastAsia"/>
                <w:szCs w:val="24"/>
              </w:rPr>
              <w:t>占地面积291亩，</w:t>
            </w:r>
            <w:r w:rsidR="00661285">
              <w:rPr>
                <w:rFonts w:ascii="宋体" w:hAnsi="宋体" w:hint="eastAsia"/>
                <w:szCs w:val="24"/>
              </w:rPr>
              <w:t>建设期三年，</w:t>
            </w:r>
            <w:r>
              <w:rPr>
                <w:rFonts w:hint="eastAsia"/>
              </w:rPr>
              <w:t>拟募集资金总额不超过</w:t>
            </w:r>
            <w:r>
              <w:rPr>
                <w:rFonts w:hint="eastAsia"/>
              </w:rPr>
              <w:t>1</w:t>
            </w:r>
            <w:r>
              <w:t>16</w:t>
            </w:r>
            <w:r>
              <w:rPr>
                <w:rFonts w:hint="eastAsia"/>
              </w:rPr>
              <w:t>,700.00</w:t>
            </w:r>
            <w:r>
              <w:rPr>
                <w:rFonts w:hint="eastAsia"/>
              </w:rPr>
              <w:t>万元（含本数），募集资金在扣除相关发行费用后的募集资金净额将全部用于以下项目：</w:t>
            </w:r>
          </w:p>
          <w:p w:rsidR="006B1ED4" w:rsidRDefault="006B1ED4" w:rsidP="006B1ED4">
            <w:pPr>
              <w:pStyle w:val="009"/>
            </w:pPr>
            <w:r>
              <w:t>单位：万元</w:t>
            </w:r>
          </w:p>
          <w:tbl>
            <w:tblPr>
              <w:tblStyle w:val="Style1123"/>
              <w:tblW w:w="4878" w:type="pct"/>
              <w:jc w:val="center"/>
              <w:tblBorders>
                <w:insideH w:val="single" w:sz="4" w:space="0" w:color="auto"/>
                <w:insideV w:val="single" w:sz="4" w:space="0" w:color="auto"/>
              </w:tblBorders>
              <w:tblLayout w:type="fixed"/>
              <w:tblLook w:val="04A0" w:firstRow="1" w:lastRow="0" w:firstColumn="1" w:lastColumn="0" w:noHBand="0" w:noVBand="1"/>
            </w:tblPr>
            <w:tblGrid>
              <w:gridCol w:w="556"/>
              <w:gridCol w:w="2881"/>
              <w:gridCol w:w="1417"/>
              <w:gridCol w:w="2126"/>
            </w:tblGrid>
            <w:tr w:rsidR="006B1ED4" w:rsidTr="00870676">
              <w:trPr>
                <w:cnfStyle w:val="100000000000" w:firstRow="1" w:lastRow="0" w:firstColumn="0" w:lastColumn="0" w:oddVBand="0" w:evenVBand="0" w:oddHBand="0" w:evenHBand="0" w:firstRowFirstColumn="0" w:firstRowLastColumn="0" w:lastRowFirstColumn="0" w:lastRowLastColumn="0"/>
                <w:trHeight w:val="397"/>
                <w:jc w:val="center"/>
              </w:trPr>
              <w:tc>
                <w:tcPr>
                  <w:tcW w:w="398" w:type="pct"/>
                  <w:shd w:val="clear" w:color="auto" w:fill="D8D8D8"/>
                </w:tcPr>
                <w:p w:rsidR="006B1ED4" w:rsidRDefault="006B1ED4" w:rsidP="006B1ED4">
                  <w:pPr>
                    <w:adjustRightInd w:val="0"/>
                    <w:snapToGrid w:val="0"/>
                    <w:jc w:val="center"/>
                    <w:rPr>
                      <w:b/>
                      <w:kern w:val="0"/>
                      <w:szCs w:val="21"/>
                    </w:rPr>
                  </w:pPr>
                  <w:r>
                    <w:rPr>
                      <w:b/>
                      <w:kern w:val="0"/>
                      <w:szCs w:val="21"/>
                    </w:rPr>
                    <w:t>序号</w:t>
                  </w:r>
                </w:p>
              </w:tc>
              <w:tc>
                <w:tcPr>
                  <w:tcW w:w="2064" w:type="pct"/>
                  <w:shd w:val="clear" w:color="auto" w:fill="D8D8D8"/>
                </w:tcPr>
                <w:p w:rsidR="006B1ED4" w:rsidRDefault="006B1ED4" w:rsidP="006B1ED4">
                  <w:pPr>
                    <w:adjustRightInd w:val="0"/>
                    <w:snapToGrid w:val="0"/>
                    <w:jc w:val="center"/>
                    <w:rPr>
                      <w:b/>
                      <w:kern w:val="0"/>
                      <w:szCs w:val="21"/>
                    </w:rPr>
                  </w:pPr>
                  <w:r>
                    <w:rPr>
                      <w:b/>
                      <w:kern w:val="0"/>
                      <w:szCs w:val="21"/>
                    </w:rPr>
                    <w:t>项目名称</w:t>
                  </w:r>
                </w:p>
              </w:tc>
              <w:tc>
                <w:tcPr>
                  <w:tcW w:w="1015" w:type="pct"/>
                  <w:shd w:val="clear" w:color="auto" w:fill="D8D8D8"/>
                </w:tcPr>
                <w:p w:rsidR="006B1ED4" w:rsidRDefault="006B1ED4" w:rsidP="006B1ED4">
                  <w:pPr>
                    <w:adjustRightInd w:val="0"/>
                    <w:snapToGrid w:val="0"/>
                    <w:jc w:val="center"/>
                    <w:rPr>
                      <w:b/>
                      <w:kern w:val="0"/>
                      <w:szCs w:val="21"/>
                    </w:rPr>
                  </w:pPr>
                  <w:r>
                    <w:rPr>
                      <w:b/>
                      <w:kern w:val="0"/>
                      <w:szCs w:val="21"/>
                    </w:rPr>
                    <w:t>拟投资总额</w:t>
                  </w:r>
                </w:p>
              </w:tc>
              <w:tc>
                <w:tcPr>
                  <w:tcW w:w="1523" w:type="pct"/>
                  <w:shd w:val="clear" w:color="auto" w:fill="D8D8D8"/>
                </w:tcPr>
                <w:p w:rsidR="006B1ED4" w:rsidRDefault="006B1ED4" w:rsidP="006B1ED4">
                  <w:pPr>
                    <w:adjustRightInd w:val="0"/>
                    <w:snapToGrid w:val="0"/>
                    <w:jc w:val="center"/>
                    <w:rPr>
                      <w:b/>
                      <w:kern w:val="0"/>
                      <w:szCs w:val="21"/>
                    </w:rPr>
                  </w:pPr>
                  <w:r>
                    <w:rPr>
                      <w:b/>
                      <w:kern w:val="0"/>
                      <w:szCs w:val="21"/>
                    </w:rPr>
                    <w:t>拟使用募集资金金额</w:t>
                  </w:r>
                </w:p>
              </w:tc>
            </w:tr>
            <w:tr w:rsidR="006B1ED4" w:rsidTr="00870676">
              <w:trPr>
                <w:trHeight w:val="397"/>
                <w:jc w:val="center"/>
              </w:trPr>
              <w:tc>
                <w:tcPr>
                  <w:tcW w:w="398" w:type="pct"/>
                </w:tcPr>
                <w:p w:rsidR="006B1ED4" w:rsidRDefault="006B1ED4" w:rsidP="006B1ED4">
                  <w:pPr>
                    <w:adjustRightInd w:val="0"/>
                    <w:snapToGrid w:val="0"/>
                    <w:jc w:val="center"/>
                    <w:rPr>
                      <w:bCs/>
                      <w:kern w:val="0"/>
                      <w:szCs w:val="21"/>
                    </w:rPr>
                  </w:pPr>
                  <w:r>
                    <w:rPr>
                      <w:bCs/>
                      <w:kern w:val="0"/>
                      <w:szCs w:val="21"/>
                    </w:rPr>
                    <w:t>1</w:t>
                  </w:r>
                </w:p>
              </w:tc>
              <w:tc>
                <w:tcPr>
                  <w:tcW w:w="2064" w:type="pct"/>
                </w:tcPr>
                <w:p w:rsidR="006B1ED4" w:rsidRDefault="006B1ED4" w:rsidP="006B1ED4">
                  <w:pPr>
                    <w:adjustRightInd w:val="0"/>
                    <w:snapToGrid w:val="0"/>
                    <w:jc w:val="center"/>
                    <w:rPr>
                      <w:bCs/>
                      <w:kern w:val="0"/>
                      <w:szCs w:val="21"/>
                      <w:lang w:eastAsia="zh-CN"/>
                    </w:rPr>
                  </w:pPr>
                  <w:r>
                    <w:rPr>
                      <w:bCs/>
                      <w:kern w:val="0"/>
                      <w:szCs w:val="21"/>
                      <w:lang w:eastAsia="zh-CN"/>
                    </w:rPr>
                    <w:t>高端复合化机床产业化项目</w:t>
                  </w:r>
                </w:p>
              </w:tc>
              <w:tc>
                <w:tcPr>
                  <w:tcW w:w="1015" w:type="pct"/>
                </w:tcPr>
                <w:p w:rsidR="006B1ED4" w:rsidRDefault="006B1ED4" w:rsidP="006B1ED4">
                  <w:pPr>
                    <w:adjustRightInd w:val="0"/>
                    <w:snapToGrid w:val="0"/>
                    <w:jc w:val="right"/>
                    <w:rPr>
                      <w:bCs/>
                      <w:kern w:val="0"/>
                      <w:szCs w:val="21"/>
                    </w:rPr>
                  </w:pPr>
                  <w:r>
                    <w:rPr>
                      <w:bCs/>
                      <w:kern w:val="0"/>
                      <w:szCs w:val="21"/>
                    </w:rPr>
                    <w:t>91,739.95</w:t>
                  </w:r>
                </w:p>
              </w:tc>
              <w:tc>
                <w:tcPr>
                  <w:tcW w:w="1523" w:type="pct"/>
                </w:tcPr>
                <w:p w:rsidR="006B1ED4" w:rsidRDefault="006B1ED4" w:rsidP="006B1ED4">
                  <w:pPr>
                    <w:adjustRightInd w:val="0"/>
                    <w:snapToGrid w:val="0"/>
                    <w:jc w:val="right"/>
                    <w:rPr>
                      <w:bCs/>
                      <w:kern w:val="0"/>
                      <w:szCs w:val="21"/>
                    </w:rPr>
                  </w:pPr>
                  <w:r>
                    <w:rPr>
                      <w:bCs/>
                      <w:kern w:val="0"/>
                      <w:szCs w:val="21"/>
                    </w:rPr>
                    <w:t>91,739.95</w:t>
                  </w:r>
                </w:p>
              </w:tc>
            </w:tr>
            <w:tr w:rsidR="006B1ED4" w:rsidTr="00870676">
              <w:trPr>
                <w:trHeight w:val="397"/>
                <w:jc w:val="center"/>
              </w:trPr>
              <w:tc>
                <w:tcPr>
                  <w:tcW w:w="398" w:type="pct"/>
                </w:tcPr>
                <w:p w:rsidR="006B1ED4" w:rsidRDefault="006B1ED4" w:rsidP="006B1ED4">
                  <w:pPr>
                    <w:adjustRightInd w:val="0"/>
                    <w:snapToGrid w:val="0"/>
                    <w:jc w:val="center"/>
                    <w:rPr>
                      <w:bCs/>
                      <w:kern w:val="0"/>
                      <w:szCs w:val="21"/>
                    </w:rPr>
                  </w:pPr>
                  <w:r>
                    <w:rPr>
                      <w:bCs/>
                      <w:kern w:val="0"/>
                      <w:szCs w:val="21"/>
                    </w:rPr>
                    <w:t>2</w:t>
                  </w:r>
                </w:p>
              </w:tc>
              <w:tc>
                <w:tcPr>
                  <w:tcW w:w="2064" w:type="pct"/>
                </w:tcPr>
                <w:p w:rsidR="006B1ED4" w:rsidRDefault="006B1ED4" w:rsidP="006B1ED4">
                  <w:pPr>
                    <w:adjustRightInd w:val="0"/>
                    <w:snapToGrid w:val="0"/>
                    <w:jc w:val="center"/>
                    <w:rPr>
                      <w:bCs/>
                      <w:kern w:val="0"/>
                      <w:szCs w:val="21"/>
                      <w:lang w:eastAsia="zh-CN"/>
                    </w:rPr>
                  </w:pPr>
                  <w:r>
                    <w:rPr>
                      <w:bCs/>
                      <w:kern w:val="0"/>
                      <w:szCs w:val="21"/>
                      <w:lang w:eastAsia="zh-CN"/>
                    </w:rPr>
                    <w:t>高端精密机床与机器人硬件智造研发项目</w:t>
                  </w:r>
                </w:p>
              </w:tc>
              <w:tc>
                <w:tcPr>
                  <w:tcW w:w="1015" w:type="pct"/>
                </w:tcPr>
                <w:p w:rsidR="006B1ED4" w:rsidRDefault="006B1ED4" w:rsidP="006B1ED4">
                  <w:pPr>
                    <w:adjustRightInd w:val="0"/>
                    <w:snapToGrid w:val="0"/>
                    <w:jc w:val="right"/>
                    <w:rPr>
                      <w:bCs/>
                      <w:kern w:val="0"/>
                      <w:szCs w:val="21"/>
                      <w:lang w:eastAsia="zh-CN"/>
                    </w:rPr>
                  </w:pPr>
                  <w:r>
                    <w:rPr>
                      <w:bCs/>
                      <w:kern w:val="0"/>
                      <w:szCs w:val="21"/>
                      <w:lang w:eastAsia="zh-CN"/>
                    </w:rPr>
                    <w:t>24,960.05</w:t>
                  </w:r>
                </w:p>
              </w:tc>
              <w:tc>
                <w:tcPr>
                  <w:tcW w:w="1523" w:type="pct"/>
                </w:tcPr>
                <w:p w:rsidR="006B1ED4" w:rsidRDefault="006B1ED4" w:rsidP="006B1ED4">
                  <w:pPr>
                    <w:adjustRightInd w:val="0"/>
                    <w:snapToGrid w:val="0"/>
                    <w:jc w:val="right"/>
                    <w:rPr>
                      <w:bCs/>
                      <w:kern w:val="0"/>
                      <w:szCs w:val="21"/>
                      <w:lang w:eastAsia="zh-CN"/>
                    </w:rPr>
                  </w:pPr>
                  <w:r>
                    <w:rPr>
                      <w:bCs/>
                      <w:kern w:val="0"/>
                      <w:szCs w:val="21"/>
                      <w:lang w:eastAsia="zh-CN"/>
                    </w:rPr>
                    <w:t>24,960.05</w:t>
                  </w:r>
                </w:p>
              </w:tc>
            </w:tr>
            <w:tr w:rsidR="006B1ED4" w:rsidTr="00870676">
              <w:trPr>
                <w:trHeight w:val="397"/>
                <w:jc w:val="center"/>
              </w:trPr>
              <w:tc>
                <w:tcPr>
                  <w:tcW w:w="2462" w:type="pct"/>
                  <w:gridSpan w:val="2"/>
                </w:tcPr>
                <w:p w:rsidR="006B1ED4" w:rsidRDefault="006B1ED4" w:rsidP="006B1ED4">
                  <w:pPr>
                    <w:adjustRightInd w:val="0"/>
                    <w:snapToGrid w:val="0"/>
                    <w:jc w:val="center"/>
                    <w:rPr>
                      <w:b/>
                      <w:kern w:val="0"/>
                      <w:szCs w:val="21"/>
                      <w:lang w:eastAsia="zh-CN"/>
                    </w:rPr>
                  </w:pPr>
                  <w:r>
                    <w:rPr>
                      <w:b/>
                      <w:kern w:val="0"/>
                      <w:szCs w:val="21"/>
                      <w:lang w:eastAsia="zh-CN"/>
                    </w:rPr>
                    <w:t>合计</w:t>
                  </w:r>
                </w:p>
              </w:tc>
              <w:tc>
                <w:tcPr>
                  <w:tcW w:w="1015" w:type="pct"/>
                </w:tcPr>
                <w:p w:rsidR="006B1ED4" w:rsidRDefault="006B1ED4" w:rsidP="006B1ED4">
                  <w:pPr>
                    <w:adjustRightInd w:val="0"/>
                    <w:snapToGrid w:val="0"/>
                    <w:jc w:val="right"/>
                    <w:rPr>
                      <w:b/>
                      <w:kern w:val="0"/>
                      <w:szCs w:val="21"/>
                      <w:lang w:eastAsia="zh-CN"/>
                    </w:rPr>
                  </w:pPr>
                  <w:r>
                    <w:rPr>
                      <w:b/>
                      <w:kern w:val="0"/>
                      <w:szCs w:val="21"/>
                      <w:lang w:eastAsia="zh-CN"/>
                    </w:rPr>
                    <w:t>116,700.00</w:t>
                  </w:r>
                </w:p>
              </w:tc>
              <w:tc>
                <w:tcPr>
                  <w:tcW w:w="1523" w:type="pct"/>
                </w:tcPr>
                <w:p w:rsidR="006B1ED4" w:rsidRDefault="006B1ED4" w:rsidP="006B1ED4">
                  <w:pPr>
                    <w:adjustRightInd w:val="0"/>
                    <w:snapToGrid w:val="0"/>
                    <w:jc w:val="right"/>
                    <w:rPr>
                      <w:b/>
                      <w:kern w:val="0"/>
                      <w:szCs w:val="21"/>
                      <w:lang w:eastAsia="zh-CN"/>
                    </w:rPr>
                  </w:pPr>
                  <w:r>
                    <w:rPr>
                      <w:b/>
                      <w:kern w:val="0"/>
                      <w:szCs w:val="21"/>
                      <w:lang w:eastAsia="zh-CN"/>
                    </w:rPr>
                    <w:t>116,700.00</w:t>
                  </w:r>
                </w:p>
              </w:tc>
            </w:tr>
          </w:tbl>
          <w:p w:rsidR="006B1ED4" w:rsidRDefault="006B1ED4" w:rsidP="006B1ED4">
            <w:pPr>
              <w:spacing w:line="360" w:lineRule="auto"/>
              <w:rPr>
                <w:rFonts w:ascii="宋体" w:hAnsi="宋体"/>
                <w:b/>
                <w:sz w:val="24"/>
                <w:szCs w:val="24"/>
              </w:rPr>
            </w:pPr>
            <w:r>
              <w:rPr>
                <w:rFonts w:ascii="宋体" w:hAnsi="宋体" w:hint="eastAsia"/>
                <w:sz w:val="24"/>
                <w:szCs w:val="24"/>
              </w:rPr>
              <w:t>项目建设完成达产后，预计年新增产值</w:t>
            </w:r>
            <w:r>
              <w:rPr>
                <w:rFonts w:ascii="宋体" w:hAnsi="宋体"/>
                <w:sz w:val="24"/>
                <w:szCs w:val="24"/>
              </w:rPr>
              <w:t>107,500.00</w:t>
            </w:r>
            <w:r>
              <w:rPr>
                <w:rFonts w:ascii="宋体" w:hAnsi="宋体" w:hint="eastAsia"/>
                <w:sz w:val="24"/>
                <w:szCs w:val="24"/>
              </w:rPr>
              <w:t>万元、净利润13,912.01万元。</w:t>
            </w:r>
          </w:p>
          <w:p w:rsidR="006B1ED4" w:rsidRDefault="006B1ED4" w:rsidP="006B1ED4">
            <w:pPr>
              <w:pStyle w:val="HTML"/>
              <w:shd w:val="clear" w:color="auto" w:fill="ECF0FB"/>
              <w:spacing w:line="360" w:lineRule="auto"/>
              <w:ind w:firstLineChars="200" w:firstLine="480"/>
              <w:jc w:val="both"/>
              <w:rPr>
                <w:rFonts w:asciiTheme="minorEastAsia" w:eastAsiaTheme="minorEastAsia" w:hAnsiTheme="minorEastAsia" w:cstheme="minorBidi"/>
                <w:b/>
                <w:kern w:val="2"/>
              </w:rPr>
            </w:pPr>
            <w:r>
              <w:rPr>
                <w:rFonts w:hint="eastAsia"/>
              </w:rPr>
              <w:t>本次发行募集资金投资项目均围绕公司主营业务及未来战略布局展开，</w:t>
            </w:r>
            <w:r>
              <w:t>公司全面布局机器人硬件所需的全系列高端机床，旨在全面替代各类进口机床，为机器人产业的爆发做好加工母机的全面支撑，海德曼争取成为主要机器人硬件制造企业的核心机床供应商。</w:t>
            </w:r>
          </w:p>
          <w:p w:rsidR="00922825" w:rsidRDefault="006B1ED4" w:rsidP="006B1ED4">
            <w:pPr>
              <w:pStyle w:val="HTML"/>
              <w:shd w:val="clear" w:color="auto" w:fill="ECF0FB"/>
              <w:spacing w:line="360" w:lineRule="auto"/>
              <w:ind w:firstLineChars="200" w:firstLine="480"/>
              <w:jc w:val="both"/>
              <w:rPr>
                <w:rFonts w:asciiTheme="minorEastAsia" w:eastAsiaTheme="minorEastAsia" w:hAnsiTheme="minorEastAsia" w:cstheme="minorBidi"/>
                <w:kern w:val="2"/>
              </w:rPr>
            </w:pPr>
            <w:r w:rsidRPr="006B1ED4">
              <w:rPr>
                <w:rFonts w:asciiTheme="minorEastAsia" w:eastAsiaTheme="minorEastAsia" w:hAnsiTheme="minorEastAsia" w:cstheme="minorBidi" w:hint="eastAsia"/>
                <w:kern w:val="2"/>
              </w:rPr>
              <w:t>项目目前在做开工前的图纸</w:t>
            </w:r>
            <w:r>
              <w:rPr>
                <w:rFonts w:asciiTheme="minorEastAsia" w:eastAsiaTheme="minorEastAsia" w:hAnsiTheme="minorEastAsia" w:cstheme="minorBidi" w:hint="eastAsia"/>
                <w:kern w:val="2"/>
              </w:rPr>
              <w:t>进一步</w:t>
            </w:r>
            <w:r w:rsidRPr="006B1ED4">
              <w:rPr>
                <w:rFonts w:asciiTheme="minorEastAsia" w:eastAsiaTheme="minorEastAsia" w:hAnsiTheme="minorEastAsia" w:cstheme="minorBidi" w:hint="eastAsia"/>
                <w:kern w:val="2"/>
              </w:rPr>
              <w:t>设计深化工作，</w:t>
            </w:r>
            <w:r w:rsidR="00922825" w:rsidRPr="006B1ED4">
              <w:rPr>
                <w:rFonts w:asciiTheme="minorEastAsia" w:eastAsiaTheme="minorEastAsia" w:hAnsiTheme="minorEastAsia" w:cstheme="minorBidi" w:hint="eastAsia"/>
                <w:kern w:val="2"/>
              </w:rPr>
              <w:t>预计</w:t>
            </w:r>
            <w:r>
              <w:rPr>
                <w:rFonts w:asciiTheme="minorEastAsia" w:eastAsiaTheme="minorEastAsia" w:hAnsiTheme="minorEastAsia" w:cstheme="minorBidi" w:hint="eastAsia"/>
                <w:kern w:val="2"/>
              </w:rPr>
              <w:t>今年</w:t>
            </w:r>
            <w:r w:rsidR="00922825" w:rsidRPr="006B1ED4">
              <w:rPr>
                <w:rFonts w:asciiTheme="minorEastAsia" w:eastAsiaTheme="minorEastAsia" w:hAnsiTheme="minorEastAsia" w:cstheme="minorBidi" w:hint="eastAsia"/>
                <w:kern w:val="2"/>
              </w:rPr>
              <w:t>11</w:t>
            </w:r>
            <w:r w:rsidRPr="006B1ED4">
              <w:rPr>
                <w:rFonts w:asciiTheme="minorEastAsia" w:eastAsiaTheme="minorEastAsia" w:hAnsiTheme="minorEastAsia" w:cstheme="minorBidi"/>
                <w:kern w:val="2"/>
              </w:rPr>
              <w:t>-12</w:t>
            </w:r>
            <w:r w:rsidR="00922825" w:rsidRPr="006B1ED4">
              <w:rPr>
                <w:rFonts w:asciiTheme="minorEastAsia" w:eastAsiaTheme="minorEastAsia" w:hAnsiTheme="minorEastAsia" w:cstheme="minorBidi" w:hint="eastAsia"/>
                <w:kern w:val="2"/>
              </w:rPr>
              <w:t>月</w:t>
            </w:r>
            <w:r w:rsidRPr="006B1ED4">
              <w:rPr>
                <w:rFonts w:asciiTheme="minorEastAsia" w:eastAsiaTheme="minorEastAsia" w:hAnsiTheme="minorEastAsia" w:cstheme="minorBidi" w:hint="eastAsia"/>
                <w:kern w:val="2"/>
              </w:rPr>
              <w:t>份</w:t>
            </w:r>
            <w:r w:rsidR="00922825" w:rsidRPr="006B1ED4">
              <w:rPr>
                <w:rFonts w:asciiTheme="minorEastAsia" w:eastAsiaTheme="minorEastAsia" w:hAnsiTheme="minorEastAsia" w:cstheme="minorBidi" w:hint="eastAsia"/>
                <w:kern w:val="2"/>
              </w:rPr>
              <w:t>开工，</w:t>
            </w:r>
            <w:r w:rsidRPr="006B1ED4">
              <w:rPr>
                <w:rFonts w:asciiTheme="minorEastAsia" w:eastAsiaTheme="minorEastAsia" w:hAnsiTheme="minorEastAsia" w:cstheme="minorBidi" w:hint="eastAsia"/>
                <w:kern w:val="2"/>
              </w:rPr>
              <w:t>建成后产能分别按第一年达产</w:t>
            </w:r>
            <w:r w:rsidR="00922825" w:rsidRPr="006B1ED4">
              <w:rPr>
                <w:rFonts w:asciiTheme="minorEastAsia" w:eastAsiaTheme="minorEastAsia" w:hAnsiTheme="minorEastAsia" w:cstheme="minorBidi" w:hint="eastAsia"/>
                <w:kern w:val="2"/>
              </w:rPr>
              <w:t>60</w:t>
            </w:r>
            <w:r w:rsidRPr="006B1ED4">
              <w:rPr>
                <w:rFonts w:asciiTheme="minorEastAsia" w:eastAsiaTheme="minorEastAsia" w:hAnsiTheme="minorEastAsia" w:cstheme="minorBidi" w:hint="eastAsia"/>
                <w:kern w:val="2"/>
              </w:rPr>
              <w:t>%；第二年达产</w:t>
            </w:r>
            <w:r w:rsidR="00922825" w:rsidRPr="006B1ED4">
              <w:rPr>
                <w:rFonts w:asciiTheme="minorEastAsia" w:eastAsiaTheme="minorEastAsia" w:hAnsiTheme="minorEastAsia" w:cstheme="minorBidi" w:hint="eastAsia"/>
                <w:kern w:val="2"/>
              </w:rPr>
              <w:t>80</w:t>
            </w:r>
            <w:r w:rsidRPr="006B1ED4">
              <w:rPr>
                <w:rFonts w:asciiTheme="minorEastAsia" w:eastAsiaTheme="minorEastAsia" w:hAnsiTheme="minorEastAsia" w:cstheme="minorBidi" w:hint="eastAsia"/>
                <w:kern w:val="2"/>
              </w:rPr>
              <w:t>%；第三年达产</w:t>
            </w:r>
            <w:r w:rsidR="00922825" w:rsidRPr="006B1ED4">
              <w:rPr>
                <w:rFonts w:asciiTheme="minorEastAsia" w:eastAsiaTheme="minorEastAsia" w:hAnsiTheme="minorEastAsia" w:cstheme="minorBidi" w:hint="eastAsia"/>
                <w:kern w:val="2"/>
              </w:rPr>
              <w:t>100%</w:t>
            </w:r>
            <w:r w:rsidRPr="006B1ED4">
              <w:rPr>
                <w:rFonts w:asciiTheme="minorEastAsia" w:eastAsiaTheme="minorEastAsia" w:hAnsiTheme="minorEastAsia" w:cstheme="minorBidi" w:hint="eastAsia"/>
                <w:kern w:val="2"/>
              </w:rPr>
              <w:t>。</w:t>
            </w:r>
          </w:p>
          <w:p w:rsidR="004418E8" w:rsidRDefault="004418E8" w:rsidP="006B1ED4">
            <w:pPr>
              <w:pStyle w:val="HTML"/>
              <w:shd w:val="clear" w:color="auto" w:fill="ECF0FB"/>
              <w:spacing w:line="360" w:lineRule="auto"/>
              <w:ind w:firstLineChars="200" w:firstLine="480"/>
              <w:jc w:val="both"/>
              <w:rPr>
                <w:rFonts w:asciiTheme="minorEastAsia" w:eastAsiaTheme="minorEastAsia" w:hAnsiTheme="minorEastAsia" w:cstheme="minorBidi"/>
                <w:kern w:val="2"/>
              </w:rPr>
            </w:pPr>
          </w:p>
          <w:p w:rsidR="00F91173" w:rsidRDefault="006B1ED4" w:rsidP="006B1ED4">
            <w:pPr>
              <w:pStyle w:val="HTML"/>
              <w:shd w:val="clear" w:color="auto" w:fill="ECF0FB"/>
              <w:spacing w:line="360" w:lineRule="auto"/>
              <w:jc w:val="both"/>
              <w:rPr>
                <w:b/>
              </w:rPr>
            </w:pPr>
            <w:r>
              <w:rPr>
                <w:rFonts w:hint="eastAsia"/>
                <w:b/>
              </w:rPr>
              <w:t>Q</w:t>
            </w:r>
            <w:r>
              <w:rPr>
                <w:b/>
              </w:rPr>
              <w:t>2</w:t>
            </w:r>
            <w:r>
              <w:rPr>
                <w:rFonts w:hint="eastAsia"/>
                <w:b/>
              </w:rPr>
              <w:t xml:space="preserve">: </w:t>
            </w:r>
            <w:r w:rsidR="00F91173">
              <w:rPr>
                <w:rFonts w:hint="eastAsia"/>
                <w:b/>
              </w:rPr>
              <w:t>公司的下游行业中主要由哪些组成？新能源汽车后对公司的影响？</w:t>
            </w:r>
          </w:p>
          <w:p w:rsidR="00EF12FC" w:rsidRDefault="004B6278" w:rsidP="00EF12FC">
            <w:pPr>
              <w:pStyle w:val="HTML"/>
              <w:shd w:val="clear" w:color="auto" w:fill="ECF0FB"/>
              <w:spacing w:line="360" w:lineRule="auto"/>
              <w:jc w:val="both"/>
              <w:rPr>
                <w:rFonts w:asciiTheme="minorEastAsia" w:eastAsiaTheme="minorEastAsia" w:hAnsiTheme="minorEastAsia" w:cstheme="minorBidi"/>
                <w:b/>
                <w:kern w:val="2"/>
              </w:rPr>
            </w:pPr>
            <w:r>
              <w:rPr>
                <w:rFonts w:asciiTheme="minorEastAsia" w:eastAsiaTheme="minorEastAsia" w:hAnsiTheme="minorEastAsia" w:cstheme="minorBidi" w:hint="eastAsia"/>
                <w:kern w:val="2"/>
              </w:rPr>
              <w:t>公司的下游行业主要有：</w:t>
            </w:r>
            <w:r w:rsidR="004418E8" w:rsidRPr="005B6AE3">
              <w:rPr>
                <w:rFonts w:asciiTheme="minorEastAsia" w:eastAsiaTheme="minorEastAsia" w:hAnsiTheme="minorEastAsia"/>
              </w:rPr>
              <w:t>汽车制造、工程机械、通用设备、</w:t>
            </w:r>
            <w:r w:rsidR="004418E8" w:rsidRPr="005B6AE3">
              <w:rPr>
                <w:rFonts w:asciiTheme="minorEastAsia" w:eastAsiaTheme="minorEastAsia" w:hAnsiTheme="minorEastAsia" w:hint="eastAsia"/>
              </w:rPr>
              <w:t>航空航天、</w:t>
            </w:r>
            <w:r w:rsidR="004418E8" w:rsidRPr="005B6AE3">
              <w:rPr>
                <w:rFonts w:asciiTheme="minorEastAsia" w:eastAsiaTheme="minorEastAsia" w:hAnsiTheme="minorEastAsia"/>
              </w:rPr>
              <w:t>军事工业等行业领域。</w:t>
            </w:r>
            <w:r w:rsidR="004418E8">
              <w:rPr>
                <w:rFonts w:asciiTheme="minorEastAsia" w:eastAsiaTheme="minorEastAsia" w:hAnsiTheme="minorEastAsia"/>
              </w:rPr>
              <w:t>上半年</w:t>
            </w:r>
            <w:r w:rsidR="004418E8" w:rsidRPr="00B1094C">
              <w:rPr>
                <w:rFonts w:cs="Calibri" w:hint="eastAsia"/>
                <w:color w:val="000000"/>
              </w:rPr>
              <w:t>AI液冷、机器人、</w:t>
            </w:r>
            <w:r w:rsidR="004418E8">
              <w:rPr>
                <w:rFonts w:cs="Calibri" w:hint="eastAsia"/>
                <w:color w:val="000000"/>
              </w:rPr>
              <w:t>风电</w:t>
            </w:r>
            <w:r w:rsidR="004418E8" w:rsidRPr="00B1094C">
              <w:rPr>
                <w:rFonts w:cs="Calibri" w:hint="eastAsia"/>
                <w:color w:val="000000"/>
              </w:rPr>
              <w:t>等新兴行业</w:t>
            </w:r>
            <w:r w:rsidR="004418E8">
              <w:rPr>
                <w:rFonts w:asciiTheme="minorEastAsia" w:eastAsiaTheme="minorEastAsia" w:hAnsiTheme="minorEastAsia"/>
              </w:rPr>
              <w:t>增速很快，但</w:t>
            </w:r>
            <w:r w:rsidR="00EF12FC" w:rsidRPr="00D53768">
              <w:rPr>
                <w:rFonts w:asciiTheme="minorEastAsia" w:eastAsiaTheme="minorEastAsia" w:hAnsiTheme="minorEastAsia" w:cstheme="minorBidi" w:hint="eastAsia"/>
                <w:kern w:val="2"/>
              </w:rPr>
              <w:t>汽车行业仍占比30%以上</w:t>
            </w:r>
            <w:r w:rsidR="00D53768" w:rsidRPr="00D53768">
              <w:rPr>
                <w:rFonts w:asciiTheme="minorEastAsia" w:eastAsiaTheme="minorEastAsia" w:hAnsiTheme="minorEastAsia" w:cstheme="minorBidi" w:hint="eastAsia"/>
                <w:kern w:val="2"/>
              </w:rPr>
              <w:t>。</w:t>
            </w:r>
          </w:p>
          <w:p w:rsidR="00F91173" w:rsidRDefault="00EF12FC" w:rsidP="006B1ED4">
            <w:pPr>
              <w:pStyle w:val="HTML"/>
              <w:shd w:val="clear" w:color="auto" w:fill="ECF0FB"/>
              <w:spacing w:line="360" w:lineRule="auto"/>
              <w:jc w:val="both"/>
              <w:rPr>
                <w:rFonts w:asciiTheme="minorEastAsia" w:hAnsiTheme="minorEastAsia"/>
              </w:rPr>
            </w:pPr>
            <w:r w:rsidRPr="00AA3F01">
              <w:rPr>
                <w:rFonts w:asciiTheme="minorEastAsia" w:hAnsiTheme="minorEastAsia" w:hint="eastAsia"/>
              </w:rPr>
              <w:t>新能源汽车零部件适合车床加工的主要零件有：动力总成、转向总成、传动总成、刹车总成、轮毂总成等。其中转向总成：轴套、油缸套、转轴等；传动总成：锥齿轮、差速器壳体等；动力总成：电机轴、齿轮、端盖等；轮毂总成：轮毂、轴承零件等；刹车总成：刹车盘等。</w:t>
            </w:r>
            <w:r w:rsidRPr="00AA3F01">
              <w:rPr>
                <w:rFonts w:asciiTheme="minorEastAsia" w:hAnsiTheme="minorEastAsia" w:hint="eastAsia"/>
              </w:rPr>
              <w:lastRenderedPageBreak/>
              <w:t>另外新能源汽车需要大量传感器，这些也是典型的车削加工零件。总之新能源汽车上有大量非常适合车削加工的零件。</w:t>
            </w:r>
          </w:p>
          <w:p w:rsidR="004418E8" w:rsidRDefault="004418E8" w:rsidP="006B1ED4">
            <w:pPr>
              <w:pStyle w:val="HTML"/>
              <w:shd w:val="clear" w:color="auto" w:fill="ECF0FB"/>
              <w:spacing w:line="360" w:lineRule="auto"/>
              <w:jc w:val="both"/>
              <w:rPr>
                <w:b/>
              </w:rPr>
            </w:pPr>
          </w:p>
          <w:p w:rsidR="006B1ED4" w:rsidRDefault="00F91173" w:rsidP="006B1ED4">
            <w:pPr>
              <w:pStyle w:val="HTML"/>
              <w:shd w:val="clear" w:color="auto" w:fill="ECF0FB"/>
              <w:spacing w:line="360" w:lineRule="auto"/>
              <w:jc w:val="both"/>
              <w:rPr>
                <w:rFonts w:asciiTheme="minorEastAsia" w:eastAsiaTheme="minorEastAsia" w:hAnsiTheme="minorEastAsia" w:cstheme="minorBidi"/>
                <w:b/>
                <w:kern w:val="2"/>
              </w:rPr>
            </w:pPr>
            <w:r>
              <w:rPr>
                <w:rFonts w:hint="eastAsia"/>
                <w:b/>
              </w:rPr>
              <w:t>Q</w:t>
            </w:r>
            <w:r>
              <w:rPr>
                <w:b/>
              </w:rPr>
              <w:t>3</w:t>
            </w:r>
            <w:r>
              <w:rPr>
                <w:rFonts w:hint="eastAsia"/>
                <w:b/>
              </w:rPr>
              <w:t>：</w:t>
            </w:r>
            <w:r w:rsidR="009263FA">
              <w:rPr>
                <w:rFonts w:hint="eastAsia"/>
                <w:b/>
              </w:rPr>
              <w:t>2026年上半年</w:t>
            </w:r>
            <w:r>
              <w:rPr>
                <w:rFonts w:hint="eastAsia"/>
                <w:b/>
              </w:rPr>
              <w:t>增长的订单中有哪些新兴行业？占比如何？</w:t>
            </w:r>
            <w:r>
              <w:rPr>
                <w:rFonts w:asciiTheme="minorEastAsia" w:eastAsiaTheme="minorEastAsia" w:hAnsiTheme="minorEastAsia" w:cstheme="minorBidi"/>
                <w:b/>
                <w:kern w:val="2"/>
              </w:rPr>
              <w:t xml:space="preserve"> </w:t>
            </w:r>
          </w:p>
          <w:p w:rsidR="006B1ED4" w:rsidRDefault="009263FA" w:rsidP="006B1ED4">
            <w:pPr>
              <w:pStyle w:val="HTML"/>
              <w:shd w:val="clear" w:color="auto" w:fill="ECF0FB"/>
              <w:spacing w:line="360" w:lineRule="auto"/>
              <w:jc w:val="both"/>
              <w:rPr>
                <w:rFonts w:cs="Calibri"/>
                <w:color w:val="000000"/>
              </w:rPr>
            </w:pPr>
            <w:r w:rsidRPr="00B1094C">
              <w:rPr>
                <w:rFonts w:cs="Calibri" w:hint="eastAsia"/>
                <w:color w:val="000000"/>
              </w:rPr>
              <w:t>2026年上半年AI液冷、机器人、</w:t>
            </w:r>
            <w:r>
              <w:rPr>
                <w:rFonts w:cs="Calibri" w:hint="eastAsia"/>
                <w:color w:val="000000"/>
              </w:rPr>
              <w:t>风电</w:t>
            </w:r>
            <w:r w:rsidRPr="00B1094C">
              <w:rPr>
                <w:rFonts w:cs="Calibri" w:hint="eastAsia"/>
                <w:color w:val="000000"/>
              </w:rPr>
              <w:t>等新兴行业订单增速显著，成为公司业绩增长的重要驱动力。其中AI液冷行业订单同比增长203.96%、机器人行业订单同比增长219.23%、电力行业订单同比增长486.39%，新兴行业订单的快速增长充分印证了公司产品在新兴应用场景中的市场竞争力。</w:t>
            </w:r>
            <w:r w:rsidRPr="00B1094C">
              <w:rPr>
                <w:rFonts w:cs="Calibri"/>
                <w:color w:val="000000"/>
              </w:rPr>
              <w:t>特别是</w:t>
            </w:r>
            <w:r w:rsidRPr="00B1094C">
              <w:rPr>
                <w:rFonts w:cs="Calibri" w:hint="eastAsia"/>
                <w:color w:val="000000"/>
              </w:rPr>
              <w:t>公司的T系列中小规格精密数控车床非常适合液冷行业需求。</w:t>
            </w:r>
          </w:p>
          <w:p w:rsidR="004418E8" w:rsidRPr="009263FA" w:rsidRDefault="004418E8" w:rsidP="006B1ED4">
            <w:pPr>
              <w:pStyle w:val="HTML"/>
              <w:shd w:val="clear" w:color="auto" w:fill="ECF0FB"/>
              <w:spacing w:line="360" w:lineRule="auto"/>
              <w:jc w:val="both"/>
              <w:rPr>
                <w:rFonts w:asciiTheme="minorEastAsia" w:eastAsiaTheme="minorEastAsia" w:hAnsiTheme="minorEastAsia" w:cstheme="minorBidi"/>
                <w:kern w:val="2"/>
              </w:rPr>
            </w:pPr>
          </w:p>
          <w:p w:rsidR="00503DC1" w:rsidRDefault="00F91173" w:rsidP="00F91173">
            <w:pPr>
              <w:pStyle w:val="HTML"/>
              <w:shd w:val="clear" w:color="auto" w:fill="ECF0FB"/>
              <w:spacing w:line="360" w:lineRule="auto"/>
              <w:jc w:val="both"/>
              <w:rPr>
                <w:rFonts w:asciiTheme="minorEastAsia" w:eastAsiaTheme="minorEastAsia" w:hAnsiTheme="minorEastAsia" w:cstheme="minorBidi"/>
                <w:b/>
                <w:kern w:val="2"/>
              </w:rPr>
            </w:pPr>
            <w:r>
              <w:rPr>
                <w:rFonts w:hint="eastAsia"/>
                <w:b/>
              </w:rPr>
              <w:t>Q</w:t>
            </w:r>
            <w:r>
              <w:rPr>
                <w:b/>
              </w:rPr>
              <w:t>4</w:t>
            </w:r>
            <w:r>
              <w:rPr>
                <w:rFonts w:hint="eastAsia"/>
                <w:b/>
              </w:rPr>
              <w:t>：公司</w:t>
            </w:r>
            <w:r w:rsidR="00922825">
              <w:rPr>
                <w:rFonts w:asciiTheme="minorEastAsia" w:eastAsiaTheme="minorEastAsia" w:hAnsiTheme="minorEastAsia" w:cstheme="minorBidi" w:hint="eastAsia"/>
                <w:b/>
                <w:kern w:val="2"/>
              </w:rPr>
              <w:t>机器人的合作模式？五八智能的订单情况？</w:t>
            </w:r>
          </w:p>
          <w:p w:rsidR="00BD0027" w:rsidRDefault="00BD0027" w:rsidP="00F91173">
            <w:pPr>
              <w:pStyle w:val="HTML"/>
              <w:shd w:val="clear" w:color="auto" w:fill="ECF0FB"/>
              <w:spacing w:line="360" w:lineRule="auto"/>
              <w:jc w:val="both"/>
              <w:rPr>
                <w:rFonts w:asciiTheme="minorEastAsia" w:eastAsiaTheme="minorEastAsia" w:hAnsiTheme="minorEastAsia" w:cstheme="minorBidi"/>
                <w:b/>
                <w:kern w:val="2"/>
              </w:rPr>
            </w:pPr>
            <w:r w:rsidRPr="00AC6F3C">
              <w:t>海德曼除了</w:t>
            </w:r>
            <w:r w:rsidR="00D53768">
              <w:t>与</w:t>
            </w:r>
            <w:r w:rsidRPr="00AC6F3C">
              <w:t>矩阵超智</w:t>
            </w:r>
            <w:r w:rsidR="00616E3E">
              <w:t>、</w:t>
            </w:r>
            <w:r w:rsidR="00616E3E" w:rsidRPr="00616E3E">
              <w:rPr>
                <w:rFonts w:asciiTheme="minorEastAsia" w:eastAsiaTheme="minorEastAsia" w:hAnsiTheme="minorEastAsia" w:cstheme="minorBidi" w:hint="eastAsia"/>
                <w:kern w:val="2"/>
              </w:rPr>
              <w:t>五八智能</w:t>
            </w:r>
            <w:r w:rsidR="00D53768">
              <w:t>合作</w:t>
            </w:r>
            <w:r w:rsidRPr="00AC6F3C">
              <w:t>之外，也有其他机器人厂商正在洽谈中相关技术准备工作正在进行</w:t>
            </w:r>
            <w:r w:rsidR="00503DC1">
              <w:t>。</w:t>
            </w:r>
            <w:r w:rsidRPr="00AC6F3C">
              <w:t>公司的主业目前仍以高端数控机床为主。公司</w:t>
            </w:r>
            <w:r w:rsidR="00616E3E" w:rsidRPr="00AC6F3C">
              <w:t>进入该行业</w:t>
            </w:r>
            <w:r w:rsidRPr="00AC6F3C">
              <w:t>基于未来发展的需要及对该行业前景的乐观判断，并结合自身在机床领域的技术优势</w:t>
            </w:r>
            <w:r w:rsidR="00616E3E">
              <w:t>考虑的</w:t>
            </w:r>
            <w:r w:rsidRPr="00AC6F3C">
              <w:t>。</w:t>
            </w:r>
          </w:p>
          <w:p w:rsidR="008E7BEB" w:rsidRDefault="008E7BEB" w:rsidP="008E7BEB">
            <w:pPr>
              <w:spacing w:line="360" w:lineRule="auto"/>
              <w:rPr>
                <w:rFonts w:ascii="宋体" w:hAnsi="宋体"/>
                <w:b/>
                <w:sz w:val="24"/>
                <w:szCs w:val="24"/>
              </w:rPr>
            </w:pPr>
          </w:p>
          <w:p w:rsidR="008E7BEB" w:rsidRDefault="008E7BEB" w:rsidP="008E7BEB">
            <w:pPr>
              <w:spacing w:line="360" w:lineRule="auto"/>
              <w:rPr>
                <w:rFonts w:ascii="宋体" w:hAnsi="宋体"/>
                <w:b/>
                <w:sz w:val="24"/>
                <w:szCs w:val="24"/>
              </w:rPr>
            </w:pPr>
            <w:r>
              <w:rPr>
                <w:rFonts w:ascii="宋体" w:hAnsi="宋体" w:hint="eastAsia"/>
                <w:b/>
                <w:sz w:val="24"/>
                <w:szCs w:val="24"/>
              </w:rPr>
              <w:t>Q</w:t>
            </w:r>
            <w:r w:rsidR="00EF12FC">
              <w:rPr>
                <w:rFonts w:ascii="宋体" w:hAnsi="宋体"/>
                <w:b/>
                <w:sz w:val="24"/>
                <w:szCs w:val="24"/>
              </w:rPr>
              <w:t>5</w:t>
            </w:r>
            <w:r>
              <w:rPr>
                <w:rFonts w:ascii="宋体" w:hAnsi="宋体" w:hint="eastAsia"/>
                <w:b/>
                <w:sz w:val="24"/>
                <w:szCs w:val="24"/>
              </w:rPr>
              <w:t>：</w:t>
            </w:r>
            <w:r w:rsidR="004B6278">
              <w:rPr>
                <w:rFonts w:ascii="宋体" w:hAnsi="宋体" w:hint="eastAsia"/>
                <w:b/>
                <w:sz w:val="24"/>
                <w:szCs w:val="24"/>
              </w:rPr>
              <w:t>子公司金雨跃</w:t>
            </w:r>
            <w:r>
              <w:rPr>
                <w:rFonts w:ascii="宋体" w:hAnsi="宋体" w:hint="eastAsia"/>
                <w:b/>
                <w:sz w:val="24"/>
                <w:szCs w:val="24"/>
              </w:rPr>
              <w:t>对</w:t>
            </w:r>
            <w:r w:rsidR="004B6278">
              <w:rPr>
                <w:rFonts w:ascii="宋体" w:hAnsi="宋体" w:hint="eastAsia"/>
                <w:b/>
                <w:sz w:val="24"/>
                <w:szCs w:val="24"/>
              </w:rPr>
              <w:t>公司</w:t>
            </w:r>
            <w:r>
              <w:rPr>
                <w:rFonts w:ascii="宋体" w:hAnsi="宋体" w:hint="eastAsia"/>
                <w:b/>
                <w:sz w:val="24"/>
                <w:szCs w:val="24"/>
              </w:rPr>
              <w:t>的业绩影响</w:t>
            </w:r>
            <w:r w:rsidR="004B6278">
              <w:rPr>
                <w:rFonts w:ascii="宋体" w:hAnsi="宋体" w:hint="eastAsia"/>
                <w:b/>
                <w:sz w:val="24"/>
                <w:szCs w:val="24"/>
              </w:rPr>
              <w:t>如何</w:t>
            </w:r>
            <w:r>
              <w:rPr>
                <w:rFonts w:ascii="宋体" w:hAnsi="宋体" w:hint="eastAsia"/>
                <w:b/>
                <w:sz w:val="24"/>
                <w:szCs w:val="24"/>
              </w:rPr>
              <w:t>？</w:t>
            </w:r>
          </w:p>
          <w:p w:rsidR="008E7BEB" w:rsidRDefault="008E7BEB" w:rsidP="008E7BEB">
            <w:pPr>
              <w:spacing w:line="360" w:lineRule="auto"/>
              <w:rPr>
                <w:rFonts w:ascii="宋体" w:hAnsi="宋体"/>
                <w:sz w:val="24"/>
                <w:szCs w:val="24"/>
              </w:rPr>
            </w:pPr>
            <w:r>
              <w:rPr>
                <w:rFonts w:ascii="宋体" w:hAnsi="宋体" w:hint="eastAsia"/>
                <w:sz w:val="24"/>
                <w:szCs w:val="24"/>
              </w:rPr>
              <w:t>公司控股子公司成都金雨跃机械有限公司是一家具有军工资质的高新技术企业。2023年-2025年，受军工行业市场需求波动等因素影响，成都金雨跃呈亏损状态，叠加计提的商誉减值损失，成都金雨跃拖累了公司整体业绩。2025年四季度以来，公司持续推动该子公司进行业务转型，目前经营状况已有</w:t>
            </w:r>
            <w:r>
              <w:rPr>
                <w:rFonts w:ascii="宋体" w:hAnsi="宋体"/>
                <w:sz w:val="24"/>
                <w:szCs w:val="24"/>
              </w:rPr>
              <w:t>明显</w:t>
            </w:r>
            <w:r>
              <w:rPr>
                <w:rFonts w:ascii="宋体" w:hAnsi="宋体" w:hint="eastAsia"/>
                <w:sz w:val="24"/>
                <w:szCs w:val="24"/>
              </w:rPr>
              <w:t>改善</w:t>
            </w:r>
            <w:r>
              <w:rPr>
                <w:rFonts w:ascii="宋体" w:hAnsi="宋体"/>
                <w:sz w:val="24"/>
                <w:szCs w:val="24"/>
              </w:rPr>
              <w:t>，</w:t>
            </w:r>
            <w:r w:rsidR="00432FDD">
              <w:rPr>
                <w:rFonts w:ascii="宋体" w:hAnsi="宋体" w:hint="eastAsia"/>
                <w:sz w:val="24"/>
                <w:szCs w:val="24"/>
              </w:rPr>
              <w:t>未来一</w:t>
            </w:r>
            <w:r>
              <w:rPr>
                <w:rFonts w:ascii="宋体" w:hAnsi="宋体"/>
                <w:sz w:val="24"/>
                <w:szCs w:val="24"/>
              </w:rPr>
              <w:t>年有望止亏为盈</w:t>
            </w:r>
            <w:r>
              <w:rPr>
                <w:rFonts w:ascii="宋体" w:hAnsi="宋体" w:hint="eastAsia"/>
                <w:sz w:val="24"/>
                <w:szCs w:val="24"/>
              </w:rPr>
              <w:t>。</w:t>
            </w:r>
          </w:p>
          <w:p w:rsidR="00DB0BE2" w:rsidRPr="0073564B" w:rsidRDefault="00DB0BE2" w:rsidP="008E7BEB">
            <w:pPr>
              <w:pStyle w:val="HTML"/>
              <w:shd w:val="clear" w:color="auto" w:fill="ECF0FB"/>
              <w:spacing w:line="360" w:lineRule="auto"/>
              <w:ind w:firstLineChars="200" w:firstLine="480"/>
              <w:jc w:val="both"/>
              <w:rPr>
                <w:rFonts w:asciiTheme="minorEastAsia" w:eastAsiaTheme="minorEastAsia" w:hAnsiTheme="minorEastAsia" w:cstheme="minorBidi"/>
                <w:kern w:val="2"/>
              </w:rPr>
            </w:pPr>
          </w:p>
        </w:tc>
      </w:tr>
      <w:tr w:rsidR="00DB0BE2">
        <w:tc>
          <w:tcPr>
            <w:tcW w:w="1702" w:type="dxa"/>
            <w:shd w:val="clear" w:color="auto" w:fill="auto"/>
            <w:vAlign w:val="center"/>
          </w:tcPr>
          <w:p w:rsidR="00DB0BE2" w:rsidRDefault="00FD75B6">
            <w:pPr>
              <w:spacing w:line="360" w:lineRule="auto"/>
              <w:rPr>
                <w:rFonts w:ascii="宋体" w:eastAsia="宋体" w:hAnsi="宋体" w:cs="Times New Roman"/>
                <w:b/>
                <w:bCs/>
                <w:iCs/>
                <w:sz w:val="24"/>
                <w:szCs w:val="24"/>
              </w:rPr>
            </w:pPr>
            <w:r>
              <w:rPr>
                <w:rFonts w:ascii="宋体" w:eastAsia="宋体" w:hAnsi="宋体" w:cs="Times New Roman" w:hint="eastAsia"/>
                <w:b/>
                <w:bCs/>
                <w:iCs/>
                <w:sz w:val="24"/>
                <w:szCs w:val="24"/>
              </w:rPr>
              <w:lastRenderedPageBreak/>
              <w:t>附件清单（如有）</w:t>
            </w:r>
          </w:p>
        </w:tc>
        <w:tc>
          <w:tcPr>
            <w:tcW w:w="7371" w:type="dxa"/>
            <w:shd w:val="clear" w:color="auto" w:fill="auto"/>
            <w:vAlign w:val="center"/>
          </w:tcPr>
          <w:p w:rsidR="00DB0BE2" w:rsidRDefault="00FD75B6">
            <w:pPr>
              <w:spacing w:line="360" w:lineRule="auto"/>
              <w:rPr>
                <w:rFonts w:ascii="宋体" w:eastAsia="宋体" w:hAnsi="宋体" w:cs="Times New Roman"/>
                <w:bCs/>
                <w:iCs/>
                <w:sz w:val="24"/>
                <w:szCs w:val="24"/>
              </w:rPr>
            </w:pPr>
            <w:r>
              <w:rPr>
                <w:rFonts w:ascii="宋体" w:eastAsia="宋体" w:hAnsi="宋体" w:cs="Times New Roman" w:hint="eastAsia"/>
                <w:bCs/>
                <w:iCs/>
                <w:sz w:val="24"/>
                <w:szCs w:val="24"/>
              </w:rPr>
              <w:t>无</w:t>
            </w:r>
          </w:p>
        </w:tc>
      </w:tr>
      <w:tr w:rsidR="00DB0BE2">
        <w:tc>
          <w:tcPr>
            <w:tcW w:w="1702" w:type="dxa"/>
            <w:shd w:val="clear" w:color="auto" w:fill="auto"/>
            <w:vAlign w:val="center"/>
          </w:tcPr>
          <w:p w:rsidR="00DB0BE2" w:rsidRDefault="00FD75B6">
            <w:pPr>
              <w:spacing w:line="360" w:lineRule="auto"/>
              <w:rPr>
                <w:rFonts w:ascii="宋体" w:eastAsia="宋体" w:hAnsi="宋体" w:cs="Times New Roman"/>
                <w:b/>
                <w:bCs/>
                <w:iCs/>
                <w:sz w:val="24"/>
                <w:szCs w:val="24"/>
              </w:rPr>
            </w:pPr>
            <w:r>
              <w:rPr>
                <w:rFonts w:ascii="宋体" w:eastAsia="宋体" w:hAnsi="宋体" w:cs="Times New Roman" w:hint="eastAsia"/>
                <w:b/>
                <w:bCs/>
                <w:iCs/>
                <w:sz w:val="24"/>
                <w:szCs w:val="24"/>
              </w:rPr>
              <w:t>日期</w:t>
            </w:r>
          </w:p>
        </w:tc>
        <w:tc>
          <w:tcPr>
            <w:tcW w:w="7371" w:type="dxa"/>
            <w:shd w:val="clear" w:color="auto" w:fill="auto"/>
            <w:vAlign w:val="center"/>
          </w:tcPr>
          <w:p w:rsidR="00DB0BE2" w:rsidRDefault="00FD75B6" w:rsidP="004418E8">
            <w:pPr>
              <w:spacing w:line="360" w:lineRule="auto"/>
              <w:rPr>
                <w:rFonts w:ascii="宋体" w:eastAsia="宋体" w:hAnsi="宋体" w:cs="Times New Roman"/>
                <w:iCs/>
                <w:sz w:val="24"/>
                <w:szCs w:val="24"/>
              </w:rPr>
            </w:pPr>
            <w:r>
              <w:rPr>
                <w:rFonts w:ascii="宋体" w:eastAsia="宋体" w:hAnsi="宋体" w:cs="Times New Roman" w:hint="eastAsia"/>
                <w:iCs/>
                <w:sz w:val="24"/>
                <w:szCs w:val="24"/>
              </w:rPr>
              <w:t>202</w:t>
            </w:r>
            <w:r w:rsidR="000C2571">
              <w:rPr>
                <w:rFonts w:ascii="宋体" w:eastAsia="宋体" w:hAnsi="宋体" w:cs="Times New Roman"/>
                <w:iCs/>
                <w:sz w:val="24"/>
                <w:szCs w:val="24"/>
              </w:rPr>
              <w:t>6</w:t>
            </w:r>
            <w:r>
              <w:rPr>
                <w:rFonts w:ascii="宋体" w:eastAsia="宋体" w:hAnsi="宋体" w:cs="Times New Roman" w:hint="eastAsia"/>
                <w:iCs/>
                <w:sz w:val="24"/>
                <w:szCs w:val="24"/>
              </w:rPr>
              <w:t>年</w:t>
            </w:r>
            <w:r w:rsidR="00A852F4">
              <w:rPr>
                <w:rFonts w:ascii="宋体" w:eastAsia="宋体" w:hAnsi="宋体" w:cs="Times New Roman"/>
                <w:iCs/>
                <w:sz w:val="24"/>
                <w:szCs w:val="24"/>
              </w:rPr>
              <w:t>9</w:t>
            </w:r>
            <w:r>
              <w:rPr>
                <w:rFonts w:ascii="宋体" w:eastAsia="宋体" w:hAnsi="宋体" w:cs="Times New Roman" w:hint="eastAsia"/>
                <w:iCs/>
                <w:sz w:val="24"/>
                <w:szCs w:val="24"/>
              </w:rPr>
              <w:t>月</w:t>
            </w:r>
            <w:r w:rsidR="004418E8">
              <w:rPr>
                <w:rFonts w:ascii="宋体" w:eastAsia="宋体" w:hAnsi="宋体" w:cs="Times New Roman"/>
                <w:iCs/>
                <w:sz w:val="24"/>
                <w:szCs w:val="24"/>
              </w:rPr>
              <w:t>4</w:t>
            </w:r>
            <w:r>
              <w:rPr>
                <w:rFonts w:ascii="宋体" w:eastAsia="宋体" w:hAnsi="宋体" w:cs="Times New Roman" w:hint="eastAsia"/>
                <w:iCs/>
                <w:sz w:val="24"/>
                <w:szCs w:val="24"/>
              </w:rPr>
              <w:t>日</w:t>
            </w:r>
          </w:p>
        </w:tc>
      </w:tr>
    </w:tbl>
    <w:p w:rsidR="00DB0BE2" w:rsidRDefault="00DB0BE2">
      <w:pPr>
        <w:keepNext/>
        <w:keepLines/>
        <w:spacing w:before="260" w:after="260" w:line="360" w:lineRule="auto"/>
        <w:outlineLvl w:val="1"/>
      </w:pPr>
    </w:p>
    <w:sectPr w:rsidR="00DB0BE2">
      <w:footerReference w:type="default" r:id="rId9"/>
      <w:pgSz w:w="11906" w:h="16838"/>
      <w:pgMar w:top="1134"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49D2" w:rsidRDefault="00D749D2">
      <w:r>
        <w:separator/>
      </w:r>
    </w:p>
  </w:endnote>
  <w:endnote w:type="continuationSeparator" w:id="0">
    <w:p w:rsidR="00D749D2" w:rsidRDefault="00D749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Noto Sans CJK JP Regular">
    <w:altName w:val="微软雅黑"/>
    <w:charset w:val="86"/>
    <w:family w:val="swiss"/>
    <w:pitch w:val="default"/>
    <w:sig w:usb0="00000000" w:usb1="00000000" w:usb2="00000016" w:usb3="00000000" w:csb0="002E0107"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38132165"/>
      <w:docPartObj>
        <w:docPartGallery w:val="AutoText"/>
      </w:docPartObj>
    </w:sdtPr>
    <w:sdtEndPr/>
    <w:sdtContent>
      <w:p w:rsidR="00DB0BE2" w:rsidRDefault="00FD75B6">
        <w:pPr>
          <w:pStyle w:val="a7"/>
          <w:jc w:val="center"/>
        </w:pPr>
        <w:r>
          <w:fldChar w:fldCharType="begin"/>
        </w:r>
        <w:r>
          <w:instrText>PAGE   \* MERGEFORMAT</w:instrText>
        </w:r>
        <w:r>
          <w:fldChar w:fldCharType="separate"/>
        </w:r>
        <w:r w:rsidR="006709FC" w:rsidRPr="006709FC">
          <w:rPr>
            <w:noProof/>
            <w:lang w:val="zh-CN"/>
          </w:rPr>
          <w:t>3</w:t>
        </w:r>
        <w:r>
          <w:fldChar w:fldCharType="end"/>
        </w:r>
      </w:p>
    </w:sdtContent>
  </w:sdt>
  <w:p w:rsidR="00DB0BE2" w:rsidRDefault="00DB0BE2">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49D2" w:rsidRDefault="00D749D2">
      <w:r>
        <w:separator/>
      </w:r>
    </w:p>
  </w:footnote>
  <w:footnote w:type="continuationSeparator" w:id="0">
    <w:p w:rsidR="00D749D2" w:rsidRDefault="00D749D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26F415F"/>
    <w:multiLevelType w:val="hybridMultilevel"/>
    <w:tmpl w:val="B7166200"/>
    <w:lvl w:ilvl="0" w:tplc="A104BA9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26CD"/>
    <w:rsid w:val="0000466C"/>
    <w:rsid w:val="00007952"/>
    <w:rsid w:val="000114D7"/>
    <w:rsid w:val="00014EDC"/>
    <w:rsid w:val="00014F2A"/>
    <w:rsid w:val="000206B3"/>
    <w:rsid w:val="00020D30"/>
    <w:rsid w:val="00021F69"/>
    <w:rsid w:val="00022E9B"/>
    <w:rsid w:val="000231C2"/>
    <w:rsid w:val="00023F7B"/>
    <w:rsid w:val="00025853"/>
    <w:rsid w:val="000269F1"/>
    <w:rsid w:val="00026CD7"/>
    <w:rsid w:val="00026E2B"/>
    <w:rsid w:val="000270E5"/>
    <w:rsid w:val="000333DF"/>
    <w:rsid w:val="00035C3F"/>
    <w:rsid w:val="00042C46"/>
    <w:rsid w:val="000444E5"/>
    <w:rsid w:val="0004566B"/>
    <w:rsid w:val="000521F8"/>
    <w:rsid w:val="00052470"/>
    <w:rsid w:val="000528A8"/>
    <w:rsid w:val="0005377F"/>
    <w:rsid w:val="00053BB8"/>
    <w:rsid w:val="0005452E"/>
    <w:rsid w:val="0005465B"/>
    <w:rsid w:val="00056412"/>
    <w:rsid w:val="00056F25"/>
    <w:rsid w:val="00057754"/>
    <w:rsid w:val="00063DB5"/>
    <w:rsid w:val="0006434F"/>
    <w:rsid w:val="00067C4C"/>
    <w:rsid w:val="00070593"/>
    <w:rsid w:val="00070C3B"/>
    <w:rsid w:val="00071B11"/>
    <w:rsid w:val="00072AA0"/>
    <w:rsid w:val="000737A9"/>
    <w:rsid w:val="0007657C"/>
    <w:rsid w:val="00081B36"/>
    <w:rsid w:val="000828F8"/>
    <w:rsid w:val="00082ABB"/>
    <w:rsid w:val="000840A7"/>
    <w:rsid w:val="00086C90"/>
    <w:rsid w:val="000A65EF"/>
    <w:rsid w:val="000A7A6E"/>
    <w:rsid w:val="000B4CD5"/>
    <w:rsid w:val="000B6FFD"/>
    <w:rsid w:val="000B7A41"/>
    <w:rsid w:val="000C0D0B"/>
    <w:rsid w:val="000C2571"/>
    <w:rsid w:val="000C2F52"/>
    <w:rsid w:val="000C3D1F"/>
    <w:rsid w:val="000F051A"/>
    <w:rsid w:val="000F6BEB"/>
    <w:rsid w:val="00103C4E"/>
    <w:rsid w:val="001048F6"/>
    <w:rsid w:val="0010705D"/>
    <w:rsid w:val="001110D1"/>
    <w:rsid w:val="00111EF4"/>
    <w:rsid w:val="00113C72"/>
    <w:rsid w:val="00114CEA"/>
    <w:rsid w:val="001221B8"/>
    <w:rsid w:val="00124694"/>
    <w:rsid w:val="001304EB"/>
    <w:rsid w:val="001319D9"/>
    <w:rsid w:val="001334C1"/>
    <w:rsid w:val="001354C7"/>
    <w:rsid w:val="00136BC5"/>
    <w:rsid w:val="001420C4"/>
    <w:rsid w:val="00142C7D"/>
    <w:rsid w:val="00143A57"/>
    <w:rsid w:val="00143F14"/>
    <w:rsid w:val="00145DD1"/>
    <w:rsid w:val="0014615C"/>
    <w:rsid w:val="00146F6A"/>
    <w:rsid w:val="00150334"/>
    <w:rsid w:val="00151B55"/>
    <w:rsid w:val="00155053"/>
    <w:rsid w:val="00164712"/>
    <w:rsid w:val="001672FF"/>
    <w:rsid w:val="001725E3"/>
    <w:rsid w:val="001819EF"/>
    <w:rsid w:val="00182ED0"/>
    <w:rsid w:val="00186DBB"/>
    <w:rsid w:val="00190CED"/>
    <w:rsid w:val="0019367F"/>
    <w:rsid w:val="00195535"/>
    <w:rsid w:val="00195D37"/>
    <w:rsid w:val="001965A6"/>
    <w:rsid w:val="0019718B"/>
    <w:rsid w:val="001A125C"/>
    <w:rsid w:val="001A20E2"/>
    <w:rsid w:val="001B00D8"/>
    <w:rsid w:val="001B011E"/>
    <w:rsid w:val="001B1598"/>
    <w:rsid w:val="001B4177"/>
    <w:rsid w:val="001B508F"/>
    <w:rsid w:val="001B7B58"/>
    <w:rsid w:val="001B7CE6"/>
    <w:rsid w:val="001D4AAA"/>
    <w:rsid w:val="001D5222"/>
    <w:rsid w:val="001D7A5D"/>
    <w:rsid w:val="001E14D1"/>
    <w:rsid w:val="001E2BC5"/>
    <w:rsid w:val="001E5E64"/>
    <w:rsid w:val="001E7F7C"/>
    <w:rsid w:val="001F2572"/>
    <w:rsid w:val="001F437E"/>
    <w:rsid w:val="001F5B62"/>
    <w:rsid w:val="001F7172"/>
    <w:rsid w:val="002007CE"/>
    <w:rsid w:val="002037F8"/>
    <w:rsid w:val="002118DC"/>
    <w:rsid w:val="002124B0"/>
    <w:rsid w:val="002128C9"/>
    <w:rsid w:val="0021482D"/>
    <w:rsid w:val="00214C8F"/>
    <w:rsid w:val="002163AC"/>
    <w:rsid w:val="0022280F"/>
    <w:rsid w:val="002256EF"/>
    <w:rsid w:val="002278FB"/>
    <w:rsid w:val="00232813"/>
    <w:rsid w:val="00234237"/>
    <w:rsid w:val="00234D03"/>
    <w:rsid w:val="00241ADA"/>
    <w:rsid w:val="002441E8"/>
    <w:rsid w:val="00251EF8"/>
    <w:rsid w:val="002525E9"/>
    <w:rsid w:val="0025271B"/>
    <w:rsid w:val="00253395"/>
    <w:rsid w:val="002537EC"/>
    <w:rsid w:val="0025489E"/>
    <w:rsid w:val="00255B4A"/>
    <w:rsid w:val="00256250"/>
    <w:rsid w:val="00256AA9"/>
    <w:rsid w:val="00263DBF"/>
    <w:rsid w:val="002650F9"/>
    <w:rsid w:val="00265493"/>
    <w:rsid w:val="00267056"/>
    <w:rsid w:val="002703F5"/>
    <w:rsid w:val="00272C27"/>
    <w:rsid w:val="002739C7"/>
    <w:rsid w:val="00273BE7"/>
    <w:rsid w:val="00273D9E"/>
    <w:rsid w:val="00280CF9"/>
    <w:rsid w:val="0028148B"/>
    <w:rsid w:val="002845C7"/>
    <w:rsid w:val="00285C6E"/>
    <w:rsid w:val="0028651D"/>
    <w:rsid w:val="00286F7B"/>
    <w:rsid w:val="00287001"/>
    <w:rsid w:val="0029158A"/>
    <w:rsid w:val="0029285E"/>
    <w:rsid w:val="00293FBB"/>
    <w:rsid w:val="00295236"/>
    <w:rsid w:val="002A15B6"/>
    <w:rsid w:val="002A5452"/>
    <w:rsid w:val="002B0AD4"/>
    <w:rsid w:val="002B3E34"/>
    <w:rsid w:val="002B6352"/>
    <w:rsid w:val="002B75F5"/>
    <w:rsid w:val="002C0B14"/>
    <w:rsid w:val="002C1886"/>
    <w:rsid w:val="002C1C3B"/>
    <w:rsid w:val="002C23DD"/>
    <w:rsid w:val="002C3664"/>
    <w:rsid w:val="002C3773"/>
    <w:rsid w:val="002C3AD1"/>
    <w:rsid w:val="002C5368"/>
    <w:rsid w:val="002D15D1"/>
    <w:rsid w:val="002D3578"/>
    <w:rsid w:val="002D3753"/>
    <w:rsid w:val="002E1832"/>
    <w:rsid w:val="002E4187"/>
    <w:rsid w:val="002F19BA"/>
    <w:rsid w:val="002F1B04"/>
    <w:rsid w:val="002F380E"/>
    <w:rsid w:val="002F4C46"/>
    <w:rsid w:val="002F6EAD"/>
    <w:rsid w:val="00301F48"/>
    <w:rsid w:val="00302A1F"/>
    <w:rsid w:val="00302E46"/>
    <w:rsid w:val="003063B2"/>
    <w:rsid w:val="00307607"/>
    <w:rsid w:val="00307EC1"/>
    <w:rsid w:val="0031032E"/>
    <w:rsid w:val="003131C3"/>
    <w:rsid w:val="003134D4"/>
    <w:rsid w:val="0031371B"/>
    <w:rsid w:val="003148A1"/>
    <w:rsid w:val="00320D9D"/>
    <w:rsid w:val="00320EA7"/>
    <w:rsid w:val="00322B7F"/>
    <w:rsid w:val="0032400F"/>
    <w:rsid w:val="00327CE4"/>
    <w:rsid w:val="003330DA"/>
    <w:rsid w:val="00336191"/>
    <w:rsid w:val="00340A0E"/>
    <w:rsid w:val="003413FD"/>
    <w:rsid w:val="00341DFF"/>
    <w:rsid w:val="003463DB"/>
    <w:rsid w:val="00347B43"/>
    <w:rsid w:val="003508D5"/>
    <w:rsid w:val="003524BC"/>
    <w:rsid w:val="00352BAE"/>
    <w:rsid w:val="0035572A"/>
    <w:rsid w:val="00355CC6"/>
    <w:rsid w:val="00357C40"/>
    <w:rsid w:val="003626E4"/>
    <w:rsid w:val="00362CD0"/>
    <w:rsid w:val="00363384"/>
    <w:rsid w:val="0036477E"/>
    <w:rsid w:val="00367B2E"/>
    <w:rsid w:val="0037038A"/>
    <w:rsid w:val="003722F1"/>
    <w:rsid w:val="0037245D"/>
    <w:rsid w:val="003755C6"/>
    <w:rsid w:val="00376EB2"/>
    <w:rsid w:val="0038034C"/>
    <w:rsid w:val="00380666"/>
    <w:rsid w:val="003843E3"/>
    <w:rsid w:val="00384AA1"/>
    <w:rsid w:val="00385D44"/>
    <w:rsid w:val="00386F86"/>
    <w:rsid w:val="0039703B"/>
    <w:rsid w:val="00397642"/>
    <w:rsid w:val="003A2EB2"/>
    <w:rsid w:val="003A5BDA"/>
    <w:rsid w:val="003B13A4"/>
    <w:rsid w:val="003B1A94"/>
    <w:rsid w:val="003B447F"/>
    <w:rsid w:val="003C0892"/>
    <w:rsid w:val="003C1AEC"/>
    <w:rsid w:val="003D2A88"/>
    <w:rsid w:val="003D2F73"/>
    <w:rsid w:val="003D3FDE"/>
    <w:rsid w:val="003D40E0"/>
    <w:rsid w:val="003D56AF"/>
    <w:rsid w:val="003D617B"/>
    <w:rsid w:val="003D6EFE"/>
    <w:rsid w:val="003E11FC"/>
    <w:rsid w:val="003E5A11"/>
    <w:rsid w:val="003F2A5A"/>
    <w:rsid w:val="003F469D"/>
    <w:rsid w:val="003F63E3"/>
    <w:rsid w:val="003F6D0B"/>
    <w:rsid w:val="00400128"/>
    <w:rsid w:val="004005E7"/>
    <w:rsid w:val="00400B90"/>
    <w:rsid w:val="0040142B"/>
    <w:rsid w:val="00404723"/>
    <w:rsid w:val="004106EC"/>
    <w:rsid w:val="00411262"/>
    <w:rsid w:val="00412CBC"/>
    <w:rsid w:val="00413D7B"/>
    <w:rsid w:val="00415FC4"/>
    <w:rsid w:val="00420071"/>
    <w:rsid w:val="0042182D"/>
    <w:rsid w:val="00425BB1"/>
    <w:rsid w:val="00432964"/>
    <w:rsid w:val="00432FDD"/>
    <w:rsid w:val="00433835"/>
    <w:rsid w:val="00433A76"/>
    <w:rsid w:val="00433E91"/>
    <w:rsid w:val="00435A78"/>
    <w:rsid w:val="00437A33"/>
    <w:rsid w:val="004418E8"/>
    <w:rsid w:val="004448A2"/>
    <w:rsid w:val="00454D0E"/>
    <w:rsid w:val="00456546"/>
    <w:rsid w:val="00461D2F"/>
    <w:rsid w:val="00466E72"/>
    <w:rsid w:val="004679E4"/>
    <w:rsid w:val="00467B9C"/>
    <w:rsid w:val="00470346"/>
    <w:rsid w:val="00470E79"/>
    <w:rsid w:val="00472F77"/>
    <w:rsid w:val="00473F91"/>
    <w:rsid w:val="0047797D"/>
    <w:rsid w:val="00480517"/>
    <w:rsid w:val="004811C8"/>
    <w:rsid w:val="00482D5D"/>
    <w:rsid w:val="00482D8F"/>
    <w:rsid w:val="00484E51"/>
    <w:rsid w:val="004852E3"/>
    <w:rsid w:val="004859A7"/>
    <w:rsid w:val="00491803"/>
    <w:rsid w:val="004932F9"/>
    <w:rsid w:val="00493994"/>
    <w:rsid w:val="00495655"/>
    <w:rsid w:val="004A0B05"/>
    <w:rsid w:val="004A0DEE"/>
    <w:rsid w:val="004A1E30"/>
    <w:rsid w:val="004A2928"/>
    <w:rsid w:val="004A58CB"/>
    <w:rsid w:val="004A5D23"/>
    <w:rsid w:val="004A5F3C"/>
    <w:rsid w:val="004B1804"/>
    <w:rsid w:val="004B291F"/>
    <w:rsid w:val="004B500C"/>
    <w:rsid w:val="004B6278"/>
    <w:rsid w:val="004B6501"/>
    <w:rsid w:val="004B7060"/>
    <w:rsid w:val="004C04DD"/>
    <w:rsid w:val="004C3E41"/>
    <w:rsid w:val="004C6956"/>
    <w:rsid w:val="004C7DA5"/>
    <w:rsid w:val="004D4156"/>
    <w:rsid w:val="004D4C08"/>
    <w:rsid w:val="004D5EE0"/>
    <w:rsid w:val="004D614E"/>
    <w:rsid w:val="004E0830"/>
    <w:rsid w:val="004E25DD"/>
    <w:rsid w:val="004E4CBB"/>
    <w:rsid w:val="004F5C3F"/>
    <w:rsid w:val="004F7CEC"/>
    <w:rsid w:val="0050233E"/>
    <w:rsid w:val="00503DC1"/>
    <w:rsid w:val="00504DF9"/>
    <w:rsid w:val="00506B34"/>
    <w:rsid w:val="00507071"/>
    <w:rsid w:val="00510286"/>
    <w:rsid w:val="00513D5E"/>
    <w:rsid w:val="00524D04"/>
    <w:rsid w:val="00534BB8"/>
    <w:rsid w:val="00534D66"/>
    <w:rsid w:val="0053581D"/>
    <w:rsid w:val="0054404C"/>
    <w:rsid w:val="00545C51"/>
    <w:rsid w:val="0055292A"/>
    <w:rsid w:val="00557944"/>
    <w:rsid w:val="00561718"/>
    <w:rsid w:val="005623FE"/>
    <w:rsid w:val="00562786"/>
    <w:rsid w:val="00566471"/>
    <w:rsid w:val="00572A6D"/>
    <w:rsid w:val="00574021"/>
    <w:rsid w:val="00581932"/>
    <w:rsid w:val="00582D78"/>
    <w:rsid w:val="005843CC"/>
    <w:rsid w:val="00584526"/>
    <w:rsid w:val="00584CC7"/>
    <w:rsid w:val="00584D8F"/>
    <w:rsid w:val="00586CDE"/>
    <w:rsid w:val="00586ED6"/>
    <w:rsid w:val="00587C31"/>
    <w:rsid w:val="00587DAB"/>
    <w:rsid w:val="0059049C"/>
    <w:rsid w:val="00590A79"/>
    <w:rsid w:val="00590B8E"/>
    <w:rsid w:val="00590DC4"/>
    <w:rsid w:val="005917EA"/>
    <w:rsid w:val="005953E9"/>
    <w:rsid w:val="00595953"/>
    <w:rsid w:val="00596D45"/>
    <w:rsid w:val="005A0CBE"/>
    <w:rsid w:val="005A17E4"/>
    <w:rsid w:val="005A3C90"/>
    <w:rsid w:val="005A3CFE"/>
    <w:rsid w:val="005A4D77"/>
    <w:rsid w:val="005A7D59"/>
    <w:rsid w:val="005B17EF"/>
    <w:rsid w:val="005B3A47"/>
    <w:rsid w:val="005B3D04"/>
    <w:rsid w:val="005B44FE"/>
    <w:rsid w:val="005B628F"/>
    <w:rsid w:val="005C19C5"/>
    <w:rsid w:val="005C6678"/>
    <w:rsid w:val="005D087C"/>
    <w:rsid w:val="005D18CD"/>
    <w:rsid w:val="005D20DD"/>
    <w:rsid w:val="005D689E"/>
    <w:rsid w:val="005E06B6"/>
    <w:rsid w:val="005E2E02"/>
    <w:rsid w:val="005E3617"/>
    <w:rsid w:val="005E4F20"/>
    <w:rsid w:val="005E5F7A"/>
    <w:rsid w:val="005F2C62"/>
    <w:rsid w:val="005F4DC0"/>
    <w:rsid w:val="005F725C"/>
    <w:rsid w:val="005F7318"/>
    <w:rsid w:val="00605119"/>
    <w:rsid w:val="00606A42"/>
    <w:rsid w:val="00611A1A"/>
    <w:rsid w:val="00611BE6"/>
    <w:rsid w:val="00613D10"/>
    <w:rsid w:val="00616E3E"/>
    <w:rsid w:val="00622BC7"/>
    <w:rsid w:val="00623855"/>
    <w:rsid w:val="0062496F"/>
    <w:rsid w:val="00626FB3"/>
    <w:rsid w:val="0063129A"/>
    <w:rsid w:val="006323B5"/>
    <w:rsid w:val="006400C3"/>
    <w:rsid w:val="00642382"/>
    <w:rsid w:val="00643744"/>
    <w:rsid w:val="00643F90"/>
    <w:rsid w:val="0064637F"/>
    <w:rsid w:val="00653A71"/>
    <w:rsid w:val="00654B02"/>
    <w:rsid w:val="00655394"/>
    <w:rsid w:val="00655835"/>
    <w:rsid w:val="006607F7"/>
    <w:rsid w:val="00661285"/>
    <w:rsid w:val="00666C87"/>
    <w:rsid w:val="00667FB5"/>
    <w:rsid w:val="006709FC"/>
    <w:rsid w:val="00672C00"/>
    <w:rsid w:val="00672CD0"/>
    <w:rsid w:val="00673190"/>
    <w:rsid w:val="00676DE7"/>
    <w:rsid w:val="00686E4C"/>
    <w:rsid w:val="00687FE0"/>
    <w:rsid w:val="0069022E"/>
    <w:rsid w:val="0069619A"/>
    <w:rsid w:val="006A2E11"/>
    <w:rsid w:val="006A3184"/>
    <w:rsid w:val="006B1ED4"/>
    <w:rsid w:val="006B3907"/>
    <w:rsid w:val="006B4C6D"/>
    <w:rsid w:val="006B7B33"/>
    <w:rsid w:val="006E2781"/>
    <w:rsid w:val="006E3B82"/>
    <w:rsid w:val="006E48D1"/>
    <w:rsid w:val="006E652F"/>
    <w:rsid w:val="006E7372"/>
    <w:rsid w:val="006F32A2"/>
    <w:rsid w:val="006F438E"/>
    <w:rsid w:val="00701E34"/>
    <w:rsid w:val="007071E7"/>
    <w:rsid w:val="007118F2"/>
    <w:rsid w:val="00712776"/>
    <w:rsid w:val="00713A75"/>
    <w:rsid w:val="00715D15"/>
    <w:rsid w:val="0071783E"/>
    <w:rsid w:val="0072251E"/>
    <w:rsid w:val="00733488"/>
    <w:rsid w:val="00733699"/>
    <w:rsid w:val="0073564B"/>
    <w:rsid w:val="00735F4D"/>
    <w:rsid w:val="0074048C"/>
    <w:rsid w:val="00746249"/>
    <w:rsid w:val="00751592"/>
    <w:rsid w:val="007562E2"/>
    <w:rsid w:val="00756A97"/>
    <w:rsid w:val="00757362"/>
    <w:rsid w:val="007574E4"/>
    <w:rsid w:val="0076183F"/>
    <w:rsid w:val="007666C8"/>
    <w:rsid w:val="00770B3F"/>
    <w:rsid w:val="007711DE"/>
    <w:rsid w:val="00771A91"/>
    <w:rsid w:val="00772D04"/>
    <w:rsid w:val="00773213"/>
    <w:rsid w:val="00782504"/>
    <w:rsid w:val="00785284"/>
    <w:rsid w:val="007903AE"/>
    <w:rsid w:val="00791342"/>
    <w:rsid w:val="0079430A"/>
    <w:rsid w:val="00794C8B"/>
    <w:rsid w:val="00795940"/>
    <w:rsid w:val="007A4905"/>
    <w:rsid w:val="007A7DA8"/>
    <w:rsid w:val="007B196F"/>
    <w:rsid w:val="007C11F9"/>
    <w:rsid w:val="007C39F3"/>
    <w:rsid w:val="007C4B24"/>
    <w:rsid w:val="007C630E"/>
    <w:rsid w:val="007C7447"/>
    <w:rsid w:val="007C7D09"/>
    <w:rsid w:val="007D360C"/>
    <w:rsid w:val="007D49A3"/>
    <w:rsid w:val="007D6D8F"/>
    <w:rsid w:val="007E1F58"/>
    <w:rsid w:val="007E2163"/>
    <w:rsid w:val="007E25A8"/>
    <w:rsid w:val="007E4538"/>
    <w:rsid w:val="007E6541"/>
    <w:rsid w:val="007E6C0E"/>
    <w:rsid w:val="007F0549"/>
    <w:rsid w:val="007F0774"/>
    <w:rsid w:val="007F2176"/>
    <w:rsid w:val="007F314E"/>
    <w:rsid w:val="007F5093"/>
    <w:rsid w:val="007F5C7A"/>
    <w:rsid w:val="00800C86"/>
    <w:rsid w:val="008061D7"/>
    <w:rsid w:val="00806573"/>
    <w:rsid w:val="008135CB"/>
    <w:rsid w:val="00813CF6"/>
    <w:rsid w:val="00814484"/>
    <w:rsid w:val="008160A1"/>
    <w:rsid w:val="0081659D"/>
    <w:rsid w:val="00816CED"/>
    <w:rsid w:val="00821670"/>
    <w:rsid w:val="00821685"/>
    <w:rsid w:val="00823487"/>
    <w:rsid w:val="0082413F"/>
    <w:rsid w:val="00824EC7"/>
    <w:rsid w:val="00827C6C"/>
    <w:rsid w:val="00831BF9"/>
    <w:rsid w:val="00832523"/>
    <w:rsid w:val="00832EC3"/>
    <w:rsid w:val="00834A94"/>
    <w:rsid w:val="00836E8C"/>
    <w:rsid w:val="008453D5"/>
    <w:rsid w:val="00850440"/>
    <w:rsid w:val="00857E84"/>
    <w:rsid w:val="00860427"/>
    <w:rsid w:val="008621A4"/>
    <w:rsid w:val="008629B1"/>
    <w:rsid w:val="00873293"/>
    <w:rsid w:val="00875E95"/>
    <w:rsid w:val="00877FCC"/>
    <w:rsid w:val="00881DD5"/>
    <w:rsid w:val="008820C4"/>
    <w:rsid w:val="00884D7C"/>
    <w:rsid w:val="00886FE4"/>
    <w:rsid w:val="0088717C"/>
    <w:rsid w:val="008914C8"/>
    <w:rsid w:val="00892B0E"/>
    <w:rsid w:val="00894406"/>
    <w:rsid w:val="008957A1"/>
    <w:rsid w:val="0089695C"/>
    <w:rsid w:val="008A120E"/>
    <w:rsid w:val="008A20AA"/>
    <w:rsid w:val="008A55ED"/>
    <w:rsid w:val="008A61CA"/>
    <w:rsid w:val="008B28F2"/>
    <w:rsid w:val="008B4886"/>
    <w:rsid w:val="008C0331"/>
    <w:rsid w:val="008C04C9"/>
    <w:rsid w:val="008C4D32"/>
    <w:rsid w:val="008C6B72"/>
    <w:rsid w:val="008C7588"/>
    <w:rsid w:val="008D2B96"/>
    <w:rsid w:val="008D3726"/>
    <w:rsid w:val="008D5A4E"/>
    <w:rsid w:val="008D5AC1"/>
    <w:rsid w:val="008E245B"/>
    <w:rsid w:val="008E7BEB"/>
    <w:rsid w:val="008F2710"/>
    <w:rsid w:val="008F5F3A"/>
    <w:rsid w:val="00900BAF"/>
    <w:rsid w:val="00904658"/>
    <w:rsid w:val="009108F5"/>
    <w:rsid w:val="00913D5C"/>
    <w:rsid w:val="0091400E"/>
    <w:rsid w:val="009157EF"/>
    <w:rsid w:val="00915920"/>
    <w:rsid w:val="009224F5"/>
    <w:rsid w:val="00922825"/>
    <w:rsid w:val="00924412"/>
    <w:rsid w:val="0092574C"/>
    <w:rsid w:val="00925BB9"/>
    <w:rsid w:val="009263FA"/>
    <w:rsid w:val="009268D0"/>
    <w:rsid w:val="009305FB"/>
    <w:rsid w:val="009373EE"/>
    <w:rsid w:val="00941808"/>
    <w:rsid w:val="00941C72"/>
    <w:rsid w:val="00942951"/>
    <w:rsid w:val="00942BE8"/>
    <w:rsid w:val="0094366F"/>
    <w:rsid w:val="00945112"/>
    <w:rsid w:val="009457DF"/>
    <w:rsid w:val="0095035C"/>
    <w:rsid w:val="009553B1"/>
    <w:rsid w:val="0096018C"/>
    <w:rsid w:val="00961F3D"/>
    <w:rsid w:val="00963E33"/>
    <w:rsid w:val="00964E37"/>
    <w:rsid w:val="009665B5"/>
    <w:rsid w:val="00966C22"/>
    <w:rsid w:val="009678BF"/>
    <w:rsid w:val="009776A7"/>
    <w:rsid w:val="00980694"/>
    <w:rsid w:val="00984622"/>
    <w:rsid w:val="009868C0"/>
    <w:rsid w:val="00991961"/>
    <w:rsid w:val="009952B6"/>
    <w:rsid w:val="009A0069"/>
    <w:rsid w:val="009A2475"/>
    <w:rsid w:val="009A3457"/>
    <w:rsid w:val="009B1A8C"/>
    <w:rsid w:val="009B230D"/>
    <w:rsid w:val="009C00F1"/>
    <w:rsid w:val="009C06A4"/>
    <w:rsid w:val="009C63B1"/>
    <w:rsid w:val="009D11A0"/>
    <w:rsid w:val="009D1568"/>
    <w:rsid w:val="009D266D"/>
    <w:rsid w:val="009D2D59"/>
    <w:rsid w:val="009D6482"/>
    <w:rsid w:val="009E0B46"/>
    <w:rsid w:val="009E1446"/>
    <w:rsid w:val="009E3D68"/>
    <w:rsid w:val="009E7AC4"/>
    <w:rsid w:val="009F057B"/>
    <w:rsid w:val="009F0B23"/>
    <w:rsid w:val="009F4C7E"/>
    <w:rsid w:val="009F7430"/>
    <w:rsid w:val="00A01DEA"/>
    <w:rsid w:val="00A03AA1"/>
    <w:rsid w:val="00A04996"/>
    <w:rsid w:val="00A05042"/>
    <w:rsid w:val="00A06AD6"/>
    <w:rsid w:val="00A10363"/>
    <w:rsid w:val="00A10F5B"/>
    <w:rsid w:val="00A16F6F"/>
    <w:rsid w:val="00A22DED"/>
    <w:rsid w:val="00A23233"/>
    <w:rsid w:val="00A26AEA"/>
    <w:rsid w:val="00A31B20"/>
    <w:rsid w:val="00A32B73"/>
    <w:rsid w:val="00A32ED1"/>
    <w:rsid w:val="00A343CA"/>
    <w:rsid w:val="00A37775"/>
    <w:rsid w:val="00A40825"/>
    <w:rsid w:val="00A4124D"/>
    <w:rsid w:val="00A41A06"/>
    <w:rsid w:val="00A42495"/>
    <w:rsid w:val="00A47BDA"/>
    <w:rsid w:val="00A50AE5"/>
    <w:rsid w:val="00A56101"/>
    <w:rsid w:val="00A57863"/>
    <w:rsid w:val="00A61EB8"/>
    <w:rsid w:val="00A6487E"/>
    <w:rsid w:val="00A7012C"/>
    <w:rsid w:val="00A70EC0"/>
    <w:rsid w:val="00A71BFD"/>
    <w:rsid w:val="00A742DD"/>
    <w:rsid w:val="00A74715"/>
    <w:rsid w:val="00A76F0C"/>
    <w:rsid w:val="00A774EE"/>
    <w:rsid w:val="00A852F4"/>
    <w:rsid w:val="00A85704"/>
    <w:rsid w:val="00A8734C"/>
    <w:rsid w:val="00A878CB"/>
    <w:rsid w:val="00A96100"/>
    <w:rsid w:val="00A97143"/>
    <w:rsid w:val="00A97D76"/>
    <w:rsid w:val="00A97DA1"/>
    <w:rsid w:val="00AA0A3B"/>
    <w:rsid w:val="00AA5E76"/>
    <w:rsid w:val="00AB03BB"/>
    <w:rsid w:val="00AB1912"/>
    <w:rsid w:val="00AB2C1D"/>
    <w:rsid w:val="00AB45D6"/>
    <w:rsid w:val="00AB6196"/>
    <w:rsid w:val="00AB6BC2"/>
    <w:rsid w:val="00AB7011"/>
    <w:rsid w:val="00AC0032"/>
    <w:rsid w:val="00AC5834"/>
    <w:rsid w:val="00AD237A"/>
    <w:rsid w:val="00AD445E"/>
    <w:rsid w:val="00AD4B08"/>
    <w:rsid w:val="00AE00B6"/>
    <w:rsid w:val="00AE1B13"/>
    <w:rsid w:val="00AE3EE3"/>
    <w:rsid w:val="00AE5CDB"/>
    <w:rsid w:val="00AF3CD6"/>
    <w:rsid w:val="00AF6EE4"/>
    <w:rsid w:val="00B008FA"/>
    <w:rsid w:val="00B019A9"/>
    <w:rsid w:val="00B025E2"/>
    <w:rsid w:val="00B02FC4"/>
    <w:rsid w:val="00B07508"/>
    <w:rsid w:val="00B12278"/>
    <w:rsid w:val="00B259D8"/>
    <w:rsid w:val="00B27C19"/>
    <w:rsid w:val="00B36617"/>
    <w:rsid w:val="00B36A53"/>
    <w:rsid w:val="00B41ACE"/>
    <w:rsid w:val="00B41E62"/>
    <w:rsid w:val="00B4298C"/>
    <w:rsid w:val="00B42E39"/>
    <w:rsid w:val="00B446BA"/>
    <w:rsid w:val="00B47853"/>
    <w:rsid w:val="00B53C47"/>
    <w:rsid w:val="00B57667"/>
    <w:rsid w:val="00B577E9"/>
    <w:rsid w:val="00B61BCB"/>
    <w:rsid w:val="00B67838"/>
    <w:rsid w:val="00B70645"/>
    <w:rsid w:val="00B70BAC"/>
    <w:rsid w:val="00B73AED"/>
    <w:rsid w:val="00B75100"/>
    <w:rsid w:val="00B76224"/>
    <w:rsid w:val="00B855F5"/>
    <w:rsid w:val="00B8596B"/>
    <w:rsid w:val="00B87C18"/>
    <w:rsid w:val="00B910F8"/>
    <w:rsid w:val="00B922C8"/>
    <w:rsid w:val="00B948F2"/>
    <w:rsid w:val="00B95F5D"/>
    <w:rsid w:val="00B97ADF"/>
    <w:rsid w:val="00BA51E7"/>
    <w:rsid w:val="00BA6238"/>
    <w:rsid w:val="00BA7DB1"/>
    <w:rsid w:val="00BB2024"/>
    <w:rsid w:val="00BB20B3"/>
    <w:rsid w:val="00BB2C3F"/>
    <w:rsid w:val="00BB2EF6"/>
    <w:rsid w:val="00BC4165"/>
    <w:rsid w:val="00BC4837"/>
    <w:rsid w:val="00BC51E4"/>
    <w:rsid w:val="00BC5824"/>
    <w:rsid w:val="00BD0027"/>
    <w:rsid w:val="00BD160D"/>
    <w:rsid w:val="00BE0789"/>
    <w:rsid w:val="00BE20BB"/>
    <w:rsid w:val="00BE277C"/>
    <w:rsid w:val="00BE54C4"/>
    <w:rsid w:val="00BE5D9C"/>
    <w:rsid w:val="00BE7646"/>
    <w:rsid w:val="00BE7F14"/>
    <w:rsid w:val="00BF1133"/>
    <w:rsid w:val="00BF17D3"/>
    <w:rsid w:val="00C001F3"/>
    <w:rsid w:val="00C03C09"/>
    <w:rsid w:val="00C05CED"/>
    <w:rsid w:val="00C104B8"/>
    <w:rsid w:val="00C1636B"/>
    <w:rsid w:val="00C17EC0"/>
    <w:rsid w:val="00C207C2"/>
    <w:rsid w:val="00C2295C"/>
    <w:rsid w:val="00C25DA3"/>
    <w:rsid w:val="00C32714"/>
    <w:rsid w:val="00C32C69"/>
    <w:rsid w:val="00C37AAB"/>
    <w:rsid w:val="00C40B1A"/>
    <w:rsid w:val="00C419CD"/>
    <w:rsid w:val="00C42788"/>
    <w:rsid w:val="00C47614"/>
    <w:rsid w:val="00C5254A"/>
    <w:rsid w:val="00C52F40"/>
    <w:rsid w:val="00C531CC"/>
    <w:rsid w:val="00C54B16"/>
    <w:rsid w:val="00C55E93"/>
    <w:rsid w:val="00C56171"/>
    <w:rsid w:val="00C63F61"/>
    <w:rsid w:val="00C653CE"/>
    <w:rsid w:val="00C6719D"/>
    <w:rsid w:val="00C70DF2"/>
    <w:rsid w:val="00C7174C"/>
    <w:rsid w:val="00C730C6"/>
    <w:rsid w:val="00C77DD7"/>
    <w:rsid w:val="00C82597"/>
    <w:rsid w:val="00C83091"/>
    <w:rsid w:val="00C860DF"/>
    <w:rsid w:val="00C91519"/>
    <w:rsid w:val="00C9168C"/>
    <w:rsid w:val="00C91FD9"/>
    <w:rsid w:val="00C951AA"/>
    <w:rsid w:val="00C95AA7"/>
    <w:rsid w:val="00C95EA6"/>
    <w:rsid w:val="00CA1818"/>
    <w:rsid w:val="00CA456D"/>
    <w:rsid w:val="00CA6505"/>
    <w:rsid w:val="00CB35BF"/>
    <w:rsid w:val="00CB6D7D"/>
    <w:rsid w:val="00CC092E"/>
    <w:rsid w:val="00CC10A1"/>
    <w:rsid w:val="00CC4FD6"/>
    <w:rsid w:val="00CC6538"/>
    <w:rsid w:val="00CC78CC"/>
    <w:rsid w:val="00CD147A"/>
    <w:rsid w:val="00CD419D"/>
    <w:rsid w:val="00CD65D6"/>
    <w:rsid w:val="00CD66E0"/>
    <w:rsid w:val="00CE515F"/>
    <w:rsid w:val="00CF6F6C"/>
    <w:rsid w:val="00D100A7"/>
    <w:rsid w:val="00D12BD7"/>
    <w:rsid w:val="00D13CFA"/>
    <w:rsid w:val="00D170E1"/>
    <w:rsid w:val="00D208A4"/>
    <w:rsid w:val="00D24257"/>
    <w:rsid w:val="00D327C1"/>
    <w:rsid w:val="00D34C37"/>
    <w:rsid w:val="00D35480"/>
    <w:rsid w:val="00D367D8"/>
    <w:rsid w:val="00D37CB6"/>
    <w:rsid w:val="00D40C13"/>
    <w:rsid w:val="00D41E36"/>
    <w:rsid w:val="00D52A56"/>
    <w:rsid w:val="00D53768"/>
    <w:rsid w:val="00D5509A"/>
    <w:rsid w:val="00D5622E"/>
    <w:rsid w:val="00D62230"/>
    <w:rsid w:val="00D6700B"/>
    <w:rsid w:val="00D70C8F"/>
    <w:rsid w:val="00D73751"/>
    <w:rsid w:val="00D7427C"/>
    <w:rsid w:val="00D749D2"/>
    <w:rsid w:val="00D76F2A"/>
    <w:rsid w:val="00D84DF8"/>
    <w:rsid w:val="00D85CFD"/>
    <w:rsid w:val="00D93D53"/>
    <w:rsid w:val="00D93DC3"/>
    <w:rsid w:val="00D93EA8"/>
    <w:rsid w:val="00D96C95"/>
    <w:rsid w:val="00D96FB9"/>
    <w:rsid w:val="00D9771F"/>
    <w:rsid w:val="00DA4962"/>
    <w:rsid w:val="00DA4E99"/>
    <w:rsid w:val="00DA5894"/>
    <w:rsid w:val="00DB0BE2"/>
    <w:rsid w:val="00DB1D3C"/>
    <w:rsid w:val="00DC430C"/>
    <w:rsid w:val="00DD2242"/>
    <w:rsid w:val="00DD27C7"/>
    <w:rsid w:val="00DD6B57"/>
    <w:rsid w:val="00DD6EDF"/>
    <w:rsid w:val="00DE2CAA"/>
    <w:rsid w:val="00DE31A5"/>
    <w:rsid w:val="00DE3346"/>
    <w:rsid w:val="00DE568B"/>
    <w:rsid w:val="00DE5696"/>
    <w:rsid w:val="00DE7F6D"/>
    <w:rsid w:val="00E0172D"/>
    <w:rsid w:val="00E06AA6"/>
    <w:rsid w:val="00E07C47"/>
    <w:rsid w:val="00E24E41"/>
    <w:rsid w:val="00E3047C"/>
    <w:rsid w:val="00E32A31"/>
    <w:rsid w:val="00E53347"/>
    <w:rsid w:val="00E533BB"/>
    <w:rsid w:val="00E53783"/>
    <w:rsid w:val="00E54CA6"/>
    <w:rsid w:val="00E61A61"/>
    <w:rsid w:val="00E64488"/>
    <w:rsid w:val="00E668C5"/>
    <w:rsid w:val="00E70255"/>
    <w:rsid w:val="00E7060F"/>
    <w:rsid w:val="00E71126"/>
    <w:rsid w:val="00E71539"/>
    <w:rsid w:val="00E7386D"/>
    <w:rsid w:val="00E803AB"/>
    <w:rsid w:val="00E811B0"/>
    <w:rsid w:val="00E852F7"/>
    <w:rsid w:val="00E85A3C"/>
    <w:rsid w:val="00E91930"/>
    <w:rsid w:val="00E93DA5"/>
    <w:rsid w:val="00EA064C"/>
    <w:rsid w:val="00EA3651"/>
    <w:rsid w:val="00EA3EF8"/>
    <w:rsid w:val="00EA6288"/>
    <w:rsid w:val="00EB0100"/>
    <w:rsid w:val="00EB12AC"/>
    <w:rsid w:val="00EB1983"/>
    <w:rsid w:val="00EB2926"/>
    <w:rsid w:val="00EB3E32"/>
    <w:rsid w:val="00EB5EE5"/>
    <w:rsid w:val="00EC10E4"/>
    <w:rsid w:val="00EC1660"/>
    <w:rsid w:val="00EC1ED4"/>
    <w:rsid w:val="00EC28FD"/>
    <w:rsid w:val="00ED3AB2"/>
    <w:rsid w:val="00ED53EA"/>
    <w:rsid w:val="00ED7F74"/>
    <w:rsid w:val="00EE02A6"/>
    <w:rsid w:val="00EE16DD"/>
    <w:rsid w:val="00EE26CD"/>
    <w:rsid w:val="00EE26CF"/>
    <w:rsid w:val="00EE70E4"/>
    <w:rsid w:val="00EE7C85"/>
    <w:rsid w:val="00EF0A4D"/>
    <w:rsid w:val="00EF0F28"/>
    <w:rsid w:val="00EF12FC"/>
    <w:rsid w:val="00F06B8F"/>
    <w:rsid w:val="00F06FD4"/>
    <w:rsid w:val="00F12302"/>
    <w:rsid w:val="00F1256C"/>
    <w:rsid w:val="00F13B54"/>
    <w:rsid w:val="00F142F3"/>
    <w:rsid w:val="00F25D68"/>
    <w:rsid w:val="00F302C6"/>
    <w:rsid w:val="00F31425"/>
    <w:rsid w:val="00F3194B"/>
    <w:rsid w:val="00F31D71"/>
    <w:rsid w:val="00F32FC6"/>
    <w:rsid w:val="00F35965"/>
    <w:rsid w:val="00F37B9B"/>
    <w:rsid w:val="00F414F7"/>
    <w:rsid w:val="00F42E00"/>
    <w:rsid w:val="00F43B79"/>
    <w:rsid w:val="00F452B8"/>
    <w:rsid w:val="00F4561D"/>
    <w:rsid w:val="00F477D7"/>
    <w:rsid w:val="00F50B26"/>
    <w:rsid w:val="00F50F83"/>
    <w:rsid w:val="00F51380"/>
    <w:rsid w:val="00F5385A"/>
    <w:rsid w:val="00F60682"/>
    <w:rsid w:val="00F61BB7"/>
    <w:rsid w:val="00F6394E"/>
    <w:rsid w:val="00F66E15"/>
    <w:rsid w:val="00F66FDE"/>
    <w:rsid w:val="00F744EC"/>
    <w:rsid w:val="00F74675"/>
    <w:rsid w:val="00F802B0"/>
    <w:rsid w:val="00F81B20"/>
    <w:rsid w:val="00F82175"/>
    <w:rsid w:val="00F870FA"/>
    <w:rsid w:val="00F8772E"/>
    <w:rsid w:val="00F87C66"/>
    <w:rsid w:val="00F91173"/>
    <w:rsid w:val="00F92734"/>
    <w:rsid w:val="00F93639"/>
    <w:rsid w:val="00F93AD8"/>
    <w:rsid w:val="00F9738B"/>
    <w:rsid w:val="00FA2D6B"/>
    <w:rsid w:val="00FA56AE"/>
    <w:rsid w:val="00FA6EAC"/>
    <w:rsid w:val="00FB09AF"/>
    <w:rsid w:val="00FB28D9"/>
    <w:rsid w:val="00FB28F5"/>
    <w:rsid w:val="00FB2F30"/>
    <w:rsid w:val="00FB4A0F"/>
    <w:rsid w:val="00FC12C0"/>
    <w:rsid w:val="00FC19DF"/>
    <w:rsid w:val="00FC2937"/>
    <w:rsid w:val="00FC55FE"/>
    <w:rsid w:val="00FD225E"/>
    <w:rsid w:val="00FD24EA"/>
    <w:rsid w:val="00FD4FF3"/>
    <w:rsid w:val="00FD75B6"/>
    <w:rsid w:val="00FE33A1"/>
    <w:rsid w:val="00FE6D51"/>
    <w:rsid w:val="00FE6ED9"/>
    <w:rsid w:val="00FF14D9"/>
    <w:rsid w:val="00FF291F"/>
    <w:rsid w:val="00FF30B9"/>
    <w:rsid w:val="00FF4F78"/>
    <w:rsid w:val="04B47CA0"/>
    <w:rsid w:val="15152076"/>
    <w:rsid w:val="2E8A5161"/>
    <w:rsid w:val="32242D99"/>
    <w:rsid w:val="467F0394"/>
    <w:rsid w:val="4CF7225E"/>
    <w:rsid w:val="685428D3"/>
    <w:rsid w:val="7D9832A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40BE60E-0871-4C3E-994F-B07F6D019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paragraph" w:styleId="4">
    <w:name w:val="heading 4"/>
    <w:basedOn w:val="a"/>
    <w:link w:val="4Char"/>
    <w:uiPriority w:val="9"/>
    <w:qFormat/>
    <w:pPr>
      <w:widowControl/>
      <w:spacing w:before="100" w:beforeAutospacing="1" w:after="100" w:afterAutospacing="1"/>
      <w:jc w:val="left"/>
      <w:outlineLvl w:val="3"/>
    </w:pPr>
    <w:rPr>
      <w:rFonts w:ascii="宋体" w:eastAsia="宋体" w:hAnsi="宋体" w:cs="宋体"/>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Char"/>
    <w:uiPriority w:val="99"/>
    <w:semiHidden/>
    <w:unhideWhenUsed/>
    <w:qFormat/>
    <w:rPr>
      <w:rFonts w:ascii="宋体" w:eastAsia="宋体"/>
      <w:sz w:val="18"/>
      <w:szCs w:val="18"/>
    </w:rPr>
  </w:style>
  <w:style w:type="paragraph" w:styleId="a4">
    <w:name w:val="annotation text"/>
    <w:basedOn w:val="a"/>
    <w:link w:val="Char0"/>
    <w:uiPriority w:val="99"/>
    <w:semiHidden/>
    <w:unhideWhenUsed/>
    <w:qFormat/>
    <w:pPr>
      <w:jc w:val="left"/>
    </w:pPr>
  </w:style>
  <w:style w:type="paragraph" w:styleId="a5">
    <w:name w:val="Body Text"/>
    <w:basedOn w:val="a"/>
    <w:link w:val="Char1"/>
    <w:uiPriority w:val="99"/>
    <w:qFormat/>
    <w:pPr>
      <w:spacing w:after="120"/>
    </w:pPr>
    <w:rPr>
      <w:rFonts w:ascii="Times New Roman" w:eastAsia="宋体" w:hAnsi="Times New Roman" w:cs="Times New Roman"/>
      <w:szCs w:val="21"/>
    </w:rPr>
  </w:style>
  <w:style w:type="paragraph" w:styleId="a6">
    <w:name w:val="Balloon Text"/>
    <w:basedOn w:val="a"/>
    <w:link w:val="Char2"/>
    <w:uiPriority w:val="99"/>
    <w:semiHidden/>
    <w:unhideWhenUsed/>
    <w:qFormat/>
    <w:rPr>
      <w:sz w:val="18"/>
      <w:szCs w:val="18"/>
    </w:rPr>
  </w:style>
  <w:style w:type="paragraph" w:styleId="a7">
    <w:name w:val="footer"/>
    <w:basedOn w:val="a"/>
    <w:link w:val="Char3"/>
    <w:uiPriority w:val="99"/>
    <w:unhideWhenUsed/>
    <w:qFormat/>
    <w:pPr>
      <w:tabs>
        <w:tab w:val="center" w:pos="4153"/>
        <w:tab w:val="right" w:pos="8306"/>
      </w:tabs>
      <w:snapToGrid w:val="0"/>
      <w:jc w:val="left"/>
    </w:pPr>
    <w:rPr>
      <w:sz w:val="18"/>
      <w:szCs w:val="18"/>
    </w:rPr>
  </w:style>
  <w:style w:type="paragraph" w:styleId="a8">
    <w:name w:val="header"/>
    <w:basedOn w:val="a"/>
    <w:link w:val="Char4"/>
    <w:uiPriority w:val="99"/>
    <w:unhideWhenUsed/>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link w:val="HTMLChar"/>
    <w:uiPriority w:val="99"/>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paragraph" w:styleId="a9">
    <w:name w:val="Normal (Web)"/>
    <w:basedOn w:val="a"/>
    <w:unhideWhenUsed/>
    <w:qFormat/>
    <w:rPr>
      <w:rFonts w:ascii="Times New Roman" w:hAnsi="Times New Roman" w:cs="Times New Roman"/>
      <w:sz w:val="24"/>
      <w:szCs w:val="24"/>
    </w:rPr>
  </w:style>
  <w:style w:type="paragraph" w:styleId="aa">
    <w:name w:val="annotation subject"/>
    <w:basedOn w:val="a4"/>
    <w:next w:val="a4"/>
    <w:link w:val="Char5"/>
    <w:uiPriority w:val="99"/>
    <w:semiHidden/>
    <w:unhideWhenUsed/>
    <w:qFormat/>
    <w:rPr>
      <w:b/>
      <w:bCs/>
    </w:rPr>
  </w:style>
  <w:style w:type="table" w:styleId="ab">
    <w:name w:val="Table Grid"/>
    <w:basedOn w:val="a1"/>
    <w:uiPriority w:val="39"/>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c">
    <w:name w:val="Hyperlink"/>
    <w:basedOn w:val="a0"/>
    <w:uiPriority w:val="99"/>
    <w:semiHidden/>
    <w:unhideWhenUsed/>
    <w:qFormat/>
    <w:rPr>
      <w:color w:val="0000FF"/>
      <w:u w:val="single"/>
    </w:rPr>
  </w:style>
  <w:style w:type="character" w:styleId="ad">
    <w:name w:val="annotation reference"/>
    <w:basedOn w:val="a0"/>
    <w:uiPriority w:val="99"/>
    <w:semiHidden/>
    <w:unhideWhenUsed/>
    <w:qFormat/>
    <w:rPr>
      <w:sz w:val="21"/>
      <w:szCs w:val="21"/>
    </w:rPr>
  </w:style>
  <w:style w:type="character" w:customStyle="1" w:styleId="Char4">
    <w:name w:val="页眉 Char"/>
    <w:basedOn w:val="a0"/>
    <w:link w:val="a8"/>
    <w:uiPriority w:val="99"/>
    <w:qFormat/>
    <w:rPr>
      <w:kern w:val="2"/>
      <w:sz w:val="18"/>
      <w:szCs w:val="18"/>
    </w:rPr>
  </w:style>
  <w:style w:type="character" w:customStyle="1" w:styleId="Char3">
    <w:name w:val="页脚 Char"/>
    <w:basedOn w:val="a0"/>
    <w:link w:val="a7"/>
    <w:uiPriority w:val="99"/>
    <w:qFormat/>
    <w:rPr>
      <w:kern w:val="2"/>
      <w:sz w:val="18"/>
      <w:szCs w:val="18"/>
    </w:rPr>
  </w:style>
  <w:style w:type="paragraph" w:styleId="ae">
    <w:name w:val="List Paragraph"/>
    <w:basedOn w:val="a"/>
    <w:uiPriority w:val="34"/>
    <w:qFormat/>
    <w:pPr>
      <w:ind w:firstLineChars="200" w:firstLine="420"/>
    </w:pPr>
  </w:style>
  <w:style w:type="character" w:customStyle="1" w:styleId="Char0">
    <w:name w:val="批注文字 Char"/>
    <w:basedOn w:val="a0"/>
    <w:link w:val="a4"/>
    <w:uiPriority w:val="99"/>
    <w:semiHidden/>
    <w:qFormat/>
    <w:rPr>
      <w:kern w:val="2"/>
      <w:sz w:val="21"/>
      <w:szCs w:val="22"/>
    </w:rPr>
  </w:style>
  <w:style w:type="character" w:customStyle="1" w:styleId="Char5">
    <w:name w:val="批注主题 Char"/>
    <w:basedOn w:val="Char0"/>
    <w:link w:val="aa"/>
    <w:uiPriority w:val="99"/>
    <w:semiHidden/>
    <w:qFormat/>
    <w:rPr>
      <w:b/>
      <w:bCs/>
      <w:kern w:val="2"/>
      <w:sz w:val="21"/>
      <w:szCs w:val="22"/>
    </w:rPr>
  </w:style>
  <w:style w:type="character" w:customStyle="1" w:styleId="Char2">
    <w:name w:val="批注框文本 Char"/>
    <w:basedOn w:val="a0"/>
    <w:link w:val="a6"/>
    <w:uiPriority w:val="99"/>
    <w:semiHidden/>
    <w:qFormat/>
    <w:rPr>
      <w:kern w:val="2"/>
      <w:sz w:val="18"/>
      <w:szCs w:val="18"/>
    </w:rPr>
  </w:style>
  <w:style w:type="paragraph" w:customStyle="1" w:styleId="005">
    <w:name w:val="005正文"/>
    <w:basedOn w:val="a"/>
    <w:link w:val="005Char"/>
    <w:qFormat/>
    <w:pPr>
      <w:adjustRightInd w:val="0"/>
      <w:snapToGrid w:val="0"/>
      <w:spacing w:beforeLines="50" w:afterLines="50" w:line="360" w:lineRule="auto"/>
      <w:ind w:firstLineChars="200" w:firstLine="200"/>
    </w:pPr>
    <w:rPr>
      <w:rFonts w:ascii="Times New Roman" w:eastAsia="宋体" w:hAnsi="Times New Roman" w:cs="Times New Roman"/>
      <w:sz w:val="24"/>
    </w:rPr>
  </w:style>
  <w:style w:type="character" w:customStyle="1" w:styleId="005Char">
    <w:name w:val="005正文 Char"/>
    <w:link w:val="005"/>
    <w:qFormat/>
    <w:rPr>
      <w:rFonts w:ascii="Times New Roman" w:eastAsia="宋体" w:hAnsi="Times New Roman" w:cs="Times New Roman"/>
      <w:kern w:val="2"/>
      <w:sz w:val="24"/>
      <w:szCs w:val="22"/>
    </w:rPr>
  </w:style>
  <w:style w:type="character" w:customStyle="1" w:styleId="Char">
    <w:name w:val="文档结构图 Char"/>
    <w:basedOn w:val="a0"/>
    <w:link w:val="a3"/>
    <w:uiPriority w:val="99"/>
    <w:semiHidden/>
    <w:qFormat/>
    <w:rPr>
      <w:rFonts w:ascii="宋体" w:eastAsia="宋体"/>
      <w:kern w:val="2"/>
      <w:sz w:val="18"/>
      <w:szCs w:val="18"/>
    </w:rPr>
  </w:style>
  <w:style w:type="character" w:customStyle="1" w:styleId="Char1">
    <w:name w:val="正文文本 Char"/>
    <w:basedOn w:val="a0"/>
    <w:link w:val="a5"/>
    <w:uiPriority w:val="99"/>
    <w:qFormat/>
    <w:rPr>
      <w:rFonts w:ascii="Times New Roman" w:eastAsia="宋体" w:hAnsi="Times New Roman" w:cs="Times New Roman"/>
      <w:kern w:val="2"/>
      <w:sz w:val="21"/>
      <w:szCs w:val="21"/>
    </w:rPr>
  </w:style>
  <w:style w:type="paragraph" w:customStyle="1" w:styleId="TableParagraph">
    <w:name w:val="Table Paragraph"/>
    <w:basedOn w:val="a"/>
    <w:uiPriority w:val="1"/>
    <w:qFormat/>
    <w:pPr>
      <w:autoSpaceDE w:val="0"/>
      <w:autoSpaceDN w:val="0"/>
      <w:spacing w:after="160" w:line="259" w:lineRule="auto"/>
      <w:jc w:val="left"/>
    </w:pPr>
    <w:rPr>
      <w:rFonts w:ascii="Noto Sans CJK JP Regular" w:eastAsia="Noto Sans CJK JP Regular" w:hAnsi="Noto Sans CJK JP Regular" w:cs="Noto Sans CJK JP Regular"/>
      <w:kern w:val="0"/>
      <w:sz w:val="22"/>
      <w:lang w:eastAsia="en-US"/>
    </w:rPr>
  </w:style>
  <w:style w:type="table" w:customStyle="1" w:styleId="TableNormal">
    <w:name w:val="Table Normal"/>
    <w:uiPriority w:val="2"/>
    <w:semiHidden/>
    <w:unhideWhenUsed/>
    <w:qFormat/>
    <w:pPr>
      <w:widowControl w:val="0"/>
      <w:autoSpaceDE w:val="0"/>
      <w:autoSpaceDN w:val="0"/>
    </w:pPr>
    <w:rPr>
      <w:sz w:val="22"/>
      <w:szCs w:val="22"/>
      <w:lang w:eastAsia="en-US"/>
    </w:rPr>
    <w:tblPr>
      <w:tblCellMar>
        <w:top w:w="0" w:type="dxa"/>
        <w:left w:w="0" w:type="dxa"/>
        <w:bottom w:w="0" w:type="dxa"/>
        <w:right w:w="0" w:type="dxa"/>
      </w:tblCellMar>
    </w:tblPr>
  </w:style>
  <w:style w:type="character" w:customStyle="1" w:styleId="HTMLChar">
    <w:name w:val="HTML 预设格式 Char"/>
    <w:basedOn w:val="a0"/>
    <w:link w:val="HTML"/>
    <w:uiPriority w:val="99"/>
    <w:qFormat/>
    <w:rPr>
      <w:rFonts w:ascii="宋体" w:eastAsia="宋体" w:hAnsi="宋体" w:cs="宋体"/>
      <w:sz w:val="24"/>
      <w:szCs w:val="24"/>
    </w:rPr>
  </w:style>
  <w:style w:type="character" w:customStyle="1" w:styleId="4Char">
    <w:name w:val="标题 4 Char"/>
    <w:basedOn w:val="a0"/>
    <w:link w:val="4"/>
    <w:uiPriority w:val="9"/>
    <w:qFormat/>
    <w:rPr>
      <w:rFonts w:ascii="宋体" w:eastAsia="宋体" w:hAnsi="宋体" w:cs="宋体"/>
      <w:b/>
      <w:bCs/>
      <w:sz w:val="24"/>
      <w:szCs w:val="24"/>
    </w:rPr>
  </w:style>
  <w:style w:type="paragraph" w:customStyle="1" w:styleId="009">
    <w:name w:val="009单位"/>
    <w:rsid w:val="0073564B"/>
    <w:pPr>
      <w:keepNext/>
      <w:widowControl w:val="0"/>
      <w:jc w:val="right"/>
    </w:pPr>
    <w:rPr>
      <w:rFonts w:ascii="Times New Roman" w:eastAsia="宋体" w:hAnsi="Times New Roman" w:cs="Times New Roman"/>
      <w:kern w:val="2"/>
      <w:sz w:val="21"/>
      <w:szCs w:val="22"/>
    </w:rPr>
  </w:style>
  <w:style w:type="table" w:customStyle="1" w:styleId="Style1123">
    <w:name w:val="Style1123"/>
    <w:basedOn w:val="ab"/>
    <w:uiPriority w:val="99"/>
    <w:qFormat/>
    <w:rsid w:val="0073564B"/>
    <w:pPr>
      <w:jc w:val="center"/>
    </w:pPr>
    <w:rPr>
      <w:rFonts w:ascii="Times New Roman" w:eastAsia="宋体" w:hAnsi="Times New Roman" w:cs="Times New Roman"/>
      <w:lang w:eastAsia="en-US"/>
    </w:rPr>
    <w:tblPr>
      <w:tblInd w:w="0" w:type="dxa"/>
      <w:tblBorders>
        <w:top w:val="thinThickSmallGap" w:sz="24" w:space="0" w:color="auto"/>
        <w:bottom w:val="thickThinSmallGap" w:sz="24" w:space="0" w:color="auto"/>
        <w:insideH w:val="single" w:sz="6" w:space="0" w:color="auto"/>
        <w:insideV w:val="single" w:sz="6" w:space="0" w:color="auto"/>
      </w:tblBorders>
      <w:tblCellMar>
        <w:top w:w="0" w:type="dxa"/>
        <w:left w:w="108" w:type="dxa"/>
        <w:bottom w:w="0" w:type="dxa"/>
        <w:right w:w="108" w:type="dxa"/>
      </w:tblCellMar>
    </w:tblPr>
    <w:tcPr>
      <w:shd w:val="clear" w:color="auto" w:fill="auto"/>
      <w:vAlign w:val="center"/>
    </w:tcPr>
    <w:tblStylePr w:type="firstRow">
      <w:pPr>
        <w:jc w:val="center"/>
      </w:pPr>
      <w:rPr>
        <w:b w:val="0"/>
      </w:rPr>
      <w:tblPr/>
      <w:tcPr>
        <w:tcBorders>
          <w:top w:val="thinThickSmallGap" w:sz="24" w:space="0" w:color="auto"/>
          <w:left w:val="nil"/>
          <w:bottom w:val="single" w:sz="4" w:space="0" w:color="auto"/>
          <w:right w:val="nil"/>
          <w:insideH w:val="nil"/>
          <w:insideV w:val="single" w:sz="6" w:space="0" w:color="auto"/>
          <w:tl2br w:val="nil"/>
          <w:tr2bl w:val="nil"/>
        </w:tcBorders>
        <w:shd w:val="clear" w:color="auto" w:fill="auto"/>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40005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83724E-5CAF-403C-B3CE-7D6A1DDA48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932</TotalTime>
  <Pages>3</Pages>
  <Words>292</Words>
  <Characters>1666</Characters>
  <Application>Microsoft Office Word</Application>
  <DocSecurity>0</DocSecurity>
  <Lines>13</Lines>
  <Paragraphs>3</Paragraphs>
  <ScaleCrop>false</ScaleCrop>
  <Company/>
  <LinksUpToDate>false</LinksUpToDate>
  <CharactersWithSpaces>1955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Xiang</dc:creator>
  <cp:lastModifiedBy>User</cp:lastModifiedBy>
  <cp:revision>138</cp:revision>
  <cp:lastPrinted>2020-09-29T01:31:00Z</cp:lastPrinted>
  <dcterms:created xsi:type="dcterms:W3CDTF">2020-09-29T00:56:00Z</dcterms:created>
  <dcterms:modified xsi:type="dcterms:W3CDTF">2026-09-04T08:21:00Z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eyJoZGlkIjoiNzVlMjlmNWJiNjE0NjE4NjM3OWM0MjNhNjQ5YjExOGYiLCJ1c2VySWQiOiIyMTQ4NDM5NDYifQ==</vt:lpwstr>
  </property>
  <property fmtid="{D5CDD505-2E9C-101B-9397-08002B2CF9AE}" pid="4" name="ICV">
    <vt:lpwstr>1841E91CC4444C2EACA27F1D9640ECBA_13</vt:lpwstr>
  </property>
</Properties>
</file>