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before="260" w:after="260" w:line="360" w:lineRule="auto"/>
        <w:jc w:val="center"/>
        <w:outlineLvl w:val="1"/>
        <w:rPr>
          <w:rFonts w:hint="eastAsia" w:ascii="宋体" w:hAnsi="宋体" w:eastAsia="宋体" w:cs="Times New Roman"/>
          <w:b/>
          <w:bCs/>
          <w:iCs/>
          <w:sz w:val="24"/>
          <w:szCs w:val="24"/>
        </w:rPr>
      </w:pPr>
      <w:r>
        <w:rPr>
          <w:rFonts w:hint="eastAsia" w:ascii="宋体" w:hAnsi="宋体" w:eastAsia="宋体" w:cs="Times New Roman"/>
          <w:b/>
          <w:bCs/>
          <w:iCs/>
          <w:sz w:val="24"/>
          <w:szCs w:val="24"/>
        </w:rPr>
        <w:t>证券代码：688573                                  证券简称：信宇人</w:t>
      </w:r>
      <w:r>
        <w:rPr>
          <w:rFonts w:ascii="宋体" w:hAnsi="宋体" w:eastAsia="宋体" w:cs="Times New Roman"/>
          <w:b/>
          <w:bCs/>
          <w:iCs/>
          <w:sz w:val="24"/>
          <w:szCs w:val="24"/>
        </w:rPr>
        <w:t xml:space="preserve"> </w:t>
      </w:r>
    </w:p>
    <w:p>
      <w:pPr>
        <w:keepNext/>
        <w:keepLines/>
        <w:spacing w:before="156" w:beforeLines="50" w:line="360" w:lineRule="auto"/>
        <w:jc w:val="center"/>
        <w:outlineLvl w:val="1"/>
        <w:rPr>
          <w:rFonts w:hint="eastAsia" w:ascii="宋体" w:hAnsi="宋体" w:eastAsia="宋体" w:cs="Times New Roman"/>
          <w:b/>
          <w:bCs/>
          <w:sz w:val="32"/>
          <w:szCs w:val="32"/>
        </w:rPr>
      </w:pPr>
      <w:r>
        <w:rPr>
          <w:rFonts w:hint="eastAsia" w:ascii="宋体" w:hAnsi="宋体" w:eastAsia="宋体" w:cs="Times New Roman"/>
          <w:b/>
          <w:bCs/>
          <w:sz w:val="32"/>
          <w:szCs w:val="32"/>
        </w:rPr>
        <w:t>深圳市信宇人科技股份有限公司</w:t>
      </w:r>
    </w:p>
    <w:p>
      <w:pPr>
        <w:keepNext/>
        <w:keepLines/>
        <w:spacing w:before="156" w:beforeLines="50" w:line="360" w:lineRule="auto"/>
        <w:jc w:val="center"/>
        <w:outlineLvl w:val="1"/>
        <w:rPr>
          <w:rFonts w:hint="eastAsia" w:ascii="宋体" w:hAnsi="宋体" w:eastAsia="宋体" w:cs="Times New Roman"/>
          <w:b/>
          <w:bCs/>
          <w:sz w:val="32"/>
          <w:szCs w:val="32"/>
        </w:rPr>
      </w:pPr>
      <w:r>
        <w:rPr>
          <w:rFonts w:hint="eastAsia" w:ascii="宋体" w:hAnsi="宋体" w:eastAsia="宋体" w:cs="Times New Roman"/>
          <w:b/>
          <w:bCs/>
          <w:sz w:val="32"/>
          <w:szCs w:val="32"/>
        </w:rPr>
        <w:t>投资者关系活动记录表</w:t>
      </w:r>
    </w:p>
    <w:p>
      <w:pPr>
        <w:keepNext/>
        <w:keepLines/>
        <w:spacing w:before="260" w:after="260" w:line="360" w:lineRule="auto"/>
        <w:jc w:val="left"/>
        <w:outlineLvl w:val="1"/>
        <w:rPr>
          <w:rFonts w:hint="eastAsia" w:ascii="宋体" w:hAnsi="宋体" w:eastAsia="宋体" w:cs="Times New Roman"/>
          <w:b/>
          <w:bCs/>
          <w:sz w:val="24"/>
          <w:szCs w:val="24"/>
        </w:rPr>
      </w:pPr>
      <w:r>
        <w:rPr>
          <w:rFonts w:hint="eastAsia" w:ascii="宋体" w:hAnsi="宋体" w:eastAsia="宋体" w:cs="Times New Roman"/>
          <w:b/>
          <w:bCs/>
          <w:sz w:val="24"/>
          <w:szCs w:val="24"/>
        </w:rPr>
        <w:t>编号：2026-00</w:t>
      </w:r>
      <w:r>
        <w:rPr>
          <w:rFonts w:hint="default" w:ascii="宋体" w:hAnsi="宋体" w:eastAsia="宋体" w:cs="Times New Roman"/>
          <w:b/>
          <w:bCs/>
          <w:sz w:val="24"/>
          <w:szCs w:val="24"/>
          <w:lang w:val="en-US"/>
        </w:rPr>
        <w:t>2</w:t>
      </w:r>
    </w:p>
    <w:tbl>
      <w:tblPr>
        <w:tblStyle w:val="7"/>
        <w:tblW w:w="912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4"/>
        <w:gridCol w:w="7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4" w:type="dxa"/>
          </w:tcPr>
          <w:p>
            <w:pPr>
              <w:spacing w:line="360" w:lineRule="auto"/>
              <w:rPr>
                <w:rFonts w:hint="eastAsia" w:ascii="宋体" w:hAnsi="宋体" w:eastAsia="宋体" w:cs="Times New Roman"/>
                <w:b/>
                <w:bCs/>
                <w:iCs/>
                <w:sz w:val="24"/>
                <w:szCs w:val="24"/>
              </w:rPr>
            </w:pPr>
            <w:r>
              <w:rPr>
                <w:rFonts w:hint="eastAsia" w:ascii="宋体" w:hAnsi="宋体" w:eastAsia="宋体" w:cs="Times New Roman"/>
                <w:b/>
                <w:bCs/>
                <w:iCs/>
                <w:sz w:val="24"/>
                <w:szCs w:val="24"/>
              </w:rPr>
              <w:t>投资者关系活动类别</w:t>
            </w:r>
          </w:p>
          <w:p>
            <w:pPr>
              <w:spacing w:line="360" w:lineRule="auto"/>
              <w:rPr>
                <w:rFonts w:hint="eastAsia" w:ascii="宋体" w:hAnsi="宋体" w:eastAsia="宋体" w:cs="Times New Roman"/>
                <w:b/>
                <w:bCs/>
                <w:iCs/>
                <w:sz w:val="24"/>
                <w:szCs w:val="24"/>
              </w:rPr>
            </w:pPr>
          </w:p>
        </w:tc>
        <w:tc>
          <w:tcPr>
            <w:tcW w:w="7374" w:type="dxa"/>
          </w:tcPr>
          <w:p>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 xml:space="preserve">特定对象调研        </w:t>
            </w:r>
            <w:r>
              <w:rPr>
                <w:rFonts w:hint="eastAsia" w:ascii="宋体" w:hAnsi="宋体" w:eastAsia="宋体" w:cs="Times New Roman"/>
                <w:bCs/>
                <w:iCs/>
                <w:sz w:val="24"/>
                <w:szCs w:val="24"/>
              </w:rPr>
              <w:t>□</w:t>
            </w:r>
            <w:r>
              <w:rPr>
                <w:rFonts w:hint="eastAsia" w:ascii="宋体" w:hAnsi="宋体" w:eastAsia="宋体" w:cs="Times New Roman"/>
                <w:sz w:val="24"/>
                <w:szCs w:val="24"/>
              </w:rPr>
              <w:t>分析师会议</w:t>
            </w:r>
          </w:p>
          <w:p>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 xml:space="preserve">媒体采访            </w:t>
            </w:r>
            <w:r>
              <w:rPr>
                <w:rFonts w:hint="eastAsia" w:ascii="宋体" w:hAnsi="宋体" w:eastAsia="宋体" w:cs="Times New Roman"/>
                <w:bCs/>
                <w:iCs/>
                <w:sz w:val="24"/>
                <w:szCs w:val="24"/>
              </w:rPr>
              <w:t>☑</w:t>
            </w:r>
            <w:r>
              <w:rPr>
                <w:rFonts w:hint="eastAsia" w:ascii="宋体" w:hAnsi="宋体" w:eastAsia="宋体" w:cs="Times New Roman"/>
                <w:sz w:val="24"/>
                <w:szCs w:val="24"/>
              </w:rPr>
              <w:t>业绩说明会</w:t>
            </w:r>
          </w:p>
          <w:p>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 xml:space="preserve">新闻发布会          </w:t>
            </w:r>
            <w:r>
              <w:rPr>
                <w:rFonts w:hint="eastAsia" w:ascii="宋体" w:hAnsi="宋体" w:eastAsia="宋体" w:cs="Times New Roman"/>
                <w:bCs/>
                <w:iCs/>
                <w:sz w:val="24"/>
                <w:szCs w:val="24"/>
              </w:rPr>
              <w:t>□</w:t>
            </w:r>
            <w:r>
              <w:rPr>
                <w:rFonts w:hint="eastAsia" w:ascii="宋体" w:hAnsi="宋体" w:eastAsia="宋体" w:cs="Times New Roman"/>
                <w:sz w:val="24"/>
                <w:szCs w:val="24"/>
              </w:rPr>
              <w:t>路演活动</w:t>
            </w:r>
          </w:p>
          <w:p>
            <w:pPr>
              <w:tabs>
                <w:tab w:val="left" w:pos="2690"/>
                <w:tab w:val="center" w:pos="3199"/>
              </w:tabs>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现场参观            □电话会议</w:t>
            </w:r>
          </w:p>
          <w:p>
            <w:pPr>
              <w:tabs>
                <w:tab w:val="center" w:pos="3199"/>
              </w:tabs>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其他 （</w:t>
            </w:r>
            <w:r>
              <w:rPr>
                <w:rFonts w:hint="eastAsia" w:ascii="宋体" w:hAnsi="宋体" w:eastAsia="宋体" w:cs="Times New Roman"/>
                <w:sz w:val="24"/>
                <w:szCs w:val="24"/>
                <w:u w:val="single"/>
              </w:rPr>
              <w:t>请文字说明其他活动内容）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4" w:type="dxa"/>
          </w:tcPr>
          <w:p>
            <w:pPr>
              <w:spacing w:line="360" w:lineRule="auto"/>
              <w:rPr>
                <w:rFonts w:hint="eastAsia" w:ascii="宋体" w:hAnsi="宋体" w:eastAsia="宋体" w:cs="Times New Roman"/>
                <w:b/>
                <w:bCs/>
                <w:iCs/>
                <w:sz w:val="24"/>
                <w:szCs w:val="24"/>
              </w:rPr>
            </w:pPr>
            <w:r>
              <w:rPr>
                <w:rFonts w:hint="eastAsia" w:ascii="宋体" w:hAnsi="宋体" w:eastAsia="宋体" w:cs="Times New Roman"/>
                <w:b/>
                <w:bCs/>
                <w:iCs/>
                <w:sz w:val="24"/>
                <w:szCs w:val="24"/>
              </w:rPr>
              <w:t>参与单位名称</w:t>
            </w:r>
          </w:p>
        </w:tc>
        <w:tc>
          <w:tcPr>
            <w:tcW w:w="7374" w:type="dxa"/>
          </w:tcPr>
          <w:p>
            <w:pPr>
              <w:tabs>
                <w:tab w:val="center" w:pos="2798"/>
              </w:tabs>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通过线上方式参与科创板2026年半年度新能源行业集体业绩说明会的投资者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4" w:type="dxa"/>
          </w:tcPr>
          <w:p>
            <w:pPr>
              <w:spacing w:line="360" w:lineRule="auto"/>
              <w:rPr>
                <w:rFonts w:hint="eastAsia" w:ascii="宋体" w:hAnsi="宋体" w:eastAsia="宋体" w:cs="Times New Roman"/>
                <w:b/>
                <w:bCs/>
                <w:iCs/>
                <w:sz w:val="24"/>
                <w:szCs w:val="24"/>
              </w:rPr>
            </w:pPr>
            <w:r>
              <w:rPr>
                <w:rFonts w:hint="eastAsia" w:ascii="宋体" w:hAnsi="宋体" w:eastAsia="宋体" w:cs="Times New Roman"/>
                <w:b/>
                <w:bCs/>
                <w:iCs/>
                <w:sz w:val="24"/>
                <w:szCs w:val="24"/>
              </w:rPr>
              <w:t>会议时间</w:t>
            </w:r>
          </w:p>
        </w:tc>
        <w:tc>
          <w:tcPr>
            <w:tcW w:w="7374" w:type="dxa"/>
          </w:tcPr>
          <w:p>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2026年</w:t>
            </w:r>
            <w:r>
              <w:rPr>
                <w:rFonts w:hint="default" w:ascii="宋体" w:hAnsi="宋体" w:eastAsia="宋体" w:cs="Times New Roman"/>
                <w:bCs/>
                <w:iCs/>
                <w:sz w:val="24"/>
                <w:szCs w:val="24"/>
                <w:lang w:val="en-US"/>
              </w:rPr>
              <w:t>9</w:t>
            </w:r>
            <w:r>
              <w:rPr>
                <w:rFonts w:hint="eastAsia" w:ascii="宋体" w:hAnsi="宋体" w:eastAsia="宋体" w:cs="Times New Roman"/>
                <w:bCs/>
                <w:iCs/>
                <w:sz w:val="24"/>
                <w:szCs w:val="24"/>
              </w:rPr>
              <w:t>月</w:t>
            </w:r>
            <w:r>
              <w:rPr>
                <w:rFonts w:hint="default" w:ascii="宋体" w:hAnsi="宋体" w:eastAsia="宋体" w:cs="Times New Roman"/>
                <w:bCs/>
                <w:iCs/>
                <w:sz w:val="24"/>
                <w:szCs w:val="24"/>
                <w:lang w:val="en-US"/>
              </w:rPr>
              <w:t>3</w:t>
            </w:r>
            <w:r>
              <w:rPr>
                <w:rFonts w:hint="eastAsia" w:ascii="宋体" w:hAnsi="宋体" w:eastAsia="宋体" w:cs="Times New Roman"/>
                <w:bCs/>
                <w:iCs/>
                <w:sz w:val="24"/>
                <w:szCs w:val="24"/>
              </w:rPr>
              <w:t>日  15:</w:t>
            </w:r>
            <w:r>
              <w:rPr>
                <w:rFonts w:ascii="宋体" w:hAnsi="宋体" w:eastAsia="宋体" w:cs="Times New Roman"/>
                <w:bCs/>
                <w:iCs/>
                <w:sz w:val="24"/>
                <w:szCs w:val="24"/>
              </w:rPr>
              <w:t>00-1</w:t>
            </w:r>
            <w:r>
              <w:rPr>
                <w:rFonts w:hint="default" w:ascii="宋体" w:hAnsi="宋体" w:eastAsia="宋体" w:cs="Times New Roman"/>
                <w:bCs/>
                <w:iCs/>
                <w:sz w:val="24"/>
                <w:szCs w:val="24"/>
                <w:lang w:val="en-US"/>
              </w:rPr>
              <w:t>7</w:t>
            </w:r>
            <w:r>
              <w:rPr>
                <w:rFonts w:ascii="宋体" w:hAnsi="宋体" w:eastAsia="宋体" w:cs="Times New Roman"/>
                <w:bCs/>
                <w:iCs/>
                <w:sz w:val="24"/>
                <w:szCs w:val="24"/>
              </w:rPr>
              <w:t>:00</w:t>
            </w:r>
            <w:r>
              <w:rPr>
                <w:rFonts w:hint="eastAsia" w:ascii="宋体" w:hAnsi="宋体" w:eastAsia="宋体" w:cs="Times New Roman"/>
                <w:bCs/>
                <w:i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4" w:type="dxa"/>
          </w:tcPr>
          <w:p>
            <w:pPr>
              <w:spacing w:line="360" w:lineRule="auto"/>
              <w:rPr>
                <w:rFonts w:hint="eastAsia" w:ascii="宋体" w:hAnsi="宋体" w:eastAsia="宋体" w:cs="Times New Roman"/>
                <w:b/>
                <w:bCs/>
                <w:iCs/>
                <w:sz w:val="24"/>
                <w:szCs w:val="24"/>
              </w:rPr>
            </w:pPr>
            <w:r>
              <w:rPr>
                <w:rFonts w:hint="eastAsia" w:ascii="宋体" w:hAnsi="宋体" w:eastAsia="宋体" w:cs="Times New Roman"/>
                <w:b/>
                <w:bCs/>
                <w:iCs/>
                <w:sz w:val="24"/>
                <w:szCs w:val="24"/>
              </w:rPr>
              <w:t>会议地点</w:t>
            </w:r>
          </w:p>
        </w:tc>
        <w:tc>
          <w:tcPr>
            <w:tcW w:w="7374" w:type="dxa"/>
          </w:tcPr>
          <w:p>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在上海证券交易所上证路演中心（网址：https://roadshow.sseinfo.com）以网络互动方式召开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4" w:type="dxa"/>
          </w:tcPr>
          <w:p>
            <w:pPr>
              <w:spacing w:line="360" w:lineRule="auto"/>
              <w:rPr>
                <w:rFonts w:hint="eastAsia" w:ascii="宋体" w:hAnsi="宋体" w:eastAsia="宋体" w:cs="Times New Roman"/>
                <w:b/>
                <w:bCs/>
                <w:iCs/>
                <w:sz w:val="24"/>
                <w:szCs w:val="24"/>
              </w:rPr>
            </w:pPr>
            <w:r>
              <w:rPr>
                <w:rFonts w:hint="eastAsia" w:ascii="宋体" w:hAnsi="宋体" w:eastAsia="宋体" w:cs="Times New Roman"/>
                <w:b/>
                <w:bCs/>
                <w:iCs/>
                <w:sz w:val="24"/>
                <w:szCs w:val="24"/>
              </w:rPr>
              <w:t>上市公司接待人员姓名</w:t>
            </w:r>
          </w:p>
        </w:tc>
        <w:tc>
          <w:tcPr>
            <w:tcW w:w="7374" w:type="dxa"/>
          </w:tcPr>
          <w:p>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董事长杨志明先生；独立董事陈小华女士</w:t>
            </w:r>
            <w:r>
              <w:rPr>
                <w:rFonts w:hint="eastAsia" w:ascii="宋体" w:hAnsi="宋体" w:eastAsia="宋体" w:cs="Times New Roman"/>
                <w:bCs/>
                <w:iCs/>
                <w:sz w:val="24"/>
                <w:szCs w:val="24"/>
                <w:lang w:val="en-US" w:eastAsia="zh-CN"/>
              </w:rPr>
              <w:t>；</w:t>
            </w:r>
            <w:r>
              <w:rPr>
                <w:rFonts w:hint="eastAsia" w:ascii="宋体" w:hAnsi="宋体" w:eastAsia="宋体" w:cs="Times New Roman"/>
                <w:bCs/>
                <w:iCs/>
                <w:sz w:val="24"/>
                <w:szCs w:val="24"/>
              </w:rPr>
              <w:t>董事会秘书</w:t>
            </w:r>
            <w:r>
              <w:rPr>
                <w:rFonts w:hint="eastAsia" w:ascii="宋体" w:hAnsi="宋体" w:eastAsia="宋体" w:cs="Times New Roman"/>
                <w:bCs/>
                <w:iCs/>
                <w:sz w:val="24"/>
                <w:szCs w:val="24"/>
                <w:lang w:val="en-US" w:eastAsia="zh-CN"/>
              </w:rPr>
              <w:t>杨堃</w:t>
            </w:r>
            <w:r>
              <w:rPr>
                <w:rFonts w:hint="eastAsia" w:ascii="宋体" w:hAnsi="宋体" w:eastAsia="宋体" w:cs="Times New Roman"/>
                <w:bCs/>
                <w:iCs/>
                <w:sz w:val="24"/>
                <w:szCs w:val="24"/>
              </w:rPr>
              <w:t>先生</w:t>
            </w:r>
            <w:r>
              <w:rPr>
                <w:rFonts w:hint="eastAsia" w:ascii="宋体" w:hAnsi="宋体" w:eastAsia="宋体" w:cs="Times New Roman"/>
                <w:bCs/>
                <w:iCs/>
                <w:sz w:val="24"/>
                <w:szCs w:val="24"/>
                <w:lang w:eastAsia="zh-CN"/>
              </w:rPr>
              <w:t>；</w:t>
            </w:r>
            <w:r>
              <w:rPr>
                <w:rFonts w:hint="eastAsia" w:ascii="宋体" w:hAnsi="宋体" w:eastAsia="宋体" w:cs="Times New Roman"/>
                <w:bCs/>
                <w:iCs/>
                <w:sz w:val="24"/>
                <w:szCs w:val="24"/>
                <w:lang w:val="en-US" w:eastAsia="zh-CN"/>
              </w:rPr>
              <w:t>财务总监邓军先生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1754" w:type="dxa"/>
            <w:vAlign w:val="center"/>
          </w:tcPr>
          <w:p>
            <w:pPr>
              <w:spacing w:line="360" w:lineRule="auto"/>
              <w:rPr>
                <w:rFonts w:hint="eastAsia" w:ascii="宋体" w:hAnsi="宋体" w:eastAsia="宋体" w:cs="Times New Roman"/>
                <w:b/>
                <w:bCs/>
                <w:iCs/>
                <w:sz w:val="24"/>
                <w:szCs w:val="24"/>
              </w:rPr>
            </w:pPr>
            <w:r>
              <w:rPr>
                <w:rFonts w:hint="eastAsia" w:ascii="宋体" w:hAnsi="宋体" w:eastAsia="宋体" w:cs="Times New Roman"/>
                <w:b/>
                <w:bCs/>
                <w:iCs/>
                <w:sz w:val="24"/>
                <w:szCs w:val="24"/>
              </w:rPr>
              <w:t>投资者关系活动主要内容介绍</w:t>
            </w:r>
          </w:p>
        </w:tc>
        <w:tc>
          <w:tcPr>
            <w:tcW w:w="7374" w:type="dxa"/>
            <w:vAlign w:val="center"/>
          </w:tcPr>
          <w:p>
            <w:pPr>
              <w:spacing w:line="440" w:lineRule="exact"/>
              <w:rPr>
                <w:b/>
              </w:rPr>
            </w:pPr>
            <w:r>
              <w:rPr>
                <w:rFonts w:hint="eastAsia" w:ascii="宋体" w:hAnsi="宋体" w:eastAsia="宋体" w:cs="Times New Roman"/>
                <w:b/>
                <w:iCs/>
                <w:sz w:val="24"/>
                <w:szCs w:val="24"/>
              </w:rPr>
              <w:t>一、</w:t>
            </w:r>
            <w:r>
              <w:rPr>
                <w:rFonts w:hint="eastAsia" w:ascii="宋体"/>
                <w:b/>
                <w:sz w:val="24"/>
              </w:rPr>
              <w:t>公司上半年新签订单是多少？公司新签订单的毛利率是多少？公司的客户里面，头部客户占的比重是多少？</w:t>
            </w:r>
          </w:p>
          <w:p>
            <w:pPr>
              <w:spacing w:line="440" w:lineRule="exact"/>
              <w:ind w:firstLine="480" w:firstLineChars="200"/>
              <w:rPr>
                <w:rFonts w:ascii="宋体"/>
                <w:sz w:val="24"/>
              </w:rPr>
            </w:pPr>
            <w:r>
              <w:rPr>
                <w:rFonts w:hint="eastAsia" w:ascii="宋体"/>
                <w:sz w:val="24"/>
              </w:rPr>
              <w:t>尊敬的投资者，您好！上半年公司按照销售计划开拓客户，签订新订单，目前公司在手订单充裕，公司多措并举推进降本增效，努力提高毛利率水平，目前公司客户以行业头部客户为主。感谢您对公司的关注！</w:t>
            </w:r>
          </w:p>
          <w:p>
            <w:pPr>
              <w:numPr>
                <w:ilvl w:val="0"/>
                <w:numId w:val="1"/>
              </w:numPr>
              <w:spacing w:line="440" w:lineRule="exact"/>
              <w:ind w:left="210" w:leftChars="0" w:firstLineChars="0"/>
              <w:rPr>
                <w:rFonts w:hint="eastAsia" w:ascii="宋体" w:hAnsi="宋体" w:eastAsia="宋体" w:cs="Times New Roman"/>
                <w:b/>
                <w:iCs/>
                <w:sz w:val="24"/>
                <w:szCs w:val="24"/>
              </w:rPr>
            </w:pPr>
            <w:r>
              <w:rPr>
                <w:rFonts w:hint="eastAsia" w:ascii="宋体" w:hAnsi="宋体" w:eastAsia="宋体" w:cs="Times New Roman"/>
                <w:b/>
                <w:iCs/>
                <w:sz w:val="24"/>
                <w:szCs w:val="24"/>
              </w:rPr>
              <w:t>公司在投资者回报和市值管理方面有哪些具体举措？中长期的分红规划如何？</w:t>
            </w:r>
          </w:p>
          <w:p>
            <w:pPr>
              <w:spacing w:line="440" w:lineRule="exact"/>
              <w:ind w:firstLine="480" w:firstLineChars="200"/>
              <w:rPr>
                <w:rFonts w:hint="eastAsia" w:ascii="宋体"/>
                <w:sz w:val="24"/>
              </w:rPr>
            </w:pPr>
            <w:r>
              <w:rPr>
                <w:rFonts w:hint="eastAsia" w:ascii="宋体"/>
                <w:sz w:val="24"/>
              </w:rPr>
              <w:t>尊敬的投资者，您好！公司始终秉持“以投资者为本”的理念，致力于提升投资者回报水平，增强公司综合实力，推动高质量发展。同时公司不断提升核心竞争力、盈利能力和风险管理能力，通过业绩、规范的治理结构积极回馈投资者，履行上市公司的责任和义务，以维护公司在资本市场的良好形象。未来，公司将综合考虑业务发展、财务状况、未来规划、行业趋势及法律规定等因素，持续优化现金分红机制，积极为投资者创造回报。公司也将紧密跟踪资本市场动态，积极提升公司价值，为股东创造长期价值。感谢您对公司的关注！</w:t>
            </w:r>
          </w:p>
          <w:p>
            <w:pPr>
              <w:numPr>
                <w:ilvl w:val="0"/>
                <w:numId w:val="1"/>
              </w:numPr>
              <w:spacing w:line="440" w:lineRule="exact"/>
              <w:ind w:left="210" w:leftChars="0" w:firstLineChars="0"/>
              <w:rPr>
                <w:rFonts w:hint="eastAsia" w:ascii="宋体" w:hAnsi="宋体" w:eastAsia="宋体" w:cs="Times New Roman"/>
                <w:b/>
                <w:iCs/>
                <w:sz w:val="24"/>
                <w:szCs w:val="24"/>
              </w:rPr>
            </w:pPr>
            <w:r>
              <w:rPr>
                <w:rFonts w:hint="eastAsia" w:ascii="宋体" w:hAnsi="宋体" w:eastAsia="宋体" w:cs="Times New Roman"/>
                <w:b/>
                <w:iCs/>
                <w:sz w:val="24"/>
                <w:szCs w:val="24"/>
              </w:rPr>
              <w:t>公司是否有拓展中小客户或其他行业客户的计划，以降低客户集中度风险？</w:t>
            </w:r>
          </w:p>
          <w:p>
            <w:pPr>
              <w:spacing w:line="440" w:lineRule="exact"/>
              <w:ind w:firstLine="480" w:firstLineChars="200"/>
              <w:rPr>
                <w:rFonts w:hint="eastAsia" w:ascii="宋体"/>
                <w:sz w:val="24"/>
              </w:rPr>
            </w:pPr>
            <w:r>
              <w:rPr>
                <w:rFonts w:hint="eastAsia" w:ascii="宋体"/>
                <w:sz w:val="24"/>
              </w:rPr>
              <w:t>尊敬的投资者，您好！公司客户战略以深化头部客户合作为基础，同时充分重视并积极拓展中小客户群体，为不同规模客户提供差异化设备及解决方案服务。公司将持续优化客户结构，在深耕头部客户的同时，加大中小客户及新兴领域客户的开发力度，降低客户集中度风险。感谢您对公司的关注！</w:t>
            </w:r>
          </w:p>
          <w:p>
            <w:pPr>
              <w:numPr>
                <w:ilvl w:val="0"/>
                <w:numId w:val="1"/>
              </w:numPr>
              <w:spacing w:line="440" w:lineRule="exact"/>
              <w:ind w:left="210" w:leftChars="0" w:firstLineChars="0"/>
              <w:rPr>
                <w:rFonts w:hint="eastAsia" w:ascii="宋体" w:hAnsi="宋体" w:eastAsia="宋体" w:cs="Times New Roman"/>
                <w:b/>
                <w:iCs/>
                <w:sz w:val="24"/>
                <w:szCs w:val="24"/>
              </w:rPr>
            </w:pPr>
            <w:r>
              <w:rPr>
                <w:rFonts w:hint="eastAsia" w:ascii="宋体" w:hAnsi="宋体" w:eastAsia="宋体" w:cs="Times New Roman"/>
                <w:b/>
                <w:iCs/>
                <w:sz w:val="24"/>
                <w:szCs w:val="24"/>
              </w:rPr>
              <w:t>请问公司2026年上半年毛利率水平偏低的原因？后续公司计划采取哪些优化措施？</w:t>
            </w:r>
          </w:p>
          <w:p>
            <w:pPr>
              <w:spacing w:line="440" w:lineRule="exact"/>
              <w:ind w:firstLine="480" w:firstLineChars="200"/>
              <w:rPr>
                <w:rFonts w:hint="eastAsia" w:ascii="宋体"/>
                <w:sz w:val="24"/>
              </w:rPr>
            </w:pPr>
            <w:r>
              <w:rPr>
                <w:rFonts w:hint="eastAsia" w:ascii="宋体"/>
                <w:sz w:val="24"/>
              </w:rPr>
              <w:t>尊敬的投资者，您好！受部分订单首次合作带来的阶段性影响以及引进客户初期采取较低售价策略，造成公司部分订单毛利偏低。后续公司将多措并举推进降本增效，从产品设计、供应链、运营管理等环节优化成本，并依托与头部客户合作深度的提升，逐步优化产品定价机制，改善毛利空间。感谢您对公司的关注！</w:t>
            </w:r>
          </w:p>
          <w:p>
            <w:pPr>
              <w:numPr>
                <w:ilvl w:val="0"/>
                <w:numId w:val="1"/>
              </w:numPr>
              <w:spacing w:line="440" w:lineRule="exact"/>
              <w:ind w:left="210" w:leftChars="0" w:firstLineChars="0"/>
              <w:rPr>
                <w:rFonts w:hint="eastAsia" w:ascii="宋体" w:hAnsi="宋体" w:eastAsia="宋体" w:cs="Times New Roman"/>
                <w:b/>
                <w:iCs/>
                <w:sz w:val="24"/>
                <w:szCs w:val="24"/>
              </w:rPr>
            </w:pPr>
            <w:r>
              <w:rPr>
                <w:rFonts w:hint="eastAsia" w:ascii="宋体" w:hAnsi="宋体" w:eastAsia="宋体" w:cs="Times New Roman"/>
                <w:b/>
                <w:iCs/>
                <w:sz w:val="24"/>
                <w:szCs w:val="24"/>
              </w:rPr>
              <w:t>请介绍一下公司2026年上半年研发情况？</w:t>
            </w:r>
          </w:p>
          <w:p>
            <w:pPr>
              <w:spacing w:line="440" w:lineRule="exact"/>
              <w:ind w:firstLine="480" w:firstLineChars="200"/>
              <w:rPr>
                <w:rFonts w:hint="eastAsia" w:ascii="宋体"/>
                <w:sz w:val="24"/>
              </w:rPr>
            </w:pPr>
            <w:r>
              <w:rPr>
                <w:rFonts w:hint="eastAsia" w:ascii="宋体"/>
                <w:sz w:val="24"/>
              </w:rPr>
              <w:t>尊敬的投资者，您好！2026年上半年，公司研发投入达2,184万元，研发投入比例10.54%，覆盖装备、工艺、材料全链条，在涂布、辊压、分切、干燥及核心零部件领域实现持续优化，并持续推进固态电池装备与固态电解质相关研发。此外，还与亚微深耕光学与功能薄膜领域，各业务板块协同发力，共同构筑核心竞争力。感谢您对公司的关注！</w:t>
            </w:r>
          </w:p>
          <w:p>
            <w:pPr>
              <w:numPr>
                <w:ilvl w:val="0"/>
                <w:numId w:val="1"/>
              </w:numPr>
              <w:spacing w:line="440" w:lineRule="exact"/>
              <w:ind w:left="210" w:leftChars="0" w:firstLineChars="0"/>
              <w:rPr>
                <w:rFonts w:hint="eastAsia" w:ascii="宋体" w:hAnsi="宋体" w:eastAsia="宋体" w:cs="Times New Roman"/>
                <w:b/>
                <w:iCs/>
                <w:sz w:val="24"/>
                <w:szCs w:val="24"/>
              </w:rPr>
            </w:pPr>
            <w:r>
              <w:rPr>
                <w:rFonts w:hint="eastAsia" w:ascii="宋体" w:hAnsi="宋体" w:eastAsia="宋体" w:cs="Times New Roman"/>
                <w:b/>
                <w:iCs/>
                <w:sz w:val="24"/>
                <w:szCs w:val="24"/>
              </w:rPr>
              <w:t>请问公司市场竞争能力如何？</w:t>
            </w:r>
          </w:p>
          <w:p>
            <w:pPr>
              <w:spacing w:line="440" w:lineRule="exact"/>
              <w:ind w:firstLine="480" w:firstLineChars="200"/>
              <w:rPr>
                <w:rFonts w:hint="eastAsia" w:ascii="宋体"/>
                <w:b/>
                <w:bCs/>
                <w:sz w:val="24"/>
              </w:rPr>
            </w:pPr>
            <w:r>
              <w:rPr>
                <w:rFonts w:hint="eastAsia" w:ascii="宋体"/>
                <w:sz w:val="24"/>
              </w:rPr>
              <w:t>尊敬的投资者，您好！公司已深度嵌入头部电池厂商供应链，形成了“技术认证+联合研发”的双重优势。凭借技术实力，公司已通过头部客户的严苛质量认证并建立长期合作。报告期内，荣获时代长安“年度优秀供应商——攻坚克难，稳产标杆”及厦门时代“潜力新锐奖”等荣誉。通过与头部客户的联合研发与工艺共创，公司能够前瞻性把握技术路线变革，实现“需求预判—技术储备—产品落地”的快速闭环，为持续稳定发展奠定了基础。感谢您对公司的关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4" w:type="dxa"/>
            <w:vAlign w:val="center"/>
          </w:tcPr>
          <w:p>
            <w:pPr>
              <w:spacing w:line="360" w:lineRule="auto"/>
              <w:rPr>
                <w:rFonts w:hint="eastAsia" w:ascii="宋体" w:hAnsi="宋体" w:eastAsia="宋体" w:cs="Times New Roman"/>
                <w:b/>
                <w:bCs/>
                <w:iCs/>
                <w:sz w:val="24"/>
                <w:szCs w:val="24"/>
              </w:rPr>
            </w:pPr>
            <w:r>
              <w:rPr>
                <w:rFonts w:hint="eastAsia" w:ascii="宋体" w:hAnsi="宋体" w:eastAsia="宋体" w:cs="Times New Roman"/>
                <w:b/>
                <w:bCs/>
                <w:iCs/>
                <w:sz w:val="24"/>
                <w:szCs w:val="24"/>
              </w:rPr>
              <w:t>附件清单（如有）</w:t>
            </w:r>
          </w:p>
        </w:tc>
        <w:tc>
          <w:tcPr>
            <w:tcW w:w="7374" w:type="dxa"/>
            <w:vAlign w:val="center"/>
          </w:tcPr>
          <w:p>
            <w:pPr>
              <w:spacing w:line="360" w:lineRule="auto"/>
              <w:jc w:val="both"/>
              <w:rPr>
                <w:rFonts w:hint="eastAsia" w:ascii="宋体" w:hAnsi="宋体" w:eastAsia="宋体" w:cs="Times New Roman"/>
                <w:bCs/>
                <w:iCs/>
                <w:sz w:val="24"/>
                <w:szCs w:val="24"/>
              </w:rPr>
            </w:pPr>
            <w:r>
              <w:rPr>
                <w:rFonts w:hint="eastAsia" w:ascii="宋体" w:hAnsi="宋体" w:eastAsia="宋体" w:cs="Times New Roman"/>
                <w:bCs/>
                <w:iCs/>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4" w:type="dxa"/>
            <w:vAlign w:val="center"/>
          </w:tcPr>
          <w:p>
            <w:pPr>
              <w:spacing w:line="360" w:lineRule="auto"/>
              <w:rPr>
                <w:rFonts w:hint="eastAsia" w:ascii="宋体" w:hAnsi="宋体" w:eastAsia="宋体" w:cs="Times New Roman"/>
                <w:b/>
                <w:bCs/>
                <w:iCs/>
                <w:sz w:val="24"/>
                <w:szCs w:val="24"/>
              </w:rPr>
            </w:pPr>
            <w:r>
              <w:rPr>
                <w:rFonts w:hint="eastAsia" w:ascii="宋体" w:hAnsi="宋体" w:eastAsia="宋体" w:cs="Times New Roman"/>
                <w:b/>
                <w:bCs/>
                <w:iCs/>
                <w:sz w:val="24"/>
                <w:szCs w:val="24"/>
              </w:rPr>
              <w:t>是否涉及应当披露重大信息</w:t>
            </w:r>
          </w:p>
        </w:tc>
        <w:tc>
          <w:tcPr>
            <w:tcW w:w="7374" w:type="dxa"/>
            <w:vAlign w:val="center"/>
          </w:tcPr>
          <w:p>
            <w:pPr>
              <w:spacing w:line="360" w:lineRule="auto"/>
              <w:jc w:val="both"/>
              <w:rPr>
                <w:rFonts w:hint="eastAsia" w:ascii="宋体" w:hAnsi="宋体" w:eastAsia="宋体" w:cs="Times New Roman"/>
                <w:bCs/>
                <w:iCs/>
                <w:sz w:val="24"/>
                <w:szCs w:val="24"/>
              </w:rPr>
            </w:pPr>
            <w:r>
              <w:rPr>
                <w:rFonts w:hint="eastAsia" w:ascii="宋体" w:hAnsi="宋体" w:eastAsia="宋体" w:cs="Times New Roman"/>
                <w:bCs/>
                <w:iCs/>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4" w:type="dxa"/>
            <w:vAlign w:val="center"/>
          </w:tcPr>
          <w:p>
            <w:pPr>
              <w:spacing w:line="360" w:lineRule="auto"/>
              <w:rPr>
                <w:rFonts w:hint="eastAsia" w:ascii="宋体" w:hAnsi="宋体" w:eastAsia="宋体" w:cs="Times New Roman"/>
                <w:b/>
                <w:bCs/>
                <w:iCs/>
                <w:sz w:val="24"/>
                <w:szCs w:val="24"/>
              </w:rPr>
            </w:pPr>
            <w:r>
              <w:rPr>
                <w:rFonts w:hint="eastAsia" w:ascii="宋体" w:hAnsi="宋体" w:eastAsia="宋体" w:cs="Times New Roman"/>
                <w:b/>
                <w:bCs/>
                <w:iCs/>
                <w:sz w:val="24"/>
                <w:szCs w:val="24"/>
              </w:rPr>
              <w:t>日期</w:t>
            </w:r>
          </w:p>
        </w:tc>
        <w:tc>
          <w:tcPr>
            <w:tcW w:w="7374" w:type="dxa"/>
            <w:vAlign w:val="center"/>
          </w:tcPr>
          <w:p>
            <w:pPr>
              <w:spacing w:line="360" w:lineRule="auto"/>
              <w:rPr>
                <w:rFonts w:hint="eastAsia" w:ascii="宋体" w:hAnsi="宋体" w:eastAsia="宋体" w:cs="Times New Roman"/>
                <w:iCs/>
                <w:sz w:val="24"/>
                <w:szCs w:val="24"/>
              </w:rPr>
            </w:pPr>
            <w:r>
              <w:rPr>
                <w:rFonts w:hint="eastAsia" w:ascii="宋体" w:hAnsi="宋体" w:eastAsia="宋体" w:cs="Times New Roman"/>
                <w:iCs/>
                <w:sz w:val="24"/>
                <w:szCs w:val="24"/>
              </w:rPr>
              <w:t>2026年</w:t>
            </w:r>
            <w:r>
              <w:rPr>
                <w:rFonts w:hint="default" w:ascii="宋体" w:hAnsi="宋体" w:eastAsia="宋体" w:cs="Times New Roman"/>
                <w:iCs/>
                <w:sz w:val="24"/>
                <w:szCs w:val="24"/>
                <w:lang w:val="en-US"/>
              </w:rPr>
              <w:t>9</w:t>
            </w:r>
            <w:r>
              <w:rPr>
                <w:rFonts w:hint="eastAsia" w:ascii="宋体" w:hAnsi="宋体" w:eastAsia="宋体" w:cs="Times New Roman"/>
                <w:iCs/>
                <w:sz w:val="24"/>
                <w:szCs w:val="24"/>
              </w:rPr>
              <w:t>月</w:t>
            </w:r>
            <w:r>
              <w:rPr>
                <w:rFonts w:hint="default" w:ascii="宋体" w:hAnsi="宋体" w:eastAsia="宋体" w:cs="Times New Roman"/>
                <w:iCs/>
                <w:sz w:val="24"/>
                <w:szCs w:val="24"/>
                <w:lang w:val="en-US"/>
              </w:rPr>
              <w:t>4</w:t>
            </w:r>
            <w:r>
              <w:rPr>
                <w:rFonts w:hint="eastAsia" w:ascii="宋体" w:hAnsi="宋体" w:eastAsia="宋体" w:cs="Times New Roman"/>
                <w:iCs/>
                <w:sz w:val="24"/>
                <w:szCs w:val="24"/>
              </w:rPr>
              <w:t>日</w:t>
            </w:r>
          </w:p>
        </w:tc>
      </w:tr>
    </w:tbl>
    <w:p/>
    <w:p>
      <w:pPr>
        <w:bidi w:val="0"/>
        <w:rPr>
          <w:rFonts w:asciiTheme="minorHAnsi" w:hAnsiTheme="minorHAnsi" w:eastAsiaTheme="minorEastAsia" w:cstheme="minorBidi"/>
          <w:kern w:val="2"/>
          <w:sz w:val="21"/>
          <w:szCs w:val="22"/>
          <w:lang w:val="en-US" w:eastAsia="zh-CN" w:bidi="ar-SA"/>
        </w:rPr>
      </w:pPr>
    </w:p>
    <w:p>
      <w:pPr>
        <w:bidi w:val="0"/>
        <w:rPr>
          <w:lang w:val="en-US" w:eastAsia="zh-CN"/>
        </w:rPr>
      </w:pPr>
      <w:bookmarkStart w:id="0" w:name="_GoBack"/>
    </w:p>
    <w:bookmarkEnd w:id="0"/>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tabs>
          <w:tab w:val="left" w:pos="5015"/>
        </w:tabs>
        <w:bidi w:val="0"/>
        <w:jc w:val="left"/>
        <w:rPr>
          <w:lang w:val="en-US" w:eastAsia="zh-CN"/>
        </w:rPr>
      </w:pPr>
      <w:r>
        <w:rPr>
          <w:rFonts w:hint="eastAsia"/>
          <w:lang w:val="en-US" w:eastAsia="zh-CN"/>
        </w:rPr>
        <w:tab/>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DB4ECA"/>
    <w:multiLevelType w:val="singleLevel"/>
    <w:tmpl w:val="F1DB4ECA"/>
    <w:lvl w:ilvl="0" w:tentative="0">
      <w:start w:val="2"/>
      <w:numFmt w:val="chineseCounting"/>
      <w:suff w:val="nothing"/>
      <w:lvlText w:val="%1、"/>
      <w:lvlJc w:val="left"/>
      <w:pPr>
        <w:ind w:left="210"/>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E1MDY3Y2RiZDljNTAxNDIzMzNlMTRkMmRkYjJhZGMifQ=="/>
  </w:docVars>
  <w:rsids>
    <w:rsidRoot w:val="00D20A50"/>
    <w:rsid w:val="000A72F2"/>
    <w:rsid w:val="000C3350"/>
    <w:rsid w:val="00194BFD"/>
    <w:rsid w:val="001F7DB4"/>
    <w:rsid w:val="00252C5E"/>
    <w:rsid w:val="004C0075"/>
    <w:rsid w:val="005634F6"/>
    <w:rsid w:val="00617E4A"/>
    <w:rsid w:val="006244DD"/>
    <w:rsid w:val="00684C5E"/>
    <w:rsid w:val="007D17C3"/>
    <w:rsid w:val="00A9489F"/>
    <w:rsid w:val="00AE4EAC"/>
    <w:rsid w:val="00AE5D8A"/>
    <w:rsid w:val="00BE6824"/>
    <w:rsid w:val="00C46414"/>
    <w:rsid w:val="00C736CB"/>
    <w:rsid w:val="00C9538C"/>
    <w:rsid w:val="00D20A50"/>
    <w:rsid w:val="00DC643F"/>
    <w:rsid w:val="00EE194E"/>
    <w:rsid w:val="00F02B9B"/>
    <w:rsid w:val="00FB07AB"/>
    <w:rsid w:val="04FF506B"/>
    <w:rsid w:val="05607865"/>
    <w:rsid w:val="07745BAA"/>
    <w:rsid w:val="09B33B03"/>
    <w:rsid w:val="0D1A02B4"/>
    <w:rsid w:val="0DDF7656"/>
    <w:rsid w:val="11796994"/>
    <w:rsid w:val="184328A0"/>
    <w:rsid w:val="18CB6C94"/>
    <w:rsid w:val="1B71020D"/>
    <w:rsid w:val="1D80344C"/>
    <w:rsid w:val="1DF520F2"/>
    <w:rsid w:val="20073C97"/>
    <w:rsid w:val="21226945"/>
    <w:rsid w:val="252A4EF7"/>
    <w:rsid w:val="25B74E88"/>
    <w:rsid w:val="270C74B9"/>
    <w:rsid w:val="27430976"/>
    <w:rsid w:val="28DA1DEF"/>
    <w:rsid w:val="2D551541"/>
    <w:rsid w:val="32BF120B"/>
    <w:rsid w:val="32C67EE7"/>
    <w:rsid w:val="32DC0D89"/>
    <w:rsid w:val="338924F1"/>
    <w:rsid w:val="376437A6"/>
    <w:rsid w:val="385036BB"/>
    <w:rsid w:val="3DA2332F"/>
    <w:rsid w:val="43062FC1"/>
    <w:rsid w:val="48DD3F9B"/>
    <w:rsid w:val="4B345702"/>
    <w:rsid w:val="4BEA6ADC"/>
    <w:rsid w:val="4C602A7D"/>
    <w:rsid w:val="4CD90842"/>
    <w:rsid w:val="4D9B2A48"/>
    <w:rsid w:val="519A433C"/>
    <w:rsid w:val="54060014"/>
    <w:rsid w:val="55FC65E0"/>
    <w:rsid w:val="59663055"/>
    <w:rsid w:val="5B9223A9"/>
    <w:rsid w:val="5D617135"/>
    <w:rsid w:val="5EBF2697"/>
    <w:rsid w:val="5FF21B28"/>
    <w:rsid w:val="63E00ABA"/>
    <w:rsid w:val="67746F85"/>
    <w:rsid w:val="68F64248"/>
    <w:rsid w:val="691F746E"/>
    <w:rsid w:val="6FE91939"/>
    <w:rsid w:val="70143ED4"/>
    <w:rsid w:val="71C24EFF"/>
    <w:rsid w:val="72D158A9"/>
    <w:rsid w:val="76FA7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autoRedefine/>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4"/>
    <w:autoRedefine/>
    <w:unhideWhenUsed/>
    <w:qFormat/>
    <w:uiPriority w:val="99"/>
    <w:pPr>
      <w:jc w:val="left"/>
    </w:pPr>
  </w:style>
  <w:style w:type="paragraph" w:styleId="3">
    <w:name w:val="Balloon Text"/>
    <w:basedOn w:val="1"/>
    <w:link w:val="16"/>
    <w:autoRedefine/>
    <w:unhideWhenUsed/>
    <w:qFormat/>
    <w:uiPriority w:val="99"/>
    <w:rPr>
      <w:sz w:val="18"/>
      <w:szCs w:val="18"/>
    </w:r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autoRedefine/>
    <w:unhideWhenUsed/>
    <w:qFormat/>
    <w:uiPriority w:val="99"/>
    <w:rPr>
      <w:b/>
      <w:bCs/>
    </w:rPr>
  </w:style>
  <w:style w:type="table" w:styleId="8">
    <w:name w:val="Table Grid"/>
    <w:basedOn w:val="7"/>
    <w:autoRedefine/>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0">
    <w:name w:val="annotation reference"/>
    <w:basedOn w:val="9"/>
    <w:autoRedefine/>
    <w:unhideWhenUsed/>
    <w:qFormat/>
    <w:uiPriority w:val="99"/>
    <w:rPr>
      <w:sz w:val="21"/>
      <w:szCs w:val="21"/>
    </w:rPr>
  </w:style>
  <w:style w:type="character" w:customStyle="1" w:styleId="11">
    <w:name w:val="页眉 字符"/>
    <w:basedOn w:val="9"/>
    <w:link w:val="5"/>
    <w:autoRedefine/>
    <w:qFormat/>
    <w:uiPriority w:val="99"/>
    <w:rPr>
      <w:kern w:val="2"/>
      <w:sz w:val="18"/>
      <w:szCs w:val="18"/>
    </w:rPr>
  </w:style>
  <w:style w:type="character" w:customStyle="1" w:styleId="12">
    <w:name w:val="页脚 字符"/>
    <w:basedOn w:val="9"/>
    <w:link w:val="4"/>
    <w:autoRedefine/>
    <w:qFormat/>
    <w:uiPriority w:val="99"/>
    <w:rPr>
      <w:kern w:val="2"/>
      <w:sz w:val="18"/>
      <w:szCs w:val="18"/>
    </w:rPr>
  </w:style>
  <w:style w:type="paragraph" w:customStyle="1" w:styleId="13">
    <w:name w:val="列出段落1"/>
    <w:basedOn w:val="1"/>
    <w:autoRedefine/>
    <w:qFormat/>
    <w:uiPriority w:val="99"/>
    <w:pPr>
      <w:ind w:firstLine="420" w:firstLineChars="200"/>
    </w:pPr>
  </w:style>
  <w:style w:type="character" w:customStyle="1" w:styleId="14">
    <w:name w:val="批注文字 字符"/>
    <w:basedOn w:val="9"/>
    <w:link w:val="2"/>
    <w:autoRedefine/>
    <w:semiHidden/>
    <w:qFormat/>
    <w:uiPriority w:val="99"/>
    <w:rPr>
      <w:kern w:val="2"/>
      <w:sz w:val="21"/>
      <w:szCs w:val="22"/>
    </w:rPr>
  </w:style>
  <w:style w:type="character" w:customStyle="1" w:styleId="15">
    <w:name w:val="批注主题 字符"/>
    <w:basedOn w:val="14"/>
    <w:link w:val="6"/>
    <w:autoRedefine/>
    <w:semiHidden/>
    <w:qFormat/>
    <w:uiPriority w:val="99"/>
    <w:rPr>
      <w:b/>
      <w:bCs/>
      <w:kern w:val="2"/>
      <w:sz w:val="21"/>
      <w:szCs w:val="22"/>
    </w:rPr>
  </w:style>
  <w:style w:type="character" w:customStyle="1" w:styleId="16">
    <w:name w:val="批注框文本 字符"/>
    <w:basedOn w:val="9"/>
    <w:link w:val="3"/>
    <w:autoRedefine/>
    <w:semiHidden/>
    <w:qFormat/>
    <w:uiPriority w:val="99"/>
    <w:rPr>
      <w:kern w:val="2"/>
      <w:sz w:val="18"/>
      <w:szCs w:val="18"/>
    </w:rPr>
  </w:style>
  <w:style w:type="paragraph" w:styleId="17">
    <w:name w:val="List Paragraph"/>
    <w:basedOn w:val="1"/>
    <w:autoRedefine/>
    <w:qFormat/>
    <w:uiPriority w:val="99"/>
    <w:pPr>
      <w:ind w:firstLine="420" w:firstLineChars="200"/>
    </w:pPr>
  </w:style>
  <w:style w:type="paragraph" w:customStyle="1" w:styleId="18">
    <w:name w:val="Revision"/>
    <w:autoRedefine/>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588</Words>
  <Characters>3356</Characters>
  <Lines>27</Lines>
  <Paragraphs>7</Paragraphs>
  <TotalTime>35</TotalTime>
  <ScaleCrop>false</ScaleCrop>
  <LinksUpToDate>false</LinksUpToDate>
  <CharactersWithSpaces>3937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2025-06-11T04:08:00Z</dcterms:created>
  <dc:creator>Li Xiang</dc:creator>
  <cp:lastModifiedBy>王艳艳</cp:lastModifiedBy>
  <cp:lastPrinted>2026-06-29T06:42:00Z</cp:lastPrinted>
  <dcterms:modified xsi:type="dcterms:W3CDTF">2026-09-04T02:13:38Z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E1A8CA8A852F41E698FBBC1D47AA9CC9_13</vt:lpwstr>
  </property>
</Properties>
</file>