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11C90">
      <w:pPr>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证券代码：</w:t>
      </w:r>
      <w:r>
        <w:rPr>
          <w:rFonts w:ascii="Times New Roman" w:hAnsi="Times New Roman" w:eastAsia="宋体" w:cs="Times New Roman"/>
          <w:sz w:val="24"/>
          <w:szCs w:val="24"/>
        </w:rPr>
        <w:t>688343</w:t>
      </w:r>
      <w:r>
        <w:rPr>
          <w:rFonts w:ascii="Times New Roman" w:hAnsi="Times New Roman" w:eastAsia="宋体" w:cs="Times New Roman"/>
          <w:sz w:val="24"/>
          <w:szCs w:val="24"/>
        </w:rPr>
        <w:tab/>
      </w:r>
      <w:r>
        <w:rPr>
          <w:rFonts w:ascii="Times New Roman" w:hAnsi="Times New Roman" w:eastAsia="宋体" w:cs="Times New Roman"/>
          <w:sz w:val="24"/>
          <w:szCs w:val="24"/>
        </w:rPr>
        <w:tab/>
      </w:r>
      <w:r>
        <w:rPr>
          <w:rFonts w:ascii="Times New Roman" w:hAnsi="Times New Roman" w:eastAsia="宋体" w:cs="Times New Roman"/>
          <w:sz w:val="24"/>
          <w:szCs w:val="24"/>
        </w:rPr>
        <w:tab/>
      </w:r>
      <w:r>
        <w:rPr>
          <w:rFonts w:ascii="Times New Roman" w:hAnsi="Times New Roman" w:eastAsia="宋体" w:cs="Times New Roman"/>
          <w:sz w:val="24"/>
          <w:szCs w:val="24"/>
        </w:rPr>
        <w:tab/>
      </w:r>
      <w:r>
        <w:rPr>
          <w:rFonts w:ascii="Times New Roman" w:hAnsi="Times New Roman" w:eastAsia="宋体" w:cs="Times New Roman"/>
          <w:sz w:val="24"/>
          <w:szCs w:val="24"/>
        </w:rPr>
        <w:tab/>
      </w:r>
      <w:r>
        <w:rPr>
          <w:rFonts w:ascii="Times New Roman" w:hAnsi="Times New Roman" w:eastAsia="宋体" w:cs="Times New Roman"/>
          <w:sz w:val="24"/>
          <w:szCs w:val="24"/>
        </w:rPr>
        <w:tab/>
      </w:r>
      <w:r>
        <w:rPr>
          <w:rFonts w:ascii="Times New Roman" w:hAnsi="Times New Roman" w:eastAsia="宋体" w:cs="Times New Roman"/>
          <w:sz w:val="24"/>
          <w:szCs w:val="24"/>
        </w:rPr>
        <w:tab/>
      </w:r>
      <w:r>
        <w:rPr>
          <w:rFonts w:ascii="Times New Roman" w:hAnsi="Times New Roman" w:eastAsia="宋体" w:cs="Times New Roman"/>
          <w:sz w:val="24"/>
          <w:szCs w:val="24"/>
        </w:rPr>
        <w:tab/>
      </w:r>
      <w:r>
        <w:rPr>
          <w:rFonts w:ascii="Times New Roman" w:hAnsi="Times New Roman" w:eastAsia="宋体" w:cs="Times New Roman"/>
          <w:sz w:val="24"/>
          <w:szCs w:val="24"/>
        </w:rPr>
        <w:tab/>
      </w:r>
      <w:r>
        <w:rPr>
          <w:rFonts w:ascii="Times New Roman" w:hAnsi="Times New Roman" w:eastAsia="宋体" w:cs="Times New Roman"/>
          <w:sz w:val="24"/>
          <w:szCs w:val="24"/>
        </w:rPr>
        <w:tab/>
      </w:r>
      <w:r>
        <w:rPr>
          <w:rFonts w:hint="eastAsia" w:ascii="Times New Roman" w:hAnsi="Times New Roman" w:eastAsia="宋体" w:cs="Times New Roman"/>
          <w:sz w:val="24"/>
          <w:szCs w:val="24"/>
        </w:rPr>
        <w:t>证券简称：云天励飞</w:t>
      </w:r>
    </w:p>
    <w:p w14:paraId="479189BE">
      <w:pPr>
        <w:spacing w:before="156" w:beforeLines="50" w:after="156" w:afterLines="50" w:line="400" w:lineRule="exact"/>
        <w:jc w:val="center"/>
        <w:rPr>
          <w:rFonts w:ascii="Times New Roman" w:hAnsi="Times New Roman" w:eastAsia="宋体" w:cs="Times New Roman"/>
          <w:b/>
          <w:bCs/>
          <w:iCs/>
          <w:color w:val="000000"/>
          <w:sz w:val="32"/>
          <w:szCs w:val="32"/>
        </w:rPr>
      </w:pPr>
      <w:r>
        <w:rPr>
          <w:rFonts w:hint="eastAsia" w:ascii="Times New Roman" w:hAnsi="Times New Roman" w:eastAsia="宋体" w:cs="Times New Roman"/>
          <w:b/>
          <w:bCs/>
          <w:iCs/>
          <w:color w:val="000000"/>
          <w:sz w:val="32"/>
          <w:szCs w:val="32"/>
        </w:rPr>
        <w:t>深圳云天励飞技术股份有限公司</w:t>
      </w:r>
    </w:p>
    <w:p w14:paraId="355E182A">
      <w:pPr>
        <w:spacing w:before="156" w:beforeLines="50" w:after="156" w:afterLines="50" w:line="400" w:lineRule="exact"/>
        <w:jc w:val="center"/>
        <w:rPr>
          <w:rFonts w:ascii="Times New Roman" w:hAnsi="Times New Roman" w:eastAsia="宋体" w:cs="Times New Roman"/>
          <w:b/>
          <w:bCs/>
          <w:iCs/>
          <w:color w:val="000000"/>
          <w:sz w:val="32"/>
          <w:szCs w:val="32"/>
        </w:rPr>
      </w:pPr>
      <w:r>
        <w:rPr>
          <w:rFonts w:hint="eastAsia" w:ascii="Times New Roman" w:hAnsi="Times New Roman" w:eastAsia="宋体" w:cs="Times New Roman"/>
          <w:b/>
          <w:bCs/>
          <w:iCs/>
          <w:color w:val="000000"/>
          <w:sz w:val="32"/>
          <w:szCs w:val="32"/>
        </w:rPr>
        <w:t>投资者关系活动记录表</w:t>
      </w:r>
    </w:p>
    <w:p w14:paraId="75D1CA70">
      <w:pPr>
        <w:spacing w:before="156" w:beforeLines="50" w:after="156" w:afterLines="50" w:line="400" w:lineRule="exact"/>
        <w:jc w:val="center"/>
        <w:rPr>
          <w:rFonts w:ascii="Times New Roman" w:hAnsi="Times New Roman" w:eastAsia="宋体" w:cs="Times New Roman"/>
          <w:b/>
          <w:bCs/>
          <w:iCs/>
          <w:color w:val="000000"/>
          <w:sz w:val="32"/>
          <w:szCs w:val="32"/>
        </w:rPr>
      </w:pPr>
      <w:r>
        <w:rPr>
          <w:rFonts w:hint="eastAsia" w:ascii="Times New Roman" w:hAnsi="Times New Roman" w:eastAsia="宋体" w:cs="Times New Roman"/>
          <w:b/>
          <w:bCs/>
          <w:iCs/>
          <w:color w:val="000000"/>
          <w:sz w:val="32"/>
          <w:szCs w:val="32"/>
        </w:rPr>
        <w:t>（2026年</w:t>
      </w:r>
      <w:r>
        <w:rPr>
          <w:rFonts w:ascii="Times New Roman" w:hAnsi="Times New Roman" w:eastAsia="宋体" w:cs="Times New Roman"/>
          <w:b/>
          <w:bCs/>
          <w:iCs/>
          <w:color w:val="000000"/>
          <w:sz w:val="32"/>
          <w:szCs w:val="32"/>
        </w:rPr>
        <w:t>9</w:t>
      </w:r>
      <w:r>
        <w:rPr>
          <w:rFonts w:hint="eastAsia" w:ascii="Times New Roman" w:hAnsi="Times New Roman" w:eastAsia="宋体" w:cs="Times New Roman"/>
          <w:b/>
          <w:bCs/>
          <w:iCs/>
          <w:color w:val="000000"/>
          <w:sz w:val="32"/>
          <w:szCs w:val="32"/>
        </w:rPr>
        <w:t>月</w:t>
      </w:r>
      <w:r>
        <w:rPr>
          <w:rFonts w:ascii="Times New Roman" w:hAnsi="Times New Roman" w:eastAsia="宋体" w:cs="Times New Roman"/>
          <w:b/>
          <w:bCs/>
          <w:iCs/>
          <w:color w:val="000000"/>
          <w:sz w:val="32"/>
          <w:szCs w:val="32"/>
        </w:rPr>
        <w:t>2</w:t>
      </w:r>
      <w:r>
        <w:rPr>
          <w:rFonts w:hint="eastAsia" w:ascii="Times New Roman" w:hAnsi="Times New Roman" w:eastAsia="宋体" w:cs="Times New Roman"/>
          <w:b/>
          <w:bCs/>
          <w:iCs/>
          <w:color w:val="000000"/>
          <w:sz w:val="32"/>
          <w:szCs w:val="32"/>
        </w:rPr>
        <w:t>日-</w:t>
      </w:r>
      <w:r>
        <w:rPr>
          <w:rFonts w:ascii="Times New Roman" w:hAnsi="Times New Roman" w:eastAsia="宋体" w:cs="Times New Roman"/>
          <w:b/>
          <w:bCs/>
          <w:iCs/>
          <w:color w:val="000000"/>
          <w:sz w:val="32"/>
          <w:szCs w:val="32"/>
        </w:rPr>
        <w:t>2026</w:t>
      </w:r>
      <w:r>
        <w:rPr>
          <w:rFonts w:hint="eastAsia" w:ascii="Times New Roman" w:hAnsi="Times New Roman" w:eastAsia="宋体" w:cs="Times New Roman"/>
          <w:b/>
          <w:bCs/>
          <w:iCs/>
          <w:color w:val="000000"/>
          <w:sz w:val="32"/>
          <w:szCs w:val="32"/>
        </w:rPr>
        <w:t>年9月3日）</w:t>
      </w:r>
    </w:p>
    <w:p w14:paraId="0C5019F6">
      <w:pPr>
        <w:jc w:val="right"/>
        <w:rPr>
          <w:rFonts w:ascii="Times New Roman" w:hAnsi="Times New Roman" w:eastAsia="宋体" w:cs="Times New Roman"/>
          <w:sz w:val="24"/>
          <w:szCs w:val="24"/>
        </w:rPr>
      </w:pPr>
      <w:r>
        <w:rPr>
          <w:rFonts w:hint="eastAsia" w:ascii="Times New Roman" w:hAnsi="Times New Roman" w:eastAsia="宋体" w:cs="Times New Roman"/>
          <w:sz w:val="24"/>
          <w:szCs w:val="24"/>
        </w:rPr>
        <w:t>编号：2026-</w:t>
      </w:r>
      <w:r>
        <w:rPr>
          <w:rFonts w:ascii="Times New Roman" w:hAnsi="Times New Roman" w:eastAsia="宋体" w:cs="Times New Roman"/>
          <w:sz w:val="24"/>
          <w:szCs w:val="24"/>
        </w:rPr>
        <w:t>007</w:t>
      </w:r>
      <w:r>
        <w:rPr>
          <w:rFonts w:hint="eastAsia" w:ascii="Times New Roman" w:hAnsi="Times New Roman" w:eastAsia="宋体" w:cs="Times New Roman"/>
          <w:sz w:val="24"/>
          <w:szCs w:val="24"/>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2"/>
        <w:gridCol w:w="6434"/>
      </w:tblGrid>
      <w:tr w14:paraId="1B091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tcBorders>
              <w:top w:val="single" w:color="auto" w:sz="4" w:space="0"/>
              <w:left w:val="single" w:color="auto" w:sz="4" w:space="0"/>
              <w:bottom w:val="single" w:color="auto" w:sz="4" w:space="0"/>
              <w:right w:val="single" w:color="auto" w:sz="4" w:space="0"/>
            </w:tcBorders>
            <w:shd w:val="clear" w:color="auto" w:fill="auto"/>
          </w:tcPr>
          <w:p w14:paraId="78009BCD">
            <w:pPr>
              <w:spacing w:line="480" w:lineRule="atLeast"/>
              <w:rPr>
                <w:rFonts w:ascii="Times New Roman" w:hAnsi="Times New Roman" w:eastAsia="宋体" w:cs="Times New Roman"/>
                <w:sz w:val="24"/>
                <w:szCs w:val="24"/>
              </w:rPr>
            </w:pPr>
            <w:r>
              <w:rPr>
                <w:rFonts w:hint="eastAsia" w:ascii="Times New Roman" w:hAnsi="Times New Roman" w:eastAsia="宋体" w:cs="Times New Roman"/>
                <w:bCs/>
                <w:iCs/>
                <w:sz w:val="24"/>
                <w:szCs w:val="24"/>
              </w:rPr>
              <w:t>投资者关系活动类别</w:t>
            </w:r>
          </w:p>
        </w:tc>
        <w:tc>
          <w:tcPr>
            <w:tcW w:w="6434" w:type="dxa"/>
            <w:tcBorders>
              <w:top w:val="single" w:color="auto" w:sz="4" w:space="0"/>
              <w:left w:val="single" w:color="auto" w:sz="4" w:space="0"/>
              <w:bottom w:val="single" w:color="auto" w:sz="4" w:space="0"/>
              <w:right w:val="single" w:color="auto" w:sz="4" w:space="0"/>
            </w:tcBorders>
            <w:shd w:val="clear" w:color="auto" w:fill="auto"/>
          </w:tcPr>
          <w:p w14:paraId="4A65F278">
            <w:pPr>
              <w:spacing w:line="276" w:lineRule="auto"/>
              <w:rPr>
                <w:rFonts w:ascii="Times New Roman" w:hAnsi="Times New Roman" w:eastAsia="宋体" w:cs="Times New Roman"/>
                <w:sz w:val="24"/>
                <w:szCs w:val="24"/>
              </w:rPr>
            </w:pPr>
            <w:r>
              <w:rPr>
                <w:rFonts w:ascii="Times New Roman" w:hAnsi="Times New Roman" w:eastAsia="宋体" w:cs="Times New Roman"/>
                <w:sz w:val="24"/>
                <w:szCs w:val="24"/>
              </w:rPr>
              <w:t>☑特定对象调研</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分析师会议</w:t>
            </w:r>
          </w:p>
          <w:p w14:paraId="4413CE1E">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媒体采访</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业绩说明会</w:t>
            </w:r>
          </w:p>
          <w:p w14:paraId="46D73DA6">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新闻发布会</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路演活动</w:t>
            </w:r>
          </w:p>
          <w:p w14:paraId="4A64E099">
            <w:pPr>
              <w:spacing w:line="360" w:lineRule="auto"/>
              <w:rPr>
                <w:rFonts w:ascii="Times New Roman" w:hAnsi="Times New Roman" w:cs="Times New Roman"/>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现场参观</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其他</w:t>
            </w:r>
          </w:p>
        </w:tc>
      </w:tr>
      <w:tr w14:paraId="01D90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tcBorders>
              <w:top w:val="single" w:color="auto" w:sz="4" w:space="0"/>
              <w:left w:val="single" w:color="auto" w:sz="4" w:space="0"/>
              <w:bottom w:val="single" w:color="auto" w:sz="4" w:space="0"/>
              <w:right w:val="single" w:color="auto" w:sz="4" w:space="0"/>
            </w:tcBorders>
            <w:shd w:val="clear" w:color="auto" w:fill="auto"/>
          </w:tcPr>
          <w:p w14:paraId="46FE25A4">
            <w:pPr>
              <w:spacing w:line="480" w:lineRule="atLeast"/>
              <w:rPr>
                <w:rFonts w:ascii="Times New Roman" w:hAnsi="Times New Roman" w:eastAsia="宋体" w:cs="Times New Roman"/>
                <w:bCs/>
                <w:iCs/>
                <w:sz w:val="24"/>
                <w:szCs w:val="24"/>
              </w:rPr>
            </w:pPr>
            <w:r>
              <w:rPr>
                <w:rFonts w:hint="eastAsia" w:ascii="Times New Roman" w:hAnsi="Times New Roman" w:eastAsia="宋体" w:cs="Times New Roman"/>
                <w:bCs/>
                <w:iCs/>
                <w:sz w:val="24"/>
                <w:szCs w:val="24"/>
              </w:rPr>
              <w:t>参与单位名称及人员姓名</w:t>
            </w:r>
          </w:p>
        </w:tc>
        <w:tc>
          <w:tcPr>
            <w:tcW w:w="6434" w:type="dxa"/>
            <w:tcBorders>
              <w:top w:val="single" w:color="auto" w:sz="4" w:space="0"/>
              <w:left w:val="single" w:color="auto" w:sz="4" w:space="0"/>
              <w:bottom w:val="single" w:color="auto" w:sz="4" w:space="0"/>
              <w:right w:val="single" w:color="auto" w:sz="4" w:space="0"/>
            </w:tcBorders>
            <w:shd w:val="clear" w:color="auto" w:fill="auto"/>
          </w:tcPr>
          <w:p w14:paraId="1EF6EC6E">
            <w:pPr>
              <w:pStyle w:val="12"/>
              <w:spacing w:before="0" w:beforeAutospacing="0" w:after="200" w:afterAutospacing="0" w:line="360" w:lineRule="auto"/>
              <w:jc w:val="both"/>
              <w:rPr>
                <w:rFonts w:hint="eastAsia" w:ascii="Times New Roman" w:hAnsi="Times New Roman" w:eastAsia="宋体"/>
                <w:bCs/>
                <w:iCs/>
              </w:rPr>
            </w:pPr>
            <w:bookmarkStart w:id="0" w:name="OLE_LINK5"/>
            <w:bookmarkEnd w:id="0"/>
            <w:bookmarkStart w:id="1" w:name="OLE_LINK4"/>
            <w:bookmarkEnd w:id="1"/>
            <w:r>
              <w:rPr>
                <w:rFonts w:hint="eastAsia" w:ascii="Times New Roman" w:hAnsi="Times New Roman" w:eastAsia="宋体"/>
                <w:bCs/>
                <w:iCs/>
              </w:rPr>
              <w:t>建信基金、长盛基金、中邮基金、诺德基金、宝盈基金、国联基金、国寿安保、亚太财险、交银国际（亚洲）有限公司、野村东方国际证券、中移资本、宁德时代、复星集团、上海证券自营、东北证券自营、路博迈基金、国新国证基金、恒越基金、泓德基金、淳厚基金、厦门鲸鸿基金、南土资产、巨杉资产、青骊资管、上海名禹资管、上海复胜资管、上海晨燕资管、上海甄投资管、上海英昊资管、北京阳光天泓资管、宁波宝隽资管、江苏金百灵资管、苏州君榕资管、上海嘉世私募基金、北京益安资本、北京含章私募基金、海南五德私募基金、湖南正兴私募基金、中财招商投资、华鑫宽众投资、拾贝投资、禧悦投资、上海睿亿投资、易知（北京）投资、杭州中财汇盈股权投资、申万宏源证券、国泰海通证券</w:t>
            </w:r>
            <w:r>
              <w:rPr>
                <w:rFonts w:hint="eastAsia" w:ascii="Times New Roman" w:hAnsi="Times New Roman" w:eastAsia="宋体"/>
                <w:bCs/>
                <w:iCs/>
                <w:lang w:val="en-US" w:eastAsia="zh-CN"/>
              </w:rPr>
              <w:t>等</w:t>
            </w:r>
            <w:r>
              <w:rPr>
                <w:rFonts w:hint="eastAsia" w:ascii="Times New Roman" w:hAnsi="Times New Roman" w:eastAsia="宋体"/>
                <w:bCs/>
                <w:iCs/>
              </w:rPr>
              <w:t>47家机构代表，共计49人。</w:t>
            </w:r>
          </w:p>
        </w:tc>
      </w:tr>
      <w:tr w14:paraId="1DBA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14:paraId="7E228770">
            <w:pPr>
              <w:spacing w:line="480" w:lineRule="atLeast"/>
              <w:rPr>
                <w:rFonts w:ascii="Times New Roman" w:hAnsi="Times New Roman" w:eastAsia="宋体" w:cs="Times New Roman"/>
                <w:bCs/>
                <w:iCs/>
                <w:kern w:val="0"/>
                <w:sz w:val="24"/>
                <w:szCs w:val="24"/>
              </w:rPr>
            </w:pPr>
            <w:r>
              <w:rPr>
                <w:rFonts w:hint="eastAsia" w:ascii="Times New Roman" w:hAnsi="Times New Roman" w:eastAsia="宋体" w:cs="Times New Roman"/>
                <w:bCs/>
                <w:iCs/>
                <w:kern w:val="0"/>
                <w:sz w:val="24"/>
                <w:szCs w:val="24"/>
              </w:rPr>
              <w:t>时间</w:t>
            </w:r>
          </w:p>
        </w:tc>
        <w:tc>
          <w:tcPr>
            <w:tcW w:w="6434" w:type="dxa"/>
            <w:tcBorders>
              <w:top w:val="single" w:color="auto" w:sz="4" w:space="0"/>
              <w:left w:val="single" w:color="auto" w:sz="4" w:space="0"/>
              <w:bottom w:val="single" w:color="auto" w:sz="4" w:space="0"/>
              <w:right w:val="single" w:color="auto" w:sz="4" w:space="0"/>
            </w:tcBorders>
            <w:shd w:val="clear" w:color="auto" w:fill="auto"/>
            <w:vAlign w:val="center"/>
          </w:tcPr>
          <w:p w14:paraId="0DB2C19D">
            <w:pPr>
              <w:spacing w:line="480" w:lineRule="atLeast"/>
              <w:rPr>
                <w:rFonts w:hint="eastAsia" w:ascii="Times New Roman" w:hAnsi="Times New Roman" w:eastAsia="宋体" w:cs="Times New Roman"/>
                <w:bCs/>
                <w:iCs/>
                <w:kern w:val="0"/>
                <w:sz w:val="24"/>
                <w:szCs w:val="24"/>
              </w:rPr>
            </w:pPr>
            <w:r>
              <w:rPr>
                <w:rFonts w:hint="eastAsia" w:ascii="Times New Roman" w:hAnsi="Times New Roman" w:eastAsia="宋体" w:cs="Times New Roman"/>
                <w:bCs/>
                <w:iCs/>
                <w:kern w:val="0"/>
                <w:sz w:val="24"/>
                <w:szCs w:val="24"/>
              </w:rPr>
              <w:t>2</w:t>
            </w:r>
            <w:r>
              <w:rPr>
                <w:rFonts w:ascii="Times New Roman" w:hAnsi="Times New Roman" w:eastAsia="宋体" w:cs="Times New Roman"/>
                <w:bCs/>
                <w:iCs/>
                <w:kern w:val="0"/>
                <w:sz w:val="24"/>
                <w:szCs w:val="24"/>
              </w:rPr>
              <w:t>026</w:t>
            </w:r>
            <w:r>
              <w:rPr>
                <w:rFonts w:hint="eastAsia" w:ascii="Times New Roman" w:hAnsi="Times New Roman" w:eastAsia="宋体" w:cs="Times New Roman"/>
                <w:bCs/>
                <w:iCs/>
                <w:kern w:val="0"/>
                <w:sz w:val="24"/>
                <w:szCs w:val="24"/>
              </w:rPr>
              <w:t>年9月2-</w:t>
            </w:r>
            <w:r>
              <w:rPr>
                <w:rFonts w:ascii="Times New Roman" w:hAnsi="Times New Roman" w:eastAsia="宋体" w:cs="Times New Roman"/>
                <w:bCs/>
                <w:iCs/>
                <w:kern w:val="0"/>
                <w:sz w:val="24"/>
                <w:szCs w:val="24"/>
              </w:rPr>
              <w:t>3</w:t>
            </w:r>
            <w:r>
              <w:rPr>
                <w:rFonts w:hint="eastAsia" w:ascii="Times New Roman" w:hAnsi="Times New Roman" w:eastAsia="宋体" w:cs="Times New Roman"/>
                <w:bCs/>
                <w:iCs/>
                <w:kern w:val="0"/>
                <w:sz w:val="24"/>
                <w:szCs w:val="24"/>
              </w:rPr>
              <w:t>日</w:t>
            </w:r>
          </w:p>
        </w:tc>
      </w:tr>
      <w:tr w14:paraId="344A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14:paraId="111DC9DE">
            <w:pPr>
              <w:spacing w:line="480" w:lineRule="atLeast"/>
              <w:rPr>
                <w:rFonts w:ascii="Times New Roman" w:hAnsi="Times New Roman" w:eastAsia="宋体" w:cs="Times New Roman"/>
                <w:bCs/>
                <w:iCs/>
                <w:kern w:val="0"/>
                <w:sz w:val="24"/>
                <w:szCs w:val="24"/>
              </w:rPr>
            </w:pPr>
            <w:r>
              <w:rPr>
                <w:rFonts w:hint="eastAsia" w:ascii="Times New Roman" w:hAnsi="Times New Roman" w:eastAsia="宋体" w:cs="Times New Roman"/>
                <w:bCs/>
                <w:iCs/>
                <w:kern w:val="0"/>
                <w:sz w:val="24"/>
                <w:szCs w:val="24"/>
              </w:rPr>
              <w:t>地点</w:t>
            </w:r>
          </w:p>
        </w:tc>
        <w:tc>
          <w:tcPr>
            <w:tcW w:w="6434" w:type="dxa"/>
            <w:tcBorders>
              <w:top w:val="single" w:color="auto" w:sz="4" w:space="0"/>
              <w:left w:val="single" w:color="auto" w:sz="4" w:space="0"/>
              <w:bottom w:val="single" w:color="auto" w:sz="4" w:space="0"/>
              <w:right w:val="single" w:color="auto" w:sz="4" w:space="0"/>
            </w:tcBorders>
            <w:shd w:val="clear" w:color="auto" w:fill="auto"/>
            <w:vAlign w:val="center"/>
          </w:tcPr>
          <w:p w14:paraId="3ED60A03">
            <w:pPr>
              <w:spacing w:line="480" w:lineRule="atLeast"/>
              <w:rPr>
                <w:rFonts w:ascii="Times New Roman" w:hAnsi="Times New Roman" w:eastAsia="宋体" w:cs="Times New Roman"/>
                <w:bCs/>
                <w:iCs/>
                <w:kern w:val="0"/>
                <w:sz w:val="24"/>
                <w:szCs w:val="24"/>
              </w:rPr>
            </w:pPr>
            <w:r>
              <w:rPr>
                <w:rFonts w:ascii="Times New Roman" w:hAnsi="Times New Roman" w:eastAsia="宋体" w:cs="Times New Roman"/>
                <w:bCs/>
                <w:iCs/>
                <w:kern w:val="0"/>
                <w:sz w:val="24"/>
                <w:szCs w:val="24"/>
              </w:rPr>
              <w:t>线下：外部其他场所</w:t>
            </w:r>
          </w:p>
        </w:tc>
      </w:tr>
      <w:tr w14:paraId="2DF0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tcBorders>
              <w:top w:val="single" w:color="auto" w:sz="4" w:space="0"/>
              <w:left w:val="single" w:color="auto" w:sz="4" w:space="0"/>
              <w:bottom w:val="single" w:color="auto" w:sz="4" w:space="0"/>
              <w:right w:val="single" w:color="auto" w:sz="4" w:space="0"/>
            </w:tcBorders>
            <w:shd w:val="clear" w:color="auto" w:fill="auto"/>
          </w:tcPr>
          <w:p w14:paraId="39E81032">
            <w:pPr>
              <w:spacing w:line="480" w:lineRule="atLeast"/>
              <w:rPr>
                <w:rFonts w:ascii="Times New Roman" w:hAnsi="Times New Roman" w:eastAsia="宋体" w:cs="Times New Roman"/>
                <w:bCs/>
                <w:iCs/>
                <w:sz w:val="24"/>
                <w:szCs w:val="24"/>
              </w:rPr>
            </w:pPr>
            <w:r>
              <w:rPr>
                <w:rFonts w:hint="eastAsia" w:ascii="Times New Roman" w:hAnsi="Times New Roman" w:eastAsia="宋体" w:cs="Times New Roman"/>
                <w:bCs/>
                <w:iCs/>
                <w:sz w:val="24"/>
                <w:szCs w:val="24"/>
              </w:rPr>
              <w:t>上市公司接待人员姓名</w:t>
            </w:r>
          </w:p>
        </w:tc>
        <w:tc>
          <w:tcPr>
            <w:tcW w:w="6434" w:type="dxa"/>
            <w:tcBorders>
              <w:top w:val="single" w:color="auto" w:sz="4" w:space="0"/>
              <w:left w:val="single" w:color="auto" w:sz="4" w:space="0"/>
              <w:bottom w:val="single" w:color="auto" w:sz="4" w:space="0"/>
              <w:right w:val="single" w:color="auto" w:sz="4" w:space="0"/>
            </w:tcBorders>
            <w:shd w:val="clear" w:color="auto" w:fill="auto"/>
            <w:vAlign w:val="center"/>
          </w:tcPr>
          <w:p w14:paraId="16C2101B">
            <w:pPr>
              <w:spacing w:line="480" w:lineRule="atLeast"/>
              <w:rPr>
                <w:rFonts w:ascii="Times New Roman" w:hAnsi="Times New Roman" w:eastAsia="宋体" w:cs="Times New Roman"/>
                <w:bCs/>
                <w:iCs/>
                <w:sz w:val="24"/>
                <w:szCs w:val="24"/>
              </w:rPr>
            </w:pPr>
            <w:r>
              <w:rPr>
                <w:rFonts w:hint="eastAsia" w:ascii="Times New Roman" w:hAnsi="Times New Roman" w:eastAsia="宋体" w:cs="Times New Roman"/>
                <w:bCs/>
                <w:iCs/>
                <w:sz w:val="24"/>
                <w:szCs w:val="24"/>
              </w:rPr>
              <w:t>投资总监：韩暘先生</w:t>
            </w:r>
          </w:p>
        </w:tc>
      </w:tr>
      <w:tr w14:paraId="37BE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14:paraId="7FCFBF89">
            <w:pPr>
              <w:rPr>
                <w:rFonts w:ascii="Times New Roman" w:hAnsi="Times New Roman" w:eastAsia="宋体" w:cs="Times New Roman"/>
                <w:bCs/>
                <w:iCs/>
                <w:sz w:val="24"/>
                <w:szCs w:val="24"/>
              </w:rPr>
            </w:pPr>
            <w:bookmarkStart w:id="2" w:name="_Hlk229141823"/>
            <w:r>
              <w:rPr>
                <w:rFonts w:hint="eastAsia" w:ascii="Times New Roman" w:hAnsi="Times New Roman" w:eastAsia="宋体" w:cs="Times New Roman"/>
                <w:bCs/>
                <w:iCs/>
                <w:sz w:val="24"/>
                <w:szCs w:val="24"/>
              </w:rPr>
              <w:t>投资者关系活动主要内容介绍</w:t>
            </w:r>
          </w:p>
          <w:p w14:paraId="5FF3DAF0">
            <w:pPr>
              <w:rPr>
                <w:rFonts w:ascii="Times New Roman" w:hAnsi="Times New Roman" w:cs="Times New Roman"/>
              </w:rPr>
            </w:pPr>
          </w:p>
        </w:tc>
        <w:tc>
          <w:tcPr>
            <w:tcW w:w="6434" w:type="dxa"/>
            <w:tcBorders>
              <w:top w:val="single" w:color="auto" w:sz="4" w:space="0"/>
              <w:left w:val="single" w:color="auto" w:sz="4" w:space="0"/>
              <w:bottom w:val="single" w:color="auto" w:sz="4" w:space="0"/>
              <w:right w:val="single" w:color="auto" w:sz="4" w:space="0"/>
            </w:tcBorders>
            <w:shd w:val="clear" w:color="auto" w:fill="auto"/>
          </w:tcPr>
          <w:p w14:paraId="23C74F24">
            <w:pPr>
              <w:widowControl/>
              <w:shd w:val="clear" w:color="auto" w:fill="FFFFFF"/>
              <w:spacing w:line="360" w:lineRule="auto"/>
              <w:ind w:firstLine="0" w:firstLineChars="0"/>
              <w:textAlignment w:val="baseline"/>
              <w:rPr>
                <w:rFonts w:ascii="Times New Roman" w:hAnsi="Times New Roman" w:eastAsia="宋体" w:cs="Times New Roman"/>
                <w:b/>
                <w:iCs/>
                <w:sz w:val="24"/>
                <w:szCs w:val="24"/>
              </w:rPr>
            </w:pPr>
            <w:r>
              <w:rPr>
                <w:rFonts w:hint="eastAsia" w:ascii="Times New Roman" w:hAnsi="Times New Roman" w:eastAsia="宋体" w:cs="Times New Roman"/>
                <w:b/>
                <w:iCs/>
                <w:sz w:val="24"/>
                <w:szCs w:val="24"/>
              </w:rPr>
              <w:t>一、公司情况介绍</w:t>
            </w:r>
          </w:p>
          <w:p w14:paraId="5237BD1B">
            <w:pPr>
              <w:widowControl/>
              <w:shd w:val="clear" w:color="auto" w:fill="FFFFFF"/>
              <w:spacing w:line="360" w:lineRule="auto"/>
              <w:ind w:firstLine="0" w:firstLineChars="0"/>
              <w:textAlignment w:val="baseline"/>
              <w:rPr>
                <w:rFonts w:ascii="Times New Roman" w:hAnsi="Times New Roman" w:eastAsia="宋体" w:cs="Times New Roman"/>
                <w:b/>
                <w:iCs/>
                <w:sz w:val="24"/>
                <w:szCs w:val="24"/>
              </w:rPr>
            </w:pPr>
            <w:r>
              <w:rPr>
                <w:rFonts w:hint="eastAsia" w:ascii="Times New Roman" w:hAnsi="Times New Roman" w:eastAsia="宋体" w:cs="Times New Roman"/>
                <w:b/>
                <w:iCs/>
                <w:sz w:val="24"/>
                <w:szCs w:val="24"/>
              </w:rPr>
              <w:t>二、Q&amp;A</w:t>
            </w:r>
          </w:p>
          <w:p w14:paraId="0B1D4D2B">
            <w:pPr>
              <w:widowControl/>
              <w:shd w:val="clear" w:color="auto" w:fill="FFFFFF"/>
              <w:spacing w:line="360" w:lineRule="auto"/>
              <w:ind w:firstLine="482" w:firstLineChars="200"/>
              <w:textAlignment w:val="baseline"/>
              <w:rPr>
                <w:rFonts w:ascii="Times New Roman" w:hAnsi="Times New Roman" w:eastAsia="宋体" w:cs="Times New Roman"/>
                <w:b/>
                <w:iCs/>
                <w:sz w:val="24"/>
                <w:szCs w:val="24"/>
              </w:rPr>
            </w:pPr>
            <w:r>
              <w:rPr>
                <w:rFonts w:ascii="Times New Roman" w:hAnsi="Times New Roman" w:eastAsia="宋体" w:cs="Times New Roman"/>
                <w:b/>
                <w:iCs/>
                <w:sz w:val="24"/>
                <w:szCs w:val="24"/>
              </w:rPr>
              <w:t>1、请介绍一下公司2026年上半年的整体经营</w:t>
            </w:r>
            <w:r>
              <w:rPr>
                <w:rFonts w:hint="eastAsia" w:ascii="Times New Roman" w:hAnsi="Times New Roman" w:eastAsia="宋体" w:cs="Times New Roman"/>
                <w:b/>
                <w:iCs/>
                <w:sz w:val="24"/>
                <w:szCs w:val="24"/>
                <w:lang w:val="en-US" w:eastAsia="zh-CN"/>
              </w:rPr>
              <w:t>情况</w:t>
            </w:r>
            <w:r>
              <w:rPr>
                <w:rFonts w:ascii="Times New Roman" w:hAnsi="Times New Roman" w:eastAsia="宋体" w:cs="Times New Roman"/>
                <w:b/>
                <w:iCs/>
                <w:sz w:val="24"/>
                <w:szCs w:val="24"/>
              </w:rPr>
              <w:t>？</w:t>
            </w:r>
          </w:p>
          <w:p w14:paraId="068D7095">
            <w:pPr>
              <w:widowControl/>
              <w:shd w:val="clear" w:color="auto" w:fill="FFFFFF"/>
              <w:spacing w:line="360" w:lineRule="auto"/>
              <w:ind w:firstLine="480" w:firstLineChars="200"/>
              <w:textAlignment w:val="baseline"/>
              <w:rPr>
                <w:rFonts w:hint="eastAsia" w:ascii="Times New Roman" w:hAnsi="Times New Roman" w:eastAsia="宋体" w:cs="Times New Roman"/>
                <w:bCs/>
                <w:iCs/>
                <w:sz w:val="24"/>
                <w:szCs w:val="24"/>
                <w:lang w:val="en-US" w:eastAsia="zh-CN"/>
              </w:rPr>
            </w:pPr>
            <w:r>
              <w:rPr>
                <w:rFonts w:hint="eastAsia" w:ascii="Times New Roman" w:hAnsi="Times New Roman" w:eastAsia="宋体" w:cs="Times New Roman"/>
                <w:bCs/>
                <w:iCs/>
                <w:sz w:val="24"/>
                <w:szCs w:val="24"/>
              </w:rPr>
              <w:t>答：2026年上半年，公司实现营业收入6</w:t>
            </w:r>
            <w:r>
              <w:rPr>
                <w:rFonts w:hint="eastAsia" w:ascii="Times New Roman" w:hAnsi="Times New Roman" w:eastAsia="宋体" w:cs="Times New Roman"/>
                <w:bCs/>
                <w:iCs/>
                <w:sz w:val="24"/>
                <w:szCs w:val="24"/>
                <w:lang w:val="en-US" w:eastAsia="zh-CN"/>
              </w:rPr>
              <w:t>.36亿</w:t>
            </w:r>
            <w:r>
              <w:rPr>
                <w:rFonts w:hint="eastAsia" w:ascii="Times New Roman" w:hAnsi="Times New Roman" w:eastAsia="宋体" w:cs="Times New Roman"/>
                <w:bCs/>
                <w:iCs/>
                <w:sz w:val="24"/>
                <w:szCs w:val="24"/>
              </w:rPr>
              <w:t>元，较去年同期基本持平，规模小幅回落；归属于上市公司股东的净利润为-2</w:t>
            </w:r>
            <w:r>
              <w:rPr>
                <w:rFonts w:hint="eastAsia" w:ascii="Times New Roman" w:hAnsi="Times New Roman" w:eastAsia="宋体" w:cs="Times New Roman"/>
                <w:bCs/>
                <w:iCs/>
                <w:sz w:val="24"/>
                <w:szCs w:val="24"/>
                <w:lang w:val="en-US" w:eastAsia="zh-CN"/>
              </w:rPr>
              <w:t>.52亿</w:t>
            </w:r>
            <w:r>
              <w:rPr>
                <w:rFonts w:hint="eastAsia" w:ascii="Times New Roman" w:hAnsi="Times New Roman" w:eastAsia="宋体" w:cs="Times New Roman"/>
                <w:bCs/>
                <w:iCs/>
                <w:sz w:val="24"/>
                <w:szCs w:val="24"/>
              </w:rPr>
              <w:t>元，同比亏损扩大</w:t>
            </w:r>
            <w:r>
              <w:rPr>
                <w:rFonts w:hint="eastAsia" w:ascii="Times New Roman" w:hAnsi="Times New Roman" w:eastAsia="宋体" w:cs="Times New Roman"/>
                <w:bCs/>
                <w:iCs/>
                <w:sz w:val="24"/>
                <w:szCs w:val="24"/>
                <w:lang w:val="en-US" w:eastAsia="zh-CN"/>
              </w:rPr>
              <w:t>0.46亿</w:t>
            </w:r>
            <w:r>
              <w:rPr>
                <w:rFonts w:hint="eastAsia" w:ascii="Times New Roman" w:hAnsi="Times New Roman" w:eastAsia="宋体" w:cs="Times New Roman"/>
                <w:bCs/>
                <w:iCs/>
                <w:sz w:val="24"/>
                <w:szCs w:val="24"/>
              </w:rPr>
              <w:t>元</w:t>
            </w:r>
            <w:r>
              <w:rPr>
                <w:rFonts w:hint="eastAsia" w:ascii="Times New Roman" w:hAnsi="Times New Roman" w:eastAsia="宋体" w:cs="Times New Roman"/>
                <w:bCs/>
                <w:iCs/>
                <w:sz w:val="24"/>
                <w:szCs w:val="24"/>
                <w:lang w:eastAsia="zh-CN"/>
              </w:rPr>
              <w:t>，</w:t>
            </w:r>
            <w:r>
              <w:rPr>
                <w:rFonts w:hint="eastAsia" w:ascii="Times New Roman" w:hAnsi="Times New Roman" w:eastAsia="宋体" w:cs="Times New Roman"/>
                <w:bCs/>
                <w:iCs/>
                <w:sz w:val="24"/>
                <w:szCs w:val="24"/>
              </w:rPr>
              <w:t>亏损</w:t>
            </w:r>
            <w:r>
              <w:rPr>
                <w:rFonts w:hint="eastAsia" w:ascii="Times New Roman" w:hAnsi="Times New Roman" w:eastAsia="宋体" w:cs="Times New Roman"/>
                <w:bCs/>
                <w:iCs/>
                <w:sz w:val="24"/>
                <w:szCs w:val="24"/>
                <w:lang w:val="en-US" w:eastAsia="zh-CN"/>
              </w:rPr>
              <w:t>扩大</w:t>
            </w:r>
            <w:r>
              <w:rPr>
                <w:rFonts w:hint="eastAsia" w:ascii="Times New Roman" w:hAnsi="Times New Roman" w:eastAsia="宋体" w:cs="Times New Roman"/>
                <w:bCs/>
                <w:iCs/>
                <w:sz w:val="24"/>
                <w:szCs w:val="24"/>
              </w:rPr>
              <w:t>主要</w:t>
            </w:r>
            <w:r>
              <w:rPr>
                <w:rFonts w:hint="eastAsia" w:ascii="Times New Roman" w:hAnsi="Times New Roman" w:eastAsia="宋体" w:cs="Times New Roman"/>
                <w:bCs/>
                <w:iCs/>
                <w:sz w:val="24"/>
                <w:szCs w:val="24"/>
                <w:lang w:val="en-US" w:eastAsia="zh-CN"/>
              </w:rPr>
              <w:t>系</w:t>
            </w:r>
            <w:r>
              <w:rPr>
                <w:rFonts w:hint="eastAsia" w:ascii="Times New Roman" w:hAnsi="Times New Roman" w:eastAsia="宋体" w:cs="Times New Roman"/>
                <w:bCs/>
                <w:iCs/>
                <w:sz w:val="24"/>
                <w:szCs w:val="24"/>
              </w:rPr>
              <w:t>公司持续加大自研芯片技术攻关及产品落地投入</w:t>
            </w:r>
            <w:r>
              <w:rPr>
                <w:rFonts w:hint="eastAsia" w:ascii="Times New Roman" w:hAnsi="Times New Roman" w:eastAsia="宋体" w:cs="Times New Roman"/>
                <w:bCs/>
                <w:iCs/>
                <w:sz w:val="24"/>
                <w:szCs w:val="24"/>
                <w:lang w:eastAsia="zh-CN"/>
              </w:rPr>
              <w:t>，研发费用同比增长，</w:t>
            </w:r>
            <w:r>
              <w:rPr>
                <w:rFonts w:hint="eastAsia" w:ascii="Times New Roman" w:hAnsi="Times New Roman" w:eastAsia="宋体" w:cs="Times New Roman"/>
                <w:bCs/>
                <w:iCs/>
                <w:sz w:val="24"/>
                <w:szCs w:val="24"/>
                <w:lang w:val="en-US" w:eastAsia="zh-CN"/>
              </w:rPr>
              <w:t>进而导致本期亏损有所增加。</w:t>
            </w:r>
          </w:p>
          <w:p w14:paraId="691FCFD2">
            <w:pPr>
              <w:widowControl/>
              <w:shd w:val="clear" w:color="auto" w:fill="FFFFFF"/>
              <w:spacing w:line="360" w:lineRule="auto"/>
              <w:ind w:firstLine="480" w:firstLineChars="200"/>
              <w:textAlignment w:val="baseline"/>
              <w:rPr>
                <w:rFonts w:hint="eastAsia" w:ascii="Times New Roman" w:hAnsi="Times New Roman" w:eastAsia="宋体" w:cs="Times New Roman"/>
                <w:bCs/>
                <w:iCs/>
                <w:sz w:val="24"/>
                <w:szCs w:val="24"/>
              </w:rPr>
            </w:pPr>
            <w:r>
              <w:rPr>
                <w:rFonts w:hint="eastAsia" w:ascii="Times New Roman" w:hAnsi="Times New Roman" w:eastAsia="宋体" w:cs="Times New Roman"/>
                <w:bCs/>
                <w:iCs/>
                <w:sz w:val="24"/>
                <w:szCs w:val="24"/>
                <w:lang w:val="en-US" w:eastAsia="zh-CN"/>
              </w:rPr>
              <w:t>报告期内，</w:t>
            </w:r>
            <w:r>
              <w:rPr>
                <w:rFonts w:hint="eastAsia" w:ascii="Times New Roman" w:hAnsi="Times New Roman" w:eastAsia="宋体" w:cs="Times New Roman"/>
                <w:bCs/>
                <w:iCs/>
                <w:sz w:val="24"/>
                <w:szCs w:val="24"/>
              </w:rPr>
              <w:t>公司面向不同业务板块制定了不同经营策略。在企业级场景业务方面，公司在保持现有业务稳定运行的基础上，将资源与精力主要投向于下一代大算力推理芯片的研发与产能保障，发布将在未来两年多时间里推出三款云端大算力推理芯片的路线图规划，获取上游晶圆代工先进工艺产能以保障产品生产，通</w:t>
            </w:r>
            <w:bookmarkStart w:id="3" w:name="_GoBack"/>
            <w:bookmarkEnd w:id="3"/>
            <w:r>
              <w:rPr>
                <w:rFonts w:hint="eastAsia" w:ascii="Times New Roman" w:hAnsi="Times New Roman" w:eastAsia="宋体" w:cs="Times New Roman"/>
                <w:bCs/>
                <w:iCs/>
                <w:sz w:val="24"/>
                <w:szCs w:val="24"/>
              </w:rPr>
              <w:t>过大项目中标为芯片出货开始打下基础，持续拓展行业头部客户进行订单储备等；在消费级场景业务方面，岍丞技术持续开拓新品，噜咔博士开始将产品推向海外市场，收入均取得一定增长；行业级业务以追求收入质量为目标，报告期内实现了毛利率提升。</w:t>
            </w:r>
            <w:r>
              <w:rPr>
                <w:rFonts w:hint="eastAsia" w:ascii="Times New Roman" w:hAnsi="Times New Roman" w:eastAsia="宋体" w:cs="Times New Roman"/>
                <w:bCs/>
                <w:iCs/>
                <w:sz w:val="24"/>
                <w:szCs w:val="24"/>
                <w:lang w:val="en-US" w:eastAsia="zh-CN"/>
              </w:rPr>
              <w:t>公司上半年实现</w:t>
            </w:r>
            <w:r>
              <w:rPr>
                <w:rFonts w:hint="eastAsia" w:ascii="Times New Roman" w:hAnsi="Times New Roman" w:eastAsia="宋体" w:cs="Times New Roman"/>
                <w:bCs/>
                <w:iCs/>
                <w:sz w:val="24"/>
                <w:szCs w:val="24"/>
              </w:rPr>
              <w:t>毛利率29.05%，同比提升0.52个百分点。</w:t>
            </w:r>
          </w:p>
          <w:p w14:paraId="055651AF">
            <w:pPr>
              <w:widowControl/>
              <w:shd w:val="clear" w:color="auto" w:fill="FFFFFF"/>
              <w:spacing w:line="360" w:lineRule="auto"/>
              <w:ind w:firstLine="480" w:firstLineChars="200"/>
              <w:textAlignment w:val="baseline"/>
              <w:rPr>
                <w:rFonts w:ascii="Times New Roman" w:hAnsi="Times New Roman" w:eastAsia="宋体" w:cs="Times New Roman"/>
                <w:bCs/>
                <w:iCs/>
                <w:sz w:val="24"/>
                <w:szCs w:val="24"/>
              </w:rPr>
            </w:pPr>
            <w:r>
              <w:rPr>
                <w:rFonts w:hint="eastAsia" w:ascii="Times New Roman" w:hAnsi="Times New Roman" w:eastAsia="宋体" w:cs="Times New Roman"/>
                <w:bCs/>
                <w:iCs/>
                <w:sz w:val="24"/>
                <w:szCs w:val="24"/>
                <w:lang w:val="en-US" w:eastAsia="zh-CN"/>
              </w:rPr>
              <w:t>公司上半年</w:t>
            </w:r>
            <w:r>
              <w:rPr>
                <w:rFonts w:ascii="Times New Roman" w:hAnsi="Times New Roman" w:eastAsia="宋体" w:cs="Times New Roman"/>
                <w:sz w:val="24"/>
                <w:szCs w:val="24"/>
              </w:rPr>
              <w:t>经营活动产生的现金流量净额为</w:t>
            </w:r>
            <w:r>
              <w:rPr>
                <w:rFonts w:hint="eastAsia" w:ascii="Times New Roman" w:hAnsi="Times New Roman" w:eastAsia="宋体" w:cs="Times New Roman"/>
                <w:sz w:val="24"/>
                <w:szCs w:val="24"/>
                <w:lang w:val="en-US" w:eastAsia="zh-CN"/>
              </w:rPr>
              <w:t>-</w:t>
            </w:r>
            <w:r>
              <w:rPr>
                <w:rFonts w:ascii="Times New Roman" w:hAnsi="Times New Roman" w:eastAsia="宋体" w:cs="Times New Roman"/>
                <w:sz w:val="24"/>
                <w:szCs w:val="24"/>
              </w:rPr>
              <w:t>1.12亿元，上年同期为0.40亿元，由净流入转为净流出</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bCs/>
                <w:iCs/>
                <w:sz w:val="24"/>
                <w:szCs w:val="24"/>
              </w:rPr>
              <w:t>主要系上游晶圆代工先进工艺产能供应趋紧，公司基于业务开展需要，采取预付货款方式锁定晶圆代工产能，对经营活动现金流形成阶段性占用。人工智能行业存在持续的研发投入需求，公司在核心技术研发方面进行持续投入，研发投入金额较大且持续增长。未来，公司预计仍将持续保持较高的研发强度，研发投入金额可能继续增长，在公司盈利水平无法同步较快增长的情况下公司存在经营性现金流量持续为负值的风险。</w:t>
            </w:r>
            <w:r>
              <w:rPr>
                <w:rFonts w:hint="eastAsia" w:ascii="Times New Roman" w:hAnsi="Times New Roman" w:eastAsia="宋体" w:cs="Times New Roman"/>
                <w:bCs/>
                <w:iCs/>
                <w:sz w:val="24"/>
                <w:szCs w:val="24"/>
                <w:lang w:val="en-US" w:eastAsia="zh-CN"/>
              </w:rPr>
              <w:t>敬请广大投资者谨慎投资，注意投资风险。</w:t>
            </w:r>
          </w:p>
          <w:p w14:paraId="424F1097">
            <w:pPr>
              <w:widowControl/>
              <w:shd w:val="clear" w:color="auto" w:fill="FFFFFF"/>
              <w:spacing w:line="360" w:lineRule="auto"/>
              <w:ind w:firstLine="482" w:firstLineChars="200"/>
              <w:textAlignment w:val="baseline"/>
              <w:rPr>
                <w:rFonts w:ascii="Times New Roman" w:hAnsi="Times New Roman" w:eastAsia="宋体" w:cs="Times New Roman"/>
                <w:b/>
                <w:iCs/>
                <w:sz w:val="24"/>
                <w:szCs w:val="24"/>
              </w:rPr>
            </w:pPr>
            <w:r>
              <w:rPr>
                <w:rFonts w:ascii="Times New Roman" w:hAnsi="Times New Roman" w:eastAsia="宋体" w:cs="Times New Roman"/>
                <w:b/>
                <w:iCs/>
                <w:sz w:val="24"/>
                <w:szCs w:val="24"/>
              </w:rPr>
              <w:t>2、请介绍一下公司</w:t>
            </w:r>
            <w:r>
              <w:rPr>
                <w:rFonts w:hint="eastAsia" w:ascii="Times New Roman" w:hAnsi="Times New Roman" w:eastAsia="宋体" w:cs="Times New Roman"/>
                <w:b/>
                <w:iCs/>
                <w:sz w:val="24"/>
                <w:szCs w:val="24"/>
                <w:lang w:val="en-US" w:eastAsia="zh-CN"/>
              </w:rPr>
              <w:t>AI</w:t>
            </w:r>
            <w:r>
              <w:rPr>
                <w:rFonts w:ascii="Times New Roman" w:hAnsi="Times New Roman" w:eastAsia="宋体" w:cs="Times New Roman"/>
                <w:b/>
                <w:iCs/>
                <w:sz w:val="24"/>
                <w:szCs w:val="24"/>
              </w:rPr>
              <w:t>软件栈方面</w:t>
            </w:r>
            <w:r>
              <w:rPr>
                <w:rFonts w:hint="eastAsia" w:ascii="Times New Roman" w:hAnsi="Times New Roman" w:eastAsia="宋体" w:cs="Times New Roman"/>
                <w:b/>
                <w:iCs/>
                <w:sz w:val="24"/>
                <w:szCs w:val="24"/>
                <w:lang w:val="en-US" w:eastAsia="zh-CN"/>
              </w:rPr>
              <w:t>及长期技术和生态规划方面</w:t>
            </w:r>
            <w:r>
              <w:rPr>
                <w:rFonts w:ascii="Times New Roman" w:hAnsi="Times New Roman" w:eastAsia="宋体" w:cs="Times New Roman"/>
                <w:b/>
                <w:iCs/>
                <w:sz w:val="24"/>
                <w:szCs w:val="24"/>
              </w:rPr>
              <w:t>的</w:t>
            </w:r>
            <w:r>
              <w:rPr>
                <w:rFonts w:hint="eastAsia" w:ascii="Times New Roman" w:hAnsi="Times New Roman" w:eastAsia="宋体" w:cs="Times New Roman"/>
                <w:b/>
                <w:iCs/>
                <w:sz w:val="24"/>
                <w:szCs w:val="24"/>
                <w:lang w:val="en-US" w:eastAsia="zh-CN"/>
              </w:rPr>
              <w:t>情况</w:t>
            </w:r>
            <w:r>
              <w:rPr>
                <w:rFonts w:ascii="Times New Roman" w:hAnsi="Times New Roman" w:eastAsia="宋体" w:cs="Times New Roman"/>
                <w:b/>
                <w:iCs/>
                <w:sz w:val="24"/>
                <w:szCs w:val="24"/>
              </w:rPr>
              <w:t>？</w:t>
            </w:r>
          </w:p>
          <w:p w14:paraId="4EC140C4">
            <w:pPr>
              <w:widowControl/>
              <w:shd w:val="clear" w:color="auto" w:fill="FFFFFF"/>
              <w:spacing w:line="360" w:lineRule="auto"/>
              <w:ind w:firstLine="480" w:firstLineChars="200"/>
              <w:textAlignment w:val="baseline"/>
              <w:rPr>
                <w:rFonts w:hint="eastAsia" w:ascii="Times New Roman" w:hAnsi="Times New Roman" w:eastAsia="宋体" w:cs="Times New Roman"/>
                <w:bCs/>
                <w:iCs/>
                <w:sz w:val="24"/>
                <w:szCs w:val="24"/>
              </w:rPr>
            </w:pPr>
            <w:r>
              <w:rPr>
                <w:rFonts w:hint="eastAsia" w:ascii="Times New Roman" w:hAnsi="Times New Roman" w:eastAsia="宋体" w:cs="Times New Roman"/>
                <w:bCs/>
                <w:iCs/>
                <w:sz w:val="24"/>
                <w:szCs w:val="24"/>
              </w:rPr>
              <w:t>答：</w:t>
            </w:r>
            <w:r>
              <w:rPr>
                <w:rFonts w:hint="eastAsia" w:ascii="Times New Roman" w:hAnsi="Times New Roman" w:eastAsia="宋体" w:cs="Times New Roman"/>
                <w:bCs/>
                <w:iCs/>
                <w:sz w:val="24"/>
                <w:szCs w:val="24"/>
                <w:lang w:val="en-US" w:eastAsia="zh-CN"/>
              </w:rPr>
              <w:t>2026年上半年，</w:t>
            </w:r>
            <w:r>
              <w:rPr>
                <w:rFonts w:hint="eastAsia" w:ascii="Times New Roman" w:hAnsi="Times New Roman" w:eastAsia="宋体" w:cs="Times New Roman"/>
                <w:bCs/>
                <w:iCs/>
                <w:sz w:val="24"/>
                <w:szCs w:val="24"/>
              </w:rPr>
              <w:t>在AI软件栈方面，面向自研芯片体系，公司自研由Hy³CAN硬件使能层和IFIE软件平台组成的智能融合软件栈，该软件栈覆盖编译器、Runtime与Driver、基础算子库、推理框架插件、集合通信以及开发调试工具等核心组件。依托该软件栈，公司完成了面向GPNPU平台的DeepSeek-V4系列模型关键机制适配验证、腾讯混元新一代大语言模型Hy3模型结构接入与关键推理链路功能验证及其他主流大语言模型和多模态大模型等的适配验证。云天励飞正在以主流计算生态兼容能力为基础，持续建设“云、边、端”一体、跨代兼容的统一软件产品基座，推动模型、代码、算子和开发工具在不同芯片代际以及云侧、边缘侧平台之间逐步复用。该软件栈将持续支撑DeepVerse系列产品交付和重点场景验证，并推动相关软件能力向后续芯片代际及DeepEdge系列产品延展。通过统一的智能融合软件栈能力，云天励飞希望进一步降低跨代迁移和多平台适配成本，减少云侧与边缘侧重复开发，提升模型开发、系统交付和后续运维的一致性。</w:t>
            </w:r>
          </w:p>
          <w:p w14:paraId="49E6F970">
            <w:pPr>
              <w:widowControl/>
              <w:shd w:val="clear" w:color="auto" w:fill="FFFFFF"/>
              <w:spacing w:line="360" w:lineRule="auto"/>
              <w:ind w:firstLine="480" w:firstLineChars="200"/>
              <w:textAlignment w:val="baseline"/>
              <w:rPr>
                <w:rFonts w:ascii="Times New Roman" w:hAnsi="Times New Roman" w:eastAsia="宋体" w:cs="Times New Roman"/>
                <w:bCs/>
                <w:iCs/>
                <w:sz w:val="24"/>
                <w:szCs w:val="24"/>
              </w:rPr>
            </w:pPr>
            <w:r>
              <w:rPr>
                <w:rFonts w:hint="eastAsia" w:ascii="Times New Roman" w:hAnsi="Times New Roman" w:eastAsia="宋体" w:cs="Times New Roman"/>
                <w:bCs/>
                <w:iCs/>
                <w:sz w:val="24"/>
                <w:szCs w:val="24"/>
              </w:rPr>
              <w:t>在长期技术和生态规划方面，公司提出“1001计划”。“1001计划”是云天励飞围绕AI推理成本持续优化提出的长期愿景，即推动“百亿Token1分钱”目标的逐步实现，一方面公司积极探索通过芯片架构与算力系统协同优化，持续推动AI推理成本下降；另一方面公司希望通过联合产业链上下游合作伙伴，在芯片、模型、软件栈、算力基础设施和应用生态等环节加强协同探索，共同推动国产AI生态建设，持续降低AI应用成本，让人工智能更广泛地服务产业发展和社会创新。报告期内，云天励飞举行了“1001计划”联合倡议活动，近30家单位参与倡议，各方以“百万Token一分钱”和“百亿Token一分钱”为中长期目标，将围绕极致性价比AI推理生态建设</w:t>
            </w:r>
            <w:r>
              <w:rPr>
                <w:rFonts w:hint="eastAsia" w:ascii="Times New Roman" w:hAnsi="Times New Roman" w:eastAsia="宋体" w:cs="Times New Roman"/>
                <w:bCs/>
                <w:iCs/>
                <w:sz w:val="24"/>
                <w:szCs w:val="24"/>
                <w:lang w:eastAsia="zh-CN"/>
              </w:rPr>
              <w:t>，</w:t>
            </w:r>
            <w:r>
              <w:rPr>
                <w:rFonts w:hint="eastAsia" w:ascii="Times New Roman" w:hAnsi="Times New Roman" w:eastAsia="宋体" w:cs="Times New Roman"/>
                <w:bCs/>
                <w:iCs/>
                <w:sz w:val="24"/>
                <w:szCs w:val="24"/>
              </w:rPr>
              <w:t>共同探索更高效、更开放、更可持续的人工智能发展路径。</w:t>
            </w:r>
          </w:p>
          <w:p w14:paraId="266C45B6">
            <w:pPr>
              <w:widowControl/>
              <w:shd w:val="clear" w:color="auto" w:fill="FFFFFF"/>
              <w:spacing w:line="360" w:lineRule="auto"/>
              <w:ind w:firstLine="482" w:firstLineChars="200"/>
              <w:textAlignment w:val="baseline"/>
              <w:rPr>
                <w:rFonts w:ascii="Times New Roman" w:hAnsi="Times New Roman" w:eastAsia="宋体" w:cs="Times New Roman"/>
                <w:b/>
                <w:iCs/>
                <w:sz w:val="24"/>
                <w:szCs w:val="24"/>
              </w:rPr>
            </w:pPr>
            <w:r>
              <w:rPr>
                <w:rFonts w:hint="eastAsia" w:ascii="Times New Roman" w:hAnsi="Times New Roman" w:eastAsia="宋体" w:cs="Times New Roman"/>
                <w:b/>
                <w:iCs/>
                <w:sz w:val="24"/>
                <w:szCs w:val="24"/>
                <w:lang w:val="en-US" w:eastAsia="zh-CN"/>
              </w:rPr>
              <w:t>3</w:t>
            </w:r>
            <w:r>
              <w:rPr>
                <w:rFonts w:ascii="Times New Roman" w:hAnsi="Times New Roman" w:eastAsia="宋体" w:cs="Times New Roman"/>
                <w:b/>
                <w:iCs/>
                <w:sz w:val="24"/>
                <w:szCs w:val="24"/>
              </w:rPr>
              <w:t>、请介绍一下公司</w:t>
            </w:r>
            <w:r>
              <w:rPr>
                <w:rFonts w:hint="eastAsia" w:ascii="Times New Roman" w:hAnsi="Times New Roman" w:eastAsia="宋体" w:cs="Times New Roman"/>
                <w:b/>
                <w:iCs/>
                <w:sz w:val="24"/>
                <w:szCs w:val="24"/>
                <w:lang w:val="en-US" w:eastAsia="zh-CN"/>
              </w:rPr>
              <w:t>专利获取的整体</w:t>
            </w:r>
            <w:r>
              <w:rPr>
                <w:rFonts w:ascii="Times New Roman" w:hAnsi="Times New Roman" w:eastAsia="宋体" w:cs="Times New Roman"/>
                <w:b/>
                <w:iCs/>
                <w:sz w:val="24"/>
                <w:szCs w:val="24"/>
              </w:rPr>
              <w:t>情况？</w:t>
            </w:r>
          </w:p>
          <w:p w14:paraId="6EABCE87">
            <w:pPr>
              <w:widowControl/>
              <w:shd w:val="clear" w:color="auto" w:fill="FFFFFF"/>
              <w:spacing w:line="360" w:lineRule="auto"/>
              <w:ind w:firstLine="480" w:firstLineChars="200"/>
              <w:textAlignment w:val="baseline"/>
              <w:rPr>
                <w:rFonts w:hint="eastAsia" w:ascii="Times New Roman" w:hAnsi="Times New Roman" w:eastAsia="宋体" w:cs="Times New Roman"/>
                <w:bCs/>
                <w:iCs/>
                <w:sz w:val="24"/>
                <w:szCs w:val="24"/>
              </w:rPr>
            </w:pPr>
            <w:r>
              <w:rPr>
                <w:rFonts w:hint="eastAsia" w:ascii="Times New Roman" w:hAnsi="Times New Roman" w:eastAsia="宋体" w:cs="Times New Roman"/>
                <w:bCs/>
                <w:iCs/>
                <w:sz w:val="24"/>
                <w:szCs w:val="24"/>
              </w:rPr>
              <w:t>答：截至2026年6月30日，公司拥有1231项专利、272项</w:t>
            </w:r>
            <w:r>
              <w:rPr>
                <w:rFonts w:hint="eastAsia" w:ascii="Times New Roman" w:hAnsi="Times New Roman" w:eastAsia="宋体" w:cs="Times New Roman"/>
                <w:bCs/>
                <w:iCs/>
                <w:sz w:val="24"/>
                <w:szCs w:val="24"/>
                <w:lang w:val="en-US" w:eastAsia="zh-CN"/>
              </w:rPr>
              <w:t>软件著作</w:t>
            </w:r>
            <w:r>
              <w:rPr>
                <w:rFonts w:hint="eastAsia" w:ascii="Times New Roman" w:hAnsi="Times New Roman" w:eastAsia="宋体" w:cs="Times New Roman"/>
                <w:bCs/>
                <w:iCs/>
                <w:sz w:val="24"/>
                <w:szCs w:val="24"/>
              </w:rPr>
              <w:t>权及670项商标。该等所有专利中，公司拥有发明专利977项，涵盖芯片架构、AI算法、系统平台及开发工具链等多个方向。2026年8月，</w:t>
            </w:r>
            <w:r>
              <w:rPr>
                <w:rFonts w:hint="eastAsia" w:ascii="Times New Roman" w:hAnsi="Times New Roman" w:eastAsia="宋体" w:cs="Times New Roman"/>
                <w:bCs/>
                <w:iCs/>
                <w:sz w:val="24"/>
                <w:szCs w:val="24"/>
                <w:lang w:val="en-US" w:eastAsia="zh-CN"/>
              </w:rPr>
              <w:t>第二十六届中国专利奖评选结果正式揭晓，</w:t>
            </w:r>
            <w:r>
              <w:rPr>
                <w:rFonts w:hint="eastAsia" w:ascii="Times New Roman" w:hAnsi="Times New Roman" w:eastAsia="宋体" w:cs="Times New Roman"/>
                <w:bCs/>
                <w:iCs/>
                <w:sz w:val="24"/>
                <w:szCs w:val="24"/>
              </w:rPr>
              <w:t>公司</w:t>
            </w:r>
            <w:r>
              <w:rPr>
                <w:rFonts w:hint="eastAsia" w:ascii="Times New Roman" w:hAnsi="Times New Roman" w:eastAsia="宋体" w:cs="Times New Roman"/>
                <w:bCs/>
                <w:iCs/>
                <w:sz w:val="24"/>
                <w:szCs w:val="24"/>
                <w:lang w:eastAsia="zh-CN"/>
              </w:rPr>
              <w:t>的</w:t>
            </w:r>
            <w:r>
              <w:rPr>
                <w:rFonts w:hint="eastAsia" w:ascii="Times New Roman" w:hAnsi="Times New Roman" w:eastAsia="宋体" w:cs="Times New Roman"/>
                <w:bCs/>
                <w:iCs/>
                <w:sz w:val="24"/>
                <w:szCs w:val="24"/>
              </w:rPr>
              <w:t>发明专利《一种神经网络处理器及其控制方法》荣获中国专利金奖，本届中国专利金奖共评选出30个发明/实用新型项目。</w:t>
            </w:r>
            <w:r>
              <w:rPr>
                <w:rFonts w:hint="eastAsia" w:ascii="Times New Roman" w:hAnsi="Times New Roman" w:eastAsia="宋体" w:cs="Times New Roman"/>
                <w:bCs/>
                <w:iCs/>
                <w:sz w:val="24"/>
                <w:szCs w:val="24"/>
                <w:lang w:val="en-US" w:eastAsia="zh-CN"/>
              </w:rPr>
              <w:t>中国专利金奖是我国知识产权领域的重要奖项，由国家知识产权局组织评选，重点表彰在技术创新、专利质量、产业应用和经济社会效益等方面表现突出的发明专利，代表了我国专利创新的高水平成果。</w:t>
            </w:r>
          </w:p>
          <w:p w14:paraId="769E365A">
            <w:pPr>
              <w:widowControl/>
              <w:shd w:val="clear" w:color="auto" w:fill="FFFFFF"/>
              <w:spacing w:line="360" w:lineRule="auto"/>
              <w:ind w:firstLine="480" w:firstLineChars="200"/>
              <w:textAlignment w:val="baseline"/>
              <w:rPr>
                <w:rFonts w:ascii="Times New Roman" w:hAnsi="Times New Roman" w:eastAsia="宋体" w:cs="Times New Roman"/>
                <w:bCs/>
                <w:iCs/>
                <w:sz w:val="24"/>
                <w:szCs w:val="24"/>
              </w:rPr>
            </w:pPr>
            <w:r>
              <w:rPr>
                <w:rFonts w:ascii="宋体" w:hAnsi="宋体" w:eastAsia="宋体" w:cs="宋体"/>
                <w:sz w:val="24"/>
                <w:szCs w:val="24"/>
              </w:rPr>
              <w:t>公司将持续聚焦核心技术攻关，不断完善高价值专利布局，巩固技术壁垒，进一步提升核心竞争能力。</w:t>
            </w:r>
          </w:p>
        </w:tc>
      </w:tr>
      <w:bookmarkEnd w:id="2"/>
      <w:tr w14:paraId="56E8B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14:paraId="1462727C">
            <w:pPr>
              <w:rPr>
                <w:rFonts w:ascii="Times New Roman" w:hAnsi="Times New Roman" w:cs="Times New Roman"/>
              </w:rPr>
            </w:pPr>
            <w:r>
              <w:rPr>
                <w:rFonts w:hint="eastAsia" w:ascii="宋体" w:hAnsi="宋体" w:eastAsia="宋体" w:cs="宋体"/>
                <w:sz w:val="24"/>
                <w:szCs w:val="24"/>
              </w:rPr>
              <w:t>附件清单（如有）</w:t>
            </w:r>
          </w:p>
        </w:tc>
        <w:tc>
          <w:tcPr>
            <w:tcW w:w="6434" w:type="dxa"/>
            <w:tcBorders>
              <w:top w:val="single" w:color="auto" w:sz="4" w:space="0"/>
              <w:left w:val="single" w:color="auto" w:sz="4" w:space="0"/>
              <w:bottom w:val="single" w:color="auto" w:sz="4" w:space="0"/>
              <w:right w:val="single" w:color="auto" w:sz="4" w:space="0"/>
            </w:tcBorders>
            <w:shd w:val="clear" w:color="auto" w:fill="auto"/>
          </w:tcPr>
          <w:p w14:paraId="1FCEADA8">
            <w:pPr>
              <w:rPr>
                <w:rFonts w:hint="eastAsia" w:ascii="Times New Roman" w:hAnsi="Times New Roman" w:eastAsia="宋体" w:cs="Times New Roman"/>
                <w:bCs/>
                <w:iCs/>
                <w:sz w:val="24"/>
                <w:szCs w:val="24"/>
                <w:lang w:val="en-US" w:eastAsia="zh-CN"/>
              </w:rPr>
            </w:pPr>
            <w:r>
              <w:rPr>
                <w:rFonts w:hint="eastAsia" w:ascii="Times New Roman" w:hAnsi="Times New Roman" w:eastAsia="宋体" w:cs="Times New Roman"/>
                <w:bCs/>
                <w:iCs/>
                <w:sz w:val="24"/>
                <w:szCs w:val="24"/>
                <w:lang w:val="en-US" w:eastAsia="zh-CN"/>
              </w:rPr>
              <w:t>无</w:t>
            </w:r>
          </w:p>
        </w:tc>
      </w:tr>
    </w:tbl>
    <w:p w14:paraId="3904C331">
      <w:pPr>
        <w:rPr>
          <w:rFonts w:hint="eastAsia" w:ascii="Times New Roman" w:hAnsi="Times New Roman" w:eastAsia="宋体" w:cs="Times New Roman"/>
          <w:b/>
          <w:bCs/>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627"/>
    <w:rsid w:val="0001574D"/>
    <w:rsid w:val="000A3F6C"/>
    <w:rsid w:val="000B0FFE"/>
    <w:rsid w:val="000B5B79"/>
    <w:rsid w:val="000E25DC"/>
    <w:rsid w:val="00140CEC"/>
    <w:rsid w:val="001B3B44"/>
    <w:rsid w:val="001C04A6"/>
    <w:rsid w:val="002601C6"/>
    <w:rsid w:val="002A4A49"/>
    <w:rsid w:val="002C0350"/>
    <w:rsid w:val="002F3929"/>
    <w:rsid w:val="002F3D1D"/>
    <w:rsid w:val="003347EE"/>
    <w:rsid w:val="0034788F"/>
    <w:rsid w:val="0035332E"/>
    <w:rsid w:val="00386163"/>
    <w:rsid w:val="003926D5"/>
    <w:rsid w:val="003F4928"/>
    <w:rsid w:val="00413A88"/>
    <w:rsid w:val="0043058F"/>
    <w:rsid w:val="004B35E7"/>
    <w:rsid w:val="004D6C84"/>
    <w:rsid w:val="005600EE"/>
    <w:rsid w:val="00575441"/>
    <w:rsid w:val="00575B41"/>
    <w:rsid w:val="00696EC6"/>
    <w:rsid w:val="006A214B"/>
    <w:rsid w:val="006B5E99"/>
    <w:rsid w:val="0072101A"/>
    <w:rsid w:val="007375D8"/>
    <w:rsid w:val="007F23C8"/>
    <w:rsid w:val="008738C8"/>
    <w:rsid w:val="00965B46"/>
    <w:rsid w:val="00980FB5"/>
    <w:rsid w:val="00983463"/>
    <w:rsid w:val="00A15CC3"/>
    <w:rsid w:val="00A77CED"/>
    <w:rsid w:val="00A90791"/>
    <w:rsid w:val="00AB7423"/>
    <w:rsid w:val="00AE3471"/>
    <w:rsid w:val="00B35B0E"/>
    <w:rsid w:val="00B93530"/>
    <w:rsid w:val="00B935B6"/>
    <w:rsid w:val="00BF2EC7"/>
    <w:rsid w:val="00C456F0"/>
    <w:rsid w:val="00C57564"/>
    <w:rsid w:val="00C66269"/>
    <w:rsid w:val="00C822B9"/>
    <w:rsid w:val="00CF30A6"/>
    <w:rsid w:val="00D61524"/>
    <w:rsid w:val="00D8229E"/>
    <w:rsid w:val="00DB3E16"/>
    <w:rsid w:val="00DC042A"/>
    <w:rsid w:val="00DC3DD2"/>
    <w:rsid w:val="00DD4CC7"/>
    <w:rsid w:val="00DF4D02"/>
    <w:rsid w:val="00E217AD"/>
    <w:rsid w:val="00EB4C04"/>
    <w:rsid w:val="00ED622E"/>
    <w:rsid w:val="00F2688D"/>
    <w:rsid w:val="00F279C3"/>
    <w:rsid w:val="00F6640A"/>
    <w:rsid w:val="00FC6C79"/>
    <w:rsid w:val="00FE0442"/>
    <w:rsid w:val="00FE7627"/>
    <w:rsid w:val="04E15802"/>
    <w:rsid w:val="0D3C3AD7"/>
    <w:rsid w:val="12140958"/>
    <w:rsid w:val="198269EE"/>
    <w:rsid w:val="2B51698E"/>
    <w:rsid w:val="3BA94415"/>
    <w:rsid w:val="435766B4"/>
    <w:rsid w:val="474E3470"/>
    <w:rsid w:val="5361397A"/>
    <w:rsid w:val="59993190"/>
    <w:rsid w:val="5B465BFF"/>
    <w:rsid w:val="6623094C"/>
    <w:rsid w:val="67F56B0E"/>
    <w:rsid w:val="78B105FC"/>
    <w:rsid w:val="78C31366"/>
    <w:rsid w:val="7B0E21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styleId="7">
    <w:name w:val="Hyperlink"/>
    <w:basedOn w:val="5"/>
    <w:semiHidden/>
    <w:unhideWhenUsed/>
    <w:qFormat/>
    <w:uiPriority w:val="99"/>
    <w:rPr>
      <w:color w:val="0000FF"/>
      <w:u w:val="single"/>
    </w:rPr>
  </w:style>
  <w:style w:type="character" w:customStyle="1" w:styleId="8">
    <w:name w:val="页眉 字符"/>
    <w:basedOn w:val="5"/>
    <w:link w:val="3"/>
    <w:qFormat/>
    <w:uiPriority w:val="99"/>
    <w:rPr>
      <w:sz w:val="18"/>
      <w:szCs w:val="18"/>
    </w:rPr>
  </w:style>
  <w:style w:type="character" w:customStyle="1" w:styleId="9">
    <w:name w:val="页脚 字符"/>
    <w:basedOn w:val="5"/>
    <w:link w:val="2"/>
    <w:uiPriority w:val="99"/>
    <w:rPr>
      <w:sz w:val="18"/>
      <w:szCs w:val="18"/>
    </w:rPr>
  </w:style>
  <w:style w:type="paragraph" w:styleId="10">
    <w:name w:val="List Paragraph"/>
    <w:basedOn w:val="1"/>
    <w:qFormat/>
    <w:uiPriority w:val="99"/>
    <w:pPr>
      <w:spacing w:line="480" w:lineRule="atLeast"/>
      <w:ind w:firstLine="420" w:firstLineChars="200"/>
    </w:pPr>
    <w:rPr>
      <w:rFonts w:ascii="宋体" w:hAnsi="宋体" w:eastAsia="宋体" w:cs="Times New Roman"/>
      <w:bCs/>
      <w:iCs/>
      <w:sz w:val="24"/>
      <w:szCs w:val="24"/>
    </w:rPr>
  </w:style>
  <w:style w:type="paragraph" w:customStyle="1" w:styleId="11">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2">
    <w:name w:val="paragraph"/>
    <w:basedOn w:val="1"/>
    <w:semiHidden/>
    <w:uiPriority w:val="0"/>
    <w:pPr>
      <w:widowControl/>
      <w:spacing w:before="100" w:beforeAutospacing="1" w:after="100" w:afterAutospacing="1"/>
      <w:jc w:val="left"/>
    </w:pPr>
    <w:rPr>
      <w:rFonts w:ascii="等线" w:hAnsi="等线" w:eastAsia="等线" w:cs="Times New Roman"/>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7d62a250-e483-4a2d-83b3-eb80a3f02002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75D1CA70</paraID>
      <start>10</start>
      <end>11</end>
      <status>unmodified</status>
      <modifiedWord/>
      <trackRevisions>false</trackRevisions>
    </reviewItem>
    <reviewItem>
      <errorID>50c325e3-1c7d-4c5d-a6bc-ae0c8f0aacb2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DB2C19D</paraID>
      <start>8</start>
      <end>9</end>
      <status>unmodified</status>
      <modifiedWord/>
      <trackRevisions>false</trackRevisions>
    </reviewItem>
    <reviewItem>
      <errorID>3ac1cd27-71e1-4328-8306-7039a4a1871d</errorID>
      <errorWord>暘</errorWord>
      <group>L1_Word</group>
      <groupName>字词问题</groupName>
      <ability>L2_Fanti</ability>
      <abilityName>繁转简</abilityName>
      <candidateList>
        <item>旸</item>
      </candidateList>
      <explain/>
      <paraID>16C2101B</paraID>
      <start>6</start>
      <end>7</end>
      <status>unmodified</status>
      <modifiedWord/>
      <trackRevisions>false</trackRevisions>
    </reviewItem>
    <reviewItem>
      <errorID>64e7792f-5483-4f41-92ed-b4ab335cd0c4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B1D4D2B</paraID>
      <start>0</start>
      <end>2</end>
      <status>unmodified</status>
      <modifiedWord/>
      <trackRevisions>false</trackRevisions>
    </reviewItem>
    <reviewItem>
      <errorID>e913f6cf-12d5-40ac-aba7-e47ad9ba4c30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424F1097</paraID>
      <start>0</start>
      <end>2</end>
      <status>unmodified</status>
      <modifiedWord/>
      <trackRevisions>false</trackRevisions>
    </reviewItem>
    <reviewItem>
      <errorID>badebbe7-2d7f-4bd5-8033-3f9e6a0c7976</errorID>
      <errorWord>使能</errorWord>
      <group>L1_Word</group>
      <groupName>字词问题</groupName>
      <ability>L2_Typo</ability>
      <abilityName>字词错误</abilityName>
      <candidateList>
        <item>智能</item>
      </candidateList>
      <explain/>
      <paraID>4EC140C4</paraID>
      <start>42</start>
      <end>44</end>
      <status>unmodified</status>
      <modifiedWord/>
      <trackRevisions>false</trackRevisions>
    </reviewItem>
    <reviewItem>
      <errorID>acd3e4f7-75f2-44aa-b408-f5517f4b20ae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266C45B6</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5DB6E79-BE5A-421D-98DF-88D98302DD0E}">
  <ds:schemaRefs/>
</ds:datastoreItem>
</file>

<file path=customXml/itemProps2.xml><?xml version="1.0" encoding="utf-8"?>
<ds:datastoreItem xmlns:ds="http://schemas.openxmlformats.org/officeDocument/2006/customXml" ds:itemID="{fbc81ea7-412f-41cd-98bf-c172f10bfe54}">
  <ds:schemaRefs/>
</ds:datastoreItem>
</file>

<file path=docProps/app.xml><?xml version="1.0" encoding="utf-8"?>
<Properties xmlns="http://schemas.openxmlformats.org/officeDocument/2006/extended-properties" xmlns:vt="http://schemas.openxmlformats.org/officeDocument/2006/docPropsVTypes">
  <Template>Normal</Template>
  <Pages>4</Pages>
  <Words>2212</Words>
  <Characters>2372</Characters>
  <Lines>14</Lines>
  <Paragraphs>4</Paragraphs>
  <TotalTime>7</TotalTime>
  <ScaleCrop>false</ScaleCrop>
  <LinksUpToDate>false</LinksUpToDate>
  <CharactersWithSpaces>2411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2026-03-03T09:31:00Z</dcterms:created>
  <dc:creator>暘 韩</dc:creator>
  <cp:lastModifiedBy>Hannie</cp:lastModifiedBy>
  <dcterms:modified xsi:type="dcterms:W3CDTF">2026-09-07T10:16:28Z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eyJoZGlkIjoiYzg4ZGVhNjYzNmVhYTMyMjIyMGY1ZmZhZmM5OGYwMTMiLCJ1c2VySWQiOiIxMTQ0MzUyMzA4In0=</vt:lpwstr>
  </property>
  <property fmtid="{D5CDD505-2E9C-101B-9397-08002B2CF9AE}" pid="3" name="KSOProductBuildVer">
    <vt:lpwstr>2052-12.1.0.28505</vt:lpwstr>
  </property>
  <property fmtid="{D5CDD505-2E9C-101B-9397-08002B2CF9AE}" pid="4" name="ICV">
    <vt:lpwstr>2299656DB6E6495DADC825941323DFDC_12</vt:lpwstr>
  </property>
</Properties>
</file>