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0609D">
      <w:pPr>
        <w:autoSpaceDE/>
        <w:autoSpaceDN/>
        <w:spacing w:before="0" w:line="360" w:lineRule="auto"/>
        <w:ind w:left="0" w:right="0" w:firstLine="0"/>
        <w:jc w:val="center"/>
        <w:outlineLvl w:val="0"/>
        <w:rPr>
          <w:rFonts w:ascii="Times New Roman" w:hAnsi="Times New Roman" w:eastAsia="宋体" w:cs="宋体"/>
          <w:b/>
          <w:bCs/>
          <w:spacing w:val="-3"/>
          <w:sz w:val="28"/>
          <w:szCs w:val="28"/>
          <w:lang w:eastAsia="zh-CN"/>
        </w:rPr>
      </w:pPr>
      <w:r>
        <w:rPr>
          <w:rFonts w:ascii="Times New Roman" w:hAnsi="Times New Roman" w:eastAsia="宋体" w:cs="宋体"/>
          <w:b/>
          <w:bCs/>
          <w:spacing w:val="-3"/>
          <w:sz w:val="28"/>
          <w:szCs w:val="28"/>
          <w:lang w:eastAsia="zh-CN"/>
        </w:rPr>
        <w:t>北京九州一轨环境科技股份有限公司</w:t>
      </w:r>
    </w:p>
    <w:p w14:paraId="5682AACC">
      <w:pPr>
        <w:autoSpaceDE/>
        <w:autoSpaceDN/>
        <w:spacing w:before="0" w:line="360" w:lineRule="auto"/>
        <w:ind w:left="0" w:right="0" w:firstLine="0"/>
        <w:jc w:val="center"/>
        <w:outlineLvl w:val="0"/>
        <w:rPr>
          <w:rFonts w:hint="eastAsia" w:ascii="Times New Roman" w:hAnsi="Times New Roman" w:eastAsia="宋体" w:cs="宋体"/>
          <w:sz w:val="28"/>
          <w:szCs w:val="28"/>
          <w:lang w:eastAsia="zh-CN"/>
        </w:rPr>
      </w:pPr>
      <w:r>
        <w:rPr>
          <w:rFonts w:ascii="Times New Roman" w:hAnsi="Times New Roman" w:eastAsia="宋体" w:cs="宋体"/>
          <w:b/>
          <w:bCs/>
          <w:spacing w:val="-4"/>
          <w:sz w:val="28"/>
          <w:szCs w:val="28"/>
          <w:lang w:eastAsia="zh-CN"/>
        </w:rPr>
        <w:t>投资者关系活动记录表</w:t>
      </w:r>
    </w:p>
    <w:p w14:paraId="6DDF452C">
      <w:pPr>
        <w:spacing w:before="0" w:afterLines="50" w:line="360" w:lineRule="auto"/>
        <w:ind w:left="0"/>
        <w:jc w:val="center"/>
        <w:rPr>
          <w:rFonts w:hint="default" w:ascii="Times New Roman" w:hAnsi="Times New Roman" w:cs="Times New Roman" w:eastAsiaTheme="minorEastAsia"/>
          <w:sz w:val="24"/>
          <w:szCs w:val="24"/>
          <w:highlight w:val="yellow"/>
          <w:lang w:val="en-US" w:eastAsia="zh-CN"/>
        </w:rPr>
      </w:pPr>
      <w:r>
        <w:rPr>
          <w:rFonts w:ascii="Times New Roman" w:hAnsi="Times New Roman" w:eastAsia="宋体" w:cs="宋体"/>
          <w:b/>
          <w:bCs/>
          <w:sz w:val="24"/>
          <w:szCs w:val="24"/>
          <w:lang w:eastAsia="zh-CN"/>
        </w:rPr>
        <w:t>证券简称：</w:t>
      </w:r>
      <w:r>
        <w:rPr>
          <w:rFonts w:ascii="Times New Roman" w:hAnsi="Times New Roman" w:eastAsia="宋体" w:cs="宋体"/>
          <w:b w:val="0"/>
          <w:bCs w:val="0"/>
          <w:sz w:val="24"/>
          <w:szCs w:val="24"/>
          <w:lang w:eastAsia="zh-CN"/>
        </w:rPr>
        <w:t>九州一轨</w:t>
      </w:r>
      <w:r>
        <w:rPr>
          <w:rFonts w:hint="eastAsia" w:ascii="Times New Roman" w:hAnsi="Times New Roman" w:eastAsia="宋体" w:cs="宋体"/>
          <w:b/>
          <w:bCs/>
          <w:sz w:val="24"/>
          <w:szCs w:val="24"/>
          <w:lang w:eastAsia="zh-CN"/>
        </w:rPr>
        <w:t xml:space="preserve">        </w:t>
      </w:r>
      <w:r>
        <w:rPr>
          <w:rFonts w:hint="eastAsia" w:ascii="Times New Roman" w:hAnsi="Times New Roman" w:eastAsia="宋体" w:cs="宋体"/>
          <w:b/>
          <w:bCs/>
          <w:sz w:val="24"/>
          <w:szCs w:val="24"/>
          <w:lang w:val="en-US" w:eastAsia="zh-CN"/>
        </w:rPr>
        <w:t xml:space="preserve">  </w:t>
      </w:r>
      <w:r>
        <w:rPr>
          <w:rFonts w:hint="eastAsia" w:ascii="Times New Roman" w:hAnsi="Times New Roman" w:eastAsia="宋体" w:cs="宋体"/>
          <w:b/>
          <w:bCs/>
          <w:sz w:val="24"/>
          <w:szCs w:val="24"/>
          <w:lang w:eastAsia="zh-CN"/>
        </w:rPr>
        <w:t xml:space="preserve">  </w:t>
      </w:r>
      <w:r>
        <w:rPr>
          <w:rFonts w:ascii="Times New Roman" w:hAnsi="Times New Roman" w:eastAsia="宋体" w:cs="宋体"/>
          <w:b/>
          <w:bCs/>
          <w:sz w:val="24"/>
          <w:szCs w:val="24"/>
          <w:lang w:eastAsia="zh-CN"/>
        </w:rPr>
        <w:t>证券代</w:t>
      </w:r>
      <w:r>
        <w:rPr>
          <w:rFonts w:ascii="Times New Roman" w:hAnsi="Times New Roman" w:eastAsia="宋体" w:cs="宋体"/>
          <w:b/>
          <w:bCs/>
          <w:spacing w:val="-1"/>
          <w:sz w:val="24"/>
          <w:szCs w:val="24"/>
          <w:lang w:eastAsia="zh-CN"/>
        </w:rPr>
        <w:t>码：</w:t>
      </w:r>
      <w:r>
        <w:rPr>
          <w:rFonts w:ascii="Times New Roman" w:hAnsi="Times New Roman" w:eastAsia="Times New Roman" w:cs="Times New Roman"/>
          <w:b w:val="0"/>
          <w:bCs w:val="0"/>
          <w:spacing w:val="-1"/>
          <w:sz w:val="24"/>
          <w:szCs w:val="24"/>
          <w:lang w:eastAsia="zh-CN"/>
        </w:rPr>
        <w:t>688485</w:t>
      </w:r>
      <w:r>
        <w:rPr>
          <w:rFonts w:hint="eastAsia" w:ascii="Times New Roman" w:hAnsi="Times New Roman" w:eastAsia="宋体" w:cs="Times New Roman"/>
          <w:b/>
          <w:bCs/>
          <w:spacing w:val="-1"/>
          <w:sz w:val="24"/>
          <w:szCs w:val="24"/>
          <w:lang w:eastAsia="zh-CN"/>
        </w:rPr>
        <w:t xml:space="preserve">        </w:t>
      </w:r>
      <w:r>
        <w:rPr>
          <w:rFonts w:hint="eastAsia" w:ascii="Times New Roman" w:hAnsi="Times New Roman" w:eastAsia="宋体" w:cs="Times New Roman"/>
          <w:b/>
          <w:bCs/>
          <w:spacing w:val="-1"/>
          <w:sz w:val="24"/>
          <w:szCs w:val="24"/>
          <w:lang w:val="en-US" w:eastAsia="zh-CN"/>
        </w:rPr>
        <w:t xml:space="preserve">        </w:t>
      </w:r>
      <w:r>
        <w:rPr>
          <w:rFonts w:hint="eastAsia" w:ascii="Times New Roman" w:hAnsi="Times New Roman" w:eastAsia="宋体" w:cs="Times New Roman"/>
          <w:b/>
          <w:bCs/>
          <w:spacing w:val="-1"/>
          <w:sz w:val="24"/>
          <w:szCs w:val="24"/>
          <w:lang w:eastAsia="zh-CN"/>
        </w:rPr>
        <w:t xml:space="preserve">       </w:t>
      </w:r>
      <w:r>
        <w:rPr>
          <w:rFonts w:ascii="Times New Roman" w:hAnsi="Times New Roman" w:eastAsia="宋体" w:cs="宋体"/>
          <w:b/>
          <w:bCs/>
          <w:spacing w:val="-1"/>
          <w:sz w:val="24"/>
          <w:szCs w:val="24"/>
          <w:lang w:eastAsia="zh-CN"/>
        </w:rPr>
        <w:t>编号：</w:t>
      </w:r>
      <w:r>
        <w:rPr>
          <w:rFonts w:ascii="Times New Roman" w:hAnsi="Times New Roman" w:eastAsia="宋体" w:cs="Times New Roman"/>
          <w:b w:val="0"/>
          <w:bCs w:val="0"/>
          <w:spacing w:val="-1"/>
          <w:sz w:val="24"/>
          <w:szCs w:val="24"/>
          <w:lang w:eastAsia="zh-CN"/>
        </w:rPr>
        <w:t>202</w:t>
      </w:r>
      <w:r>
        <w:rPr>
          <w:rFonts w:hint="eastAsia" w:ascii="Times New Roman" w:hAnsi="Times New Roman" w:eastAsia="宋体" w:cs="Times New Roman"/>
          <w:b w:val="0"/>
          <w:bCs w:val="0"/>
          <w:spacing w:val="-1"/>
          <w:sz w:val="24"/>
          <w:szCs w:val="24"/>
          <w:lang w:val="en-US" w:eastAsia="zh-CN"/>
        </w:rPr>
        <w:t>6</w:t>
      </w:r>
      <w:r>
        <w:rPr>
          <w:rFonts w:ascii="Times New Roman" w:hAnsi="Times New Roman" w:eastAsia="宋体" w:cs="Times New Roman"/>
          <w:b w:val="0"/>
          <w:bCs w:val="0"/>
          <w:spacing w:val="-1"/>
          <w:sz w:val="24"/>
          <w:szCs w:val="24"/>
          <w:lang w:eastAsia="zh-CN"/>
        </w:rPr>
        <w:t>-0</w:t>
      </w:r>
      <w:r>
        <w:rPr>
          <w:rFonts w:hint="eastAsia" w:ascii="Times New Roman" w:hAnsi="Times New Roman" w:eastAsia="宋体" w:cs="Times New Roman"/>
          <w:b w:val="0"/>
          <w:bCs w:val="0"/>
          <w:spacing w:val="-1"/>
          <w:sz w:val="24"/>
          <w:szCs w:val="24"/>
          <w:lang w:val="en-US" w:eastAsia="zh-CN"/>
        </w:rPr>
        <w:t>01</w:t>
      </w:r>
    </w:p>
    <w:tbl>
      <w:tblPr>
        <w:tblStyle w:val="12"/>
        <w:tblW w:w="8295" w:type="dxa"/>
        <w:tblInd w:w="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71"/>
        <w:gridCol w:w="3189"/>
        <w:gridCol w:w="2935"/>
      </w:tblGrid>
      <w:tr w14:paraId="7AD1C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171" w:type="dxa"/>
            <w:vAlign w:val="center"/>
          </w:tcPr>
          <w:p w14:paraId="6F8D41C5">
            <w:pPr>
              <w:pStyle w:val="13"/>
              <w:spacing w:before="0" w:line="360" w:lineRule="auto"/>
              <w:ind w:right="0"/>
              <w:jc w:val="center"/>
              <w:rPr>
                <w:rFonts w:hint="eastAsia" w:ascii="Times New Roman" w:hAnsi="Times New Roman" w:eastAsia="宋体" w:cs="宋体"/>
                <w:b/>
                <w:bCs/>
                <w:spacing w:val="-4"/>
                <w:sz w:val="24"/>
                <w:szCs w:val="24"/>
              </w:rPr>
            </w:pPr>
            <w:r>
              <w:rPr>
                <w:rFonts w:hint="eastAsia" w:ascii="Times New Roman" w:hAnsi="Times New Roman" w:eastAsia="宋体" w:cs="宋体"/>
                <w:b/>
                <w:bCs/>
                <w:spacing w:val="-4"/>
                <w:sz w:val="24"/>
                <w:szCs w:val="24"/>
              </w:rPr>
              <w:t>投资者关系活动</w:t>
            </w:r>
            <w:r>
              <w:rPr>
                <w:rFonts w:hint="eastAsia" w:ascii="Times New Roman" w:hAnsi="Times New Roman" w:eastAsia="宋体" w:cs="宋体"/>
                <w:b/>
                <w:bCs/>
                <w:spacing w:val="-7"/>
                <w:sz w:val="24"/>
                <w:szCs w:val="24"/>
              </w:rPr>
              <w:t>类别</w:t>
            </w:r>
          </w:p>
        </w:tc>
        <w:tc>
          <w:tcPr>
            <w:tcW w:w="3189" w:type="dxa"/>
            <w:tcBorders>
              <w:bottom w:val="nil"/>
              <w:right w:val="nil"/>
            </w:tcBorders>
            <w:vAlign w:val="center"/>
          </w:tcPr>
          <w:p w14:paraId="6CD66F7D">
            <w:pPr>
              <w:pStyle w:val="13"/>
              <w:autoSpaceDE/>
              <w:autoSpaceDN/>
              <w:spacing w:before="0" w:beforeLines="50" w:afterLines="50" w:line="240" w:lineRule="auto"/>
              <w:ind w:firstLine="492" w:firstLineChars="200"/>
              <w:jc w:val="both"/>
              <w:rPr>
                <w:rFonts w:hint="eastAsia" w:ascii="Times New Roman" w:hAnsi="Times New Roman" w:eastAsia="宋体" w:cs="宋体"/>
                <w:spacing w:val="3"/>
                <w:sz w:val="24"/>
                <w:szCs w:val="24"/>
                <w:lang w:eastAsia="zh-CN"/>
              </w:rPr>
            </w:pPr>
            <w:r>
              <w:rPr>
                <w:rFonts w:hint="eastAsia" w:ascii="Times New Roman" w:hAnsi="Times New Roman" w:eastAsia="宋体" w:cs="宋体"/>
                <w:spacing w:val="3"/>
                <w:sz w:val="24"/>
                <w:szCs w:val="24"/>
              </w:rPr>
              <w:sym w:font="Wingdings 2" w:char="0052"/>
            </w:r>
            <w:r>
              <w:rPr>
                <w:rFonts w:hint="eastAsia" w:ascii="Times New Roman" w:hAnsi="Times New Roman" w:eastAsia="宋体" w:cs="宋体"/>
                <w:spacing w:val="3"/>
                <w:sz w:val="24"/>
                <w:szCs w:val="24"/>
                <w:lang w:eastAsia="zh-CN"/>
              </w:rPr>
              <w:t>特定对象调研</w:t>
            </w:r>
          </w:p>
          <w:p w14:paraId="3C799993">
            <w:pPr>
              <w:pStyle w:val="13"/>
              <w:autoSpaceDE/>
              <w:autoSpaceDN/>
              <w:spacing w:before="0" w:beforeLines="50" w:afterLines="50" w:line="240" w:lineRule="auto"/>
              <w:ind w:firstLine="492" w:firstLineChars="200"/>
              <w:jc w:val="both"/>
              <w:rPr>
                <w:rFonts w:hint="eastAsia" w:ascii="Times New Roman" w:hAnsi="Times New Roman" w:eastAsia="宋体" w:cs="宋体"/>
                <w:spacing w:val="-6"/>
                <w:sz w:val="24"/>
                <w:szCs w:val="24"/>
              </w:rPr>
            </w:pPr>
            <w:r>
              <w:rPr>
                <w:rFonts w:hint="eastAsia" w:ascii="Times New Roman" w:hAnsi="Times New Roman" w:eastAsia="宋体" w:cs="宋体"/>
                <w:spacing w:val="3"/>
                <w:sz w:val="24"/>
                <w:szCs w:val="24"/>
              </w:rPr>
              <w:sym w:font="Wingdings 2" w:char="00A3"/>
            </w:r>
            <w:r>
              <w:rPr>
                <w:rFonts w:hint="eastAsia" w:ascii="Times New Roman" w:hAnsi="Times New Roman" w:eastAsia="宋体" w:cs="宋体"/>
                <w:spacing w:val="-6"/>
                <w:sz w:val="24"/>
                <w:szCs w:val="24"/>
              </w:rPr>
              <w:t>媒体采访</w:t>
            </w:r>
          </w:p>
          <w:p w14:paraId="0D74F8FF">
            <w:pPr>
              <w:pStyle w:val="13"/>
              <w:autoSpaceDE/>
              <w:autoSpaceDN/>
              <w:spacing w:before="0" w:beforeLines="50" w:afterLines="50" w:line="240" w:lineRule="auto"/>
              <w:ind w:firstLine="492" w:firstLineChars="200"/>
              <w:jc w:val="both"/>
              <w:rPr>
                <w:rFonts w:hint="eastAsia" w:ascii="Times New Roman" w:hAnsi="Times New Roman" w:eastAsia="宋体" w:cs="宋体"/>
                <w:spacing w:val="-5"/>
                <w:sz w:val="24"/>
                <w:szCs w:val="24"/>
              </w:rPr>
            </w:pPr>
            <w:r>
              <w:rPr>
                <w:rFonts w:hint="eastAsia" w:ascii="Times New Roman" w:hAnsi="Times New Roman" w:eastAsia="宋体" w:cs="宋体"/>
                <w:spacing w:val="3"/>
                <w:sz w:val="24"/>
                <w:szCs w:val="24"/>
              </w:rPr>
              <w:sym w:font="Wingdings 2" w:char="00A3"/>
            </w:r>
            <w:r>
              <w:rPr>
                <w:rFonts w:hint="eastAsia" w:ascii="Times New Roman" w:hAnsi="Times New Roman" w:eastAsia="宋体" w:cs="宋体"/>
                <w:spacing w:val="-5"/>
                <w:sz w:val="24"/>
                <w:szCs w:val="24"/>
              </w:rPr>
              <w:t>新闻发布会</w:t>
            </w:r>
          </w:p>
          <w:p w14:paraId="19211835">
            <w:pPr>
              <w:pStyle w:val="13"/>
              <w:autoSpaceDE/>
              <w:autoSpaceDN/>
              <w:spacing w:before="0" w:beforeLines="50" w:afterLines="50" w:line="240" w:lineRule="auto"/>
              <w:ind w:firstLine="508" w:firstLineChars="200"/>
              <w:jc w:val="both"/>
              <w:rPr>
                <w:rFonts w:hint="eastAsia" w:ascii="Times New Roman" w:hAnsi="Times New Roman" w:eastAsia="宋体" w:cs="宋体"/>
                <w:sz w:val="24"/>
                <w:szCs w:val="24"/>
                <w:lang w:eastAsia="zh-CN"/>
              </w:rPr>
            </w:pPr>
            <w:r>
              <w:rPr>
                <w:rFonts w:hint="eastAsia" w:ascii="Times New Roman" w:hAnsi="Times New Roman" w:eastAsia="宋体" w:cs="宋体"/>
                <w:spacing w:val="7"/>
                <w:sz w:val="24"/>
                <w:szCs w:val="24"/>
              </w:rPr>
              <w:sym w:font="Wingdings 2" w:char="00A3"/>
            </w:r>
            <w:r>
              <w:rPr>
                <w:rFonts w:hint="eastAsia" w:ascii="Times New Roman" w:hAnsi="Times New Roman" w:eastAsia="宋体" w:cs="宋体"/>
                <w:spacing w:val="7"/>
                <w:sz w:val="24"/>
                <w:szCs w:val="24"/>
              </w:rPr>
              <w:t>现场参观</w:t>
            </w:r>
          </w:p>
        </w:tc>
        <w:tc>
          <w:tcPr>
            <w:tcW w:w="2935" w:type="dxa"/>
            <w:tcBorders>
              <w:left w:val="nil"/>
              <w:bottom w:val="nil"/>
            </w:tcBorders>
            <w:vAlign w:val="center"/>
          </w:tcPr>
          <w:p w14:paraId="4F009989">
            <w:pPr>
              <w:pStyle w:val="13"/>
              <w:autoSpaceDE/>
              <w:autoSpaceDN/>
              <w:spacing w:before="0" w:beforeLines="50" w:afterLines="50" w:line="240" w:lineRule="auto"/>
              <w:ind w:firstLine="0" w:firstLineChars="0"/>
              <w:jc w:val="both"/>
              <w:rPr>
                <w:rFonts w:hint="eastAsia" w:ascii="Times New Roman" w:hAnsi="Times New Roman" w:eastAsia="宋体" w:cs="宋体"/>
                <w:spacing w:val="3"/>
                <w:sz w:val="24"/>
                <w:szCs w:val="24"/>
              </w:rPr>
            </w:pPr>
            <w:r>
              <w:rPr>
                <w:rFonts w:hint="eastAsia" w:ascii="Times New Roman" w:hAnsi="Times New Roman" w:eastAsia="宋体" w:cs="宋体"/>
                <w:spacing w:val="3"/>
                <w:sz w:val="24"/>
                <w:szCs w:val="24"/>
              </w:rPr>
              <w:sym w:font="Wingdings 2" w:char="0052"/>
            </w:r>
            <w:r>
              <w:rPr>
                <w:rFonts w:hint="eastAsia" w:ascii="Times New Roman" w:hAnsi="Times New Roman" w:eastAsia="宋体" w:cs="宋体"/>
                <w:spacing w:val="-5"/>
                <w:sz w:val="24"/>
                <w:szCs w:val="24"/>
                <w:lang w:eastAsia="zh-CN"/>
              </w:rPr>
              <w:t>分析师会议</w:t>
            </w:r>
          </w:p>
          <w:p w14:paraId="01616EAD">
            <w:pPr>
              <w:pStyle w:val="13"/>
              <w:autoSpaceDE/>
              <w:autoSpaceDN/>
              <w:spacing w:before="0" w:beforeLines="50" w:afterLines="50" w:line="240" w:lineRule="auto"/>
              <w:ind w:firstLine="0" w:firstLineChars="0"/>
              <w:jc w:val="both"/>
              <w:rPr>
                <w:rFonts w:hint="eastAsia" w:ascii="Times New Roman" w:hAnsi="Times New Roman" w:eastAsia="宋体" w:cs="宋体"/>
                <w:spacing w:val="3"/>
                <w:sz w:val="24"/>
                <w:szCs w:val="24"/>
              </w:rPr>
            </w:pPr>
            <w:r>
              <w:rPr>
                <w:rFonts w:hint="eastAsia" w:ascii="Times New Roman" w:hAnsi="Times New Roman" w:eastAsia="宋体" w:cs="宋体"/>
                <w:spacing w:val="3"/>
                <w:sz w:val="24"/>
                <w:szCs w:val="24"/>
              </w:rPr>
              <w:sym w:font="Wingdings 2" w:char="00A3"/>
            </w:r>
            <w:r>
              <w:rPr>
                <w:rFonts w:hint="eastAsia" w:ascii="Times New Roman" w:hAnsi="Times New Roman" w:eastAsia="宋体" w:cs="宋体"/>
                <w:spacing w:val="-5"/>
                <w:sz w:val="24"/>
                <w:szCs w:val="24"/>
              </w:rPr>
              <w:t>业绩说明会</w:t>
            </w:r>
          </w:p>
          <w:p w14:paraId="762AEE12">
            <w:pPr>
              <w:pStyle w:val="13"/>
              <w:autoSpaceDE/>
              <w:autoSpaceDN/>
              <w:spacing w:before="0" w:beforeLines="50" w:afterLines="50" w:line="240" w:lineRule="auto"/>
              <w:ind w:firstLine="0" w:firstLineChars="0"/>
              <w:jc w:val="both"/>
              <w:rPr>
                <w:rFonts w:hint="eastAsia" w:ascii="Times New Roman" w:hAnsi="Times New Roman" w:eastAsia="宋体" w:cs="宋体"/>
                <w:spacing w:val="-6"/>
                <w:sz w:val="24"/>
                <w:szCs w:val="24"/>
              </w:rPr>
            </w:pPr>
            <w:r>
              <w:rPr>
                <w:rFonts w:hint="eastAsia" w:ascii="Times New Roman" w:hAnsi="Times New Roman" w:eastAsia="宋体" w:cs="宋体"/>
                <w:spacing w:val="3"/>
                <w:sz w:val="24"/>
                <w:szCs w:val="24"/>
              </w:rPr>
              <w:sym w:font="Wingdings 2" w:char="0052"/>
            </w:r>
            <w:r>
              <w:rPr>
                <w:rFonts w:hint="eastAsia" w:ascii="Times New Roman" w:hAnsi="Times New Roman" w:eastAsia="宋体" w:cs="宋体"/>
                <w:spacing w:val="-6"/>
                <w:sz w:val="24"/>
                <w:szCs w:val="24"/>
              </w:rPr>
              <w:t>路演活动</w:t>
            </w:r>
          </w:p>
          <w:p w14:paraId="397800D4">
            <w:pPr>
              <w:pStyle w:val="13"/>
              <w:autoSpaceDE/>
              <w:autoSpaceDN/>
              <w:spacing w:before="0" w:beforeLines="50" w:afterLines="50" w:line="240" w:lineRule="auto"/>
              <w:ind w:firstLine="0" w:firstLineChars="0"/>
              <w:jc w:val="both"/>
              <w:rPr>
                <w:rFonts w:hint="eastAsia" w:ascii="Times New Roman" w:hAnsi="Times New Roman" w:eastAsia="宋体" w:cs="宋体"/>
                <w:sz w:val="24"/>
                <w:szCs w:val="24"/>
                <w:lang w:eastAsia="zh-CN"/>
              </w:rPr>
            </w:pPr>
            <w:r>
              <w:rPr>
                <w:rFonts w:hint="eastAsia" w:ascii="Times New Roman" w:hAnsi="Times New Roman" w:eastAsia="宋体" w:cs="宋体"/>
                <w:spacing w:val="-6"/>
                <w:sz w:val="24"/>
                <w:szCs w:val="24"/>
              </w:rPr>
              <w:sym w:font="Wingdings 2" w:char="00A3"/>
            </w:r>
            <w:r>
              <w:rPr>
                <w:rFonts w:hint="eastAsia" w:ascii="Times New Roman" w:hAnsi="Times New Roman" w:eastAsia="宋体" w:cs="宋体"/>
                <w:spacing w:val="-6"/>
                <w:sz w:val="24"/>
                <w:szCs w:val="24"/>
                <w:lang w:eastAsia="zh-CN"/>
              </w:rPr>
              <w:t>其他</w:t>
            </w:r>
          </w:p>
        </w:tc>
      </w:tr>
      <w:tr w14:paraId="73928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171" w:type="dxa"/>
            <w:vAlign w:val="center"/>
          </w:tcPr>
          <w:p w14:paraId="6615185F">
            <w:pPr>
              <w:pStyle w:val="13"/>
              <w:spacing w:before="0" w:line="360" w:lineRule="auto"/>
              <w:ind w:right="0"/>
              <w:jc w:val="center"/>
              <w:rPr>
                <w:rFonts w:hint="eastAsia" w:ascii="Times New Roman" w:hAnsi="Times New Roman" w:eastAsia="宋体" w:cs="宋体"/>
                <w:spacing w:val="1"/>
                <w:sz w:val="24"/>
                <w:szCs w:val="24"/>
                <w:lang w:eastAsia="zh-CN"/>
              </w:rPr>
            </w:pPr>
            <w:r>
              <w:rPr>
                <w:rFonts w:hint="eastAsia" w:ascii="Times New Roman" w:hAnsi="Times New Roman" w:eastAsia="宋体" w:cs="宋体"/>
                <w:b/>
                <w:bCs/>
                <w:spacing w:val="-4"/>
                <w:sz w:val="24"/>
                <w:szCs w:val="24"/>
                <w:lang w:eastAsia="zh-CN"/>
              </w:rPr>
              <w:t>参与单位名称</w:t>
            </w:r>
          </w:p>
          <w:p w14:paraId="5254F3E4">
            <w:pPr>
              <w:pStyle w:val="13"/>
              <w:spacing w:before="0" w:line="360" w:lineRule="auto"/>
              <w:ind w:right="0"/>
              <w:jc w:val="center"/>
              <w:rPr>
                <w:rFonts w:hint="eastAsia" w:ascii="Times New Roman" w:hAnsi="Times New Roman" w:eastAsia="宋体" w:cs="宋体"/>
                <w:sz w:val="24"/>
                <w:szCs w:val="24"/>
                <w:lang w:eastAsia="zh-CN"/>
              </w:rPr>
            </w:pPr>
            <w:r>
              <w:rPr>
                <w:rFonts w:hint="eastAsia" w:ascii="Times New Roman" w:hAnsi="Times New Roman" w:eastAsia="宋体" w:cs="宋体"/>
                <w:b/>
                <w:bCs/>
                <w:spacing w:val="-4"/>
                <w:sz w:val="24"/>
                <w:szCs w:val="24"/>
                <w:lang w:eastAsia="zh-CN"/>
              </w:rPr>
              <w:t>及人员姓名</w:t>
            </w:r>
          </w:p>
        </w:tc>
        <w:tc>
          <w:tcPr>
            <w:tcW w:w="6124" w:type="dxa"/>
            <w:gridSpan w:val="2"/>
            <w:vAlign w:val="center"/>
          </w:tcPr>
          <w:p w14:paraId="61E61AB6">
            <w:pPr>
              <w:pStyle w:val="13"/>
              <w:autoSpaceDE/>
              <w:autoSpaceDN/>
              <w:spacing w:before="0" w:beforeLines="0" w:after="0" w:afterLines="0" w:line="360" w:lineRule="auto"/>
              <w:ind w:firstLine="0" w:firstLineChars="0"/>
              <w:jc w:val="center"/>
              <w:rPr>
                <w:rFonts w:hint="eastAsia" w:ascii="Times New Roman" w:hAnsi="Times New Roman" w:cs="宋体"/>
                <w:spacing w:val="-1"/>
                <w:sz w:val="24"/>
                <w:szCs w:val="24"/>
                <w:lang w:val="en-US" w:eastAsia="zh-CN"/>
              </w:rPr>
            </w:pPr>
            <w:r>
              <w:rPr>
                <w:rFonts w:hint="eastAsia" w:ascii="Times New Roman" w:hAnsi="Times New Roman" w:cs="宋体"/>
                <w:spacing w:val="-1"/>
                <w:sz w:val="24"/>
                <w:szCs w:val="24"/>
                <w:lang w:val="en-US" w:eastAsia="zh-CN"/>
              </w:rPr>
              <w:t>2026年9月4日（北京现场会议）：</w:t>
            </w:r>
          </w:p>
          <w:p w14:paraId="03B53443">
            <w:pPr>
              <w:pStyle w:val="13"/>
              <w:autoSpaceDE/>
              <w:autoSpaceDN/>
              <w:spacing w:before="0" w:beforeLines="0" w:after="0" w:afterLines="0" w:line="360" w:lineRule="auto"/>
              <w:ind w:firstLine="0" w:firstLineChars="0"/>
              <w:jc w:val="center"/>
              <w:rPr>
                <w:rFonts w:hint="eastAsia" w:ascii="Times New Roman" w:hAnsi="Times New Roman" w:eastAsia="宋体" w:cs="宋体"/>
                <w:spacing w:val="-1"/>
                <w:sz w:val="24"/>
                <w:szCs w:val="24"/>
                <w:lang w:eastAsia="zh-CN"/>
              </w:rPr>
            </w:pPr>
            <w:r>
              <w:rPr>
                <w:rFonts w:hint="eastAsia" w:ascii="Times New Roman" w:hAnsi="Times New Roman" w:eastAsia="宋体" w:cs="宋体"/>
                <w:spacing w:val="-1"/>
                <w:sz w:val="24"/>
                <w:szCs w:val="24"/>
                <w:lang w:eastAsia="zh-CN"/>
              </w:rPr>
              <w:t>禾永投资</w:t>
            </w:r>
            <w:r>
              <w:rPr>
                <w:rFonts w:hint="eastAsia" w:ascii="Times New Roman" w:hAnsi="Times New Roman" w:cs="宋体"/>
                <w:spacing w:val="-1"/>
                <w:sz w:val="24"/>
                <w:szCs w:val="24"/>
                <w:lang w:val="en-US" w:eastAsia="zh-CN"/>
              </w:rPr>
              <w:t xml:space="preserve"> </w:t>
            </w:r>
            <w:r>
              <w:rPr>
                <w:rFonts w:hint="eastAsia" w:ascii="Times New Roman" w:hAnsi="Times New Roman" w:eastAsia="宋体" w:cs="宋体"/>
                <w:spacing w:val="-1"/>
                <w:sz w:val="24"/>
                <w:szCs w:val="24"/>
                <w:lang w:eastAsia="zh-CN"/>
              </w:rPr>
              <w:t>顾义河</w:t>
            </w:r>
          </w:p>
          <w:p w14:paraId="514F46D6">
            <w:pPr>
              <w:pStyle w:val="13"/>
              <w:autoSpaceDE/>
              <w:autoSpaceDN/>
              <w:spacing w:before="0" w:beforeLines="0" w:after="0" w:afterLines="0" w:line="360" w:lineRule="auto"/>
              <w:ind w:firstLine="0" w:firstLineChars="0"/>
              <w:jc w:val="center"/>
              <w:rPr>
                <w:rFonts w:hint="eastAsia" w:ascii="Times New Roman" w:hAnsi="Times New Roman" w:eastAsia="宋体" w:cs="宋体"/>
                <w:spacing w:val="-1"/>
                <w:sz w:val="24"/>
                <w:szCs w:val="24"/>
                <w:lang w:eastAsia="zh-CN"/>
              </w:rPr>
            </w:pPr>
            <w:r>
              <w:rPr>
                <w:rFonts w:hint="eastAsia" w:ascii="Times New Roman" w:hAnsi="Times New Roman" w:eastAsia="宋体" w:cs="宋体"/>
                <w:spacing w:val="-1"/>
                <w:sz w:val="24"/>
                <w:szCs w:val="24"/>
                <w:lang w:eastAsia="zh-CN"/>
              </w:rPr>
              <w:t>禾永</w:t>
            </w:r>
            <w:r>
              <w:rPr>
                <w:rFonts w:hint="eastAsia" w:ascii="Times New Roman" w:hAnsi="Times New Roman" w:cs="宋体"/>
                <w:spacing w:val="-1"/>
                <w:sz w:val="24"/>
                <w:szCs w:val="24"/>
                <w:lang w:val="en-US" w:eastAsia="zh-CN"/>
              </w:rPr>
              <w:t xml:space="preserve">投资 </w:t>
            </w:r>
            <w:r>
              <w:rPr>
                <w:rFonts w:hint="eastAsia" w:ascii="Times New Roman" w:hAnsi="Times New Roman" w:eastAsia="宋体" w:cs="宋体"/>
                <w:spacing w:val="-1"/>
                <w:sz w:val="24"/>
                <w:szCs w:val="24"/>
                <w:lang w:eastAsia="zh-CN"/>
              </w:rPr>
              <w:t>焦云</w:t>
            </w:r>
          </w:p>
          <w:p w14:paraId="40D6EBBF">
            <w:pPr>
              <w:pStyle w:val="13"/>
              <w:autoSpaceDE/>
              <w:autoSpaceDN/>
              <w:spacing w:before="0" w:beforeLines="0" w:after="0" w:afterLines="0" w:line="360" w:lineRule="auto"/>
              <w:ind w:firstLine="0" w:firstLineChars="0"/>
              <w:jc w:val="center"/>
              <w:rPr>
                <w:rFonts w:hint="eastAsia" w:ascii="Times New Roman" w:hAnsi="Times New Roman" w:eastAsia="宋体" w:cs="宋体"/>
                <w:spacing w:val="-1"/>
                <w:sz w:val="24"/>
                <w:szCs w:val="24"/>
                <w:lang w:eastAsia="zh-CN"/>
              </w:rPr>
            </w:pPr>
            <w:r>
              <w:rPr>
                <w:rFonts w:hint="eastAsia" w:ascii="Times New Roman" w:hAnsi="Times New Roman" w:eastAsia="宋体" w:cs="宋体"/>
                <w:spacing w:val="-1"/>
                <w:sz w:val="24"/>
                <w:szCs w:val="24"/>
                <w:lang w:eastAsia="zh-CN"/>
              </w:rPr>
              <w:t>禾永投资</w:t>
            </w:r>
            <w:r>
              <w:rPr>
                <w:rFonts w:hint="eastAsia" w:ascii="Times New Roman" w:hAnsi="Times New Roman" w:cs="宋体"/>
                <w:spacing w:val="-1"/>
                <w:sz w:val="24"/>
                <w:szCs w:val="24"/>
                <w:lang w:val="en-US" w:eastAsia="zh-CN"/>
              </w:rPr>
              <w:t xml:space="preserve"> </w:t>
            </w:r>
            <w:r>
              <w:rPr>
                <w:rFonts w:hint="eastAsia" w:ascii="Times New Roman" w:hAnsi="Times New Roman" w:eastAsia="宋体" w:cs="宋体"/>
                <w:spacing w:val="-1"/>
                <w:sz w:val="24"/>
                <w:szCs w:val="24"/>
                <w:lang w:eastAsia="zh-CN"/>
              </w:rPr>
              <w:t>马哲峰</w:t>
            </w:r>
          </w:p>
          <w:p w14:paraId="77A9F9F5">
            <w:pPr>
              <w:pStyle w:val="13"/>
              <w:autoSpaceDE/>
              <w:autoSpaceDN/>
              <w:spacing w:before="0" w:beforeLines="0" w:after="0" w:afterLines="0" w:line="360" w:lineRule="auto"/>
              <w:ind w:firstLine="0" w:firstLineChars="0"/>
              <w:jc w:val="center"/>
              <w:rPr>
                <w:rFonts w:hint="eastAsia" w:ascii="Times New Roman" w:hAnsi="Times New Roman" w:eastAsia="宋体" w:cs="宋体"/>
                <w:spacing w:val="-1"/>
                <w:sz w:val="24"/>
                <w:szCs w:val="24"/>
                <w:lang w:eastAsia="zh-CN"/>
              </w:rPr>
            </w:pPr>
            <w:r>
              <w:rPr>
                <w:rFonts w:hint="eastAsia" w:ascii="Times New Roman" w:hAnsi="Times New Roman" w:eastAsia="宋体" w:cs="宋体"/>
                <w:spacing w:val="-1"/>
                <w:sz w:val="24"/>
                <w:szCs w:val="24"/>
                <w:lang w:eastAsia="zh-CN"/>
              </w:rPr>
              <w:t>中信保诚基金</w:t>
            </w:r>
            <w:r>
              <w:rPr>
                <w:rFonts w:hint="eastAsia" w:ascii="Times New Roman" w:hAnsi="Times New Roman" w:cs="宋体"/>
                <w:spacing w:val="-1"/>
                <w:sz w:val="24"/>
                <w:szCs w:val="24"/>
                <w:lang w:val="en-US" w:eastAsia="zh-CN"/>
              </w:rPr>
              <w:t xml:space="preserve"> </w:t>
            </w:r>
            <w:r>
              <w:rPr>
                <w:rFonts w:hint="eastAsia" w:ascii="Times New Roman" w:hAnsi="Times New Roman" w:eastAsia="宋体" w:cs="宋体"/>
                <w:spacing w:val="-1"/>
                <w:sz w:val="24"/>
                <w:szCs w:val="24"/>
                <w:lang w:eastAsia="zh-CN"/>
              </w:rPr>
              <w:t>姚思洲</w:t>
            </w:r>
          </w:p>
          <w:p w14:paraId="44DF8FBA">
            <w:pPr>
              <w:pStyle w:val="13"/>
              <w:autoSpaceDE/>
              <w:autoSpaceDN/>
              <w:spacing w:before="0" w:beforeLines="0" w:after="0" w:afterLines="0" w:line="360" w:lineRule="auto"/>
              <w:ind w:firstLine="0" w:firstLineChars="0"/>
              <w:jc w:val="center"/>
              <w:rPr>
                <w:rFonts w:hint="default" w:ascii="Times New Roman" w:hAnsi="Times New Roman" w:eastAsia="宋体" w:cs="宋体"/>
                <w:spacing w:val="-1"/>
                <w:sz w:val="24"/>
                <w:szCs w:val="24"/>
                <w:lang w:val="en-US" w:eastAsia="zh-CN"/>
              </w:rPr>
            </w:pPr>
            <w:r>
              <w:rPr>
                <w:rFonts w:hint="eastAsia" w:ascii="Times New Roman" w:hAnsi="Times New Roman" w:cs="宋体"/>
                <w:spacing w:val="-1"/>
                <w:sz w:val="24"/>
                <w:szCs w:val="24"/>
                <w:lang w:val="en-US" w:eastAsia="zh-CN"/>
              </w:rPr>
              <w:t>2026年9月7日（上海现场会议）：</w:t>
            </w:r>
          </w:p>
          <w:p w14:paraId="526D767E">
            <w:pPr>
              <w:pStyle w:val="13"/>
              <w:autoSpaceDE/>
              <w:autoSpaceDN/>
              <w:spacing w:before="0" w:beforeLines="0" w:after="0" w:afterLines="0" w:line="360" w:lineRule="auto"/>
              <w:ind w:firstLine="0" w:firstLineChars="0"/>
              <w:jc w:val="center"/>
              <w:rPr>
                <w:rFonts w:hint="eastAsia" w:ascii="Times New Roman" w:hAnsi="Times New Roman" w:eastAsia="宋体" w:cs="宋体"/>
                <w:spacing w:val="-1"/>
                <w:sz w:val="24"/>
                <w:szCs w:val="24"/>
                <w:lang w:eastAsia="zh-CN"/>
              </w:rPr>
            </w:pPr>
            <w:r>
              <w:rPr>
                <w:rFonts w:hint="eastAsia" w:ascii="Times New Roman" w:hAnsi="Times New Roman" w:eastAsia="宋体" w:cs="宋体"/>
                <w:spacing w:val="-1"/>
                <w:sz w:val="24"/>
                <w:szCs w:val="24"/>
                <w:lang w:eastAsia="zh-CN"/>
              </w:rPr>
              <w:t>国投证券</w:t>
            </w:r>
            <w:r>
              <w:rPr>
                <w:rFonts w:hint="eastAsia" w:ascii="Times New Roman" w:hAnsi="Times New Roman" w:eastAsia="宋体" w:cs="宋体"/>
                <w:spacing w:val="-1"/>
                <w:sz w:val="24"/>
                <w:szCs w:val="24"/>
                <w:lang w:eastAsia="zh-CN"/>
              </w:rPr>
              <w:tab/>
            </w:r>
            <w:r>
              <w:rPr>
                <w:rFonts w:hint="eastAsia" w:ascii="Times New Roman" w:hAnsi="Times New Roman" w:cs="宋体"/>
                <w:spacing w:val="-1"/>
                <w:sz w:val="24"/>
                <w:szCs w:val="24"/>
                <w:lang w:val="en-US" w:eastAsia="zh-CN"/>
              </w:rPr>
              <w:t xml:space="preserve"> </w:t>
            </w:r>
            <w:r>
              <w:rPr>
                <w:rFonts w:hint="eastAsia" w:ascii="Times New Roman" w:hAnsi="Times New Roman" w:eastAsia="宋体" w:cs="宋体"/>
                <w:spacing w:val="-1"/>
                <w:sz w:val="24"/>
                <w:szCs w:val="24"/>
                <w:lang w:eastAsia="zh-CN"/>
              </w:rPr>
              <w:t>常思远</w:t>
            </w:r>
          </w:p>
          <w:p w14:paraId="00B4906B">
            <w:pPr>
              <w:pStyle w:val="13"/>
              <w:autoSpaceDE/>
              <w:autoSpaceDN/>
              <w:spacing w:before="0" w:beforeLines="0" w:after="0" w:afterLines="0" w:line="360" w:lineRule="auto"/>
              <w:ind w:firstLine="0" w:firstLineChars="0"/>
              <w:jc w:val="center"/>
              <w:rPr>
                <w:rFonts w:hint="eastAsia" w:ascii="Times New Roman" w:hAnsi="Times New Roman" w:eastAsia="宋体" w:cs="宋体"/>
                <w:spacing w:val="-1"/>
                <w:sz w:val="24"/>
                <w:szCs w:val="24"/>
                <w:lang w:eastAsia="zh-CN"/>
              </w:rPr>
            </w:pPr>
            <w:r>
              <w:rPr>
                <w:rFonts w:hint="eastAsia" w:ascii="Times New Roman" w:hAnsi="Times New Roman" w:eastAsia="宋体" w:cs="宋体"/>
                <w:spacing w:val="-1"/>
                <w:sz w:val="24"/>
                <w:szCs w:val="24"/>
                <w:lang w:eastAsia="zh-CN"/>
              </w:rPr>
              <w:t>申万宏源</w:t>
            </w:r>
            <w:r>
              <w:rPr>
                <w:rFonts w:hint="eastAsia" w:ascii="Times New Roman" w:hAnsi="Times New Roman" w:cs="宋体"/>
                <w:spacing w:val="-1"/>
                <w:sz w:val="24"/>
                <w:szCs w:val="24"/>
                <w:lang w:val="en-US" w:eastAsia="zh-CN"/>
              </w:rPr>
              <w:t xml:space="preserve"> </w:t>
            </w:r>
            <w:r>
              <w:rPr>
                <w:rFonts w:hint="eastAsia" w:ascii="Times New Roman" w:hAnsi="Times New Roman" w:eastAsia="宋体" w:cs="宋体"/>
                <w:spacing w:val="-1"/>
                <w:sz w:val="24"/>
                <w:szCs w:val="24"/>
                <w:lang w:eastAsia="zh-CN"/>
              </w:rPr>
              <w:t>傅浩玮</w:t>
            </w:r>
          </w:p>
          <w:p w14:paraId="3BBD0BF8">
            <w:pPr>
              <w:pStyle w:val="13"/>
              <w:autoSpaceDE/>
              <w:autoSpaceDN/>
              <w:spacing w:before="0" w:beforeLines="0" w:after="0" w:afterLines="0" w:line="360" w:lineRule="auto"/>
              <w:ind w:firstLine="0" w:firstLineChars="0"/>
              <w:jc w:val="center"/>
              <w:rPr>
                <w:rFonts w:hint="eastAsia" w:ascii="Times New Roman" w:hAnsi="Times New Roman" w:eastAsia="宋体" w:cs="宋体"/>
                <w:spacing w:val="-1"/>
                <w:sz w:val="24"/>
                <w:szCs w:val="24"/>
                <w:lang w:eastAsia="zh-CN"/>
              </w:rPr>
            </w:pPr>
            <w:r>
              <w:rPr>
                <w:rFonts w:hint="eastAsia" w:ascii="Times New Roman" w:hAnsi="Times New Roman" w:eastAsia="宋体" w:cs="宋体"/>
                <w:spacing w:val="-1"/>
                <w:sz w:val="24"/>
                <w:szCs w:val="24"/>
                <w:lang w:eastAsia="zh-CN"/>
              </w:rPr>
              <w:t>博时基金</w:t>
            </w:r>
            <w:r>
              <w:rPr>
                <w:rFonts w:hint="eastAsia" w:ascii="Times New Roman" w:hAnsi="Times New Roman" w:cs="宋体"/>
                <w:spacing w:val="-1"/>
                <w:sz w:val="24"/>
                <w:szCs w:val="24"/>
                <w:lang w:val="en-US" w:eastAsia="zh-CN"/>
              </w:rPr>
              <w:t xml:space="preserve"> </w:t>
            </w:r>
            <w:r>
              <w:rPr>
                <w:rFonts w:hint="eastAsia" w:ascii="Times New Roman" w:hAnsi="Times New Roman" w:eastAsia="宋体" w:cs="宋体"/>
                <w:spacing w:val="-1"/>
                <w:sz w:val="24"/>
                <w:szCs w:val="24"/>
                <w:lang w:eastAsia="zh-CN"/>
              </w:rPr>
              <w:t>顾恒轩</w:t>
            </w:r>
          </w:p>
          <w:p w14:paraId="5C87AF99">
            <w:pPr>
              <w:pStyle w:val="13"/>
              <w:autoSpaceDE/>
              <w:autoSpaceDN/>
              <w:spacing w:before="0" w:beforeLines="0" w:after="0" w:afterLines="0" w:line="360" w:lineRule="auto"/>
              <w:ind w:firstLine="0" w:firstLineChars="0"/>
              <w:jc w:val="center"/>
              <w:rPr>
                <w:rFonts w:hint="eastAsia" w:ascii="Times New Roman" w:hAnsi="Times New Roman" w:cs="宋体"/>
                <w:spacing w:val="-1"/>
                <w:sz w:val="24"/>
                <w:szCs w:val="24"/>
                <w:lang w:val="en-US" w:eastAsia="zh-CN"/>
              </w:rPr>
            </w:pPr>
            <w:r>
              <w:rPr>
                <w:rFonts w:hint="eastAsia" w:ascii="Times New Roman" w:hAnsi="Times New Roman" w:eastAsia="宋体" w:cs="宋体"/>
                <w:spacing w:val="-1"/>
                <w:sz w:val="24"/>
                <w:szCs w:val="24"/>
                <w:lang w:eastAsia="zh-CN"/>
              </w:rPr>
              <w:t>禾永投资</w:t>
            </w:r>
            <w:r>
              <w:rPr>
                <w:rFonts w:hint="eastAsia" w:ascii="Times New Roman" w:hAnsi="Times New Roman" w:cs="宋体"/>
                <w:spacing w:val="-1"/>
                <w:sz w:val="24"/>
                <w:szCs w:val="24"/>
                <w:lang w:val="en-US" w:eastAsia="zh-CN"/>
              </w:rPr>
              <w:t xml:space="preserve"> </w:t>
            </w:r>
            <w:r>
              <w:rPr>
                <w:rFonts w:hint="eastAsia" w:ascii="Times New Roman" w:hAnsi="Times New Roman" w:eastAsia="宋体" w:cs="宋体"/>
                <w:spacing w:val="-1"/>
                <w:sz w:val="24"/>
                <w:szCs w:val="24"/>
                <w:lang w:eastAsia="zh-CN"/>
              </w:rPr>
              <w:t>马哲峰</w:t>
            </w:r>
          </w:p>
          <w:p w14:paraId="00532C04">
            <w:pPr>
              <w:pStyle w:val="13"/>
              <w:autoSpaceDE/>
              <w:autoSpaceDN/>
              <w:spacing w:before="0" w:beforeLines="0" w:after="0" w:afterLines="0" w:line="360" w:lineRule="auto"/>
              <w:ind w:firstLine="0" w:firstLineChars="0"/>
              <w:jc w:val="center"/>
              <w:rPr>
                <w:rFonts w:hint="eastAsia" w:ascii="Times New Roman" w:hAnsi="Times New Roman" w:eastAsia="宋体" w:cs="宋体"/>
                <w:spacing w:val="-1"/>
                <w:sz w:val="24"/>
                <w:szCs w:val="24"/>
                <w:lang w:eastAsia="zh-CN"/>
              </w:rPr>
            </w:pPr>
            <w:r>
              <w:rPr>
                <w:rFonts w:hint="eastAsia" w:ascii="Times New Roman" w:hAnsi="Times New Roman" w:cs="宋体"/>
                <w:spacing w:val="-1"/>
                <w:sz w:val="24"/>
                <w:szCs w:val="24"/>
                <w:lang w:val="en-US" w:eastAsia="zh-CN"/>
              </w:rPr>
              <w:t>禾永投资 杨正陶</w:t>
            </w:r>
          </w:p>
          <w:p w14:paraId="193E7BA8">
            <w:pPr>
              <w:pStyle w:val="13"/>
              <w:autoSpaceDE/>
              <w:autoSpaceDN/>
              <w:spacing w:before="0" w:beforeLines="0" w:after="0" w:afterLines="0" w:line="360" w:lineRule="auto"/>
              <w:ind w:firstLine="0" w:firstLineChars="0"/>
              <w:jc w:val="center"/>
              <w:rPr>
                <w:rFonts w:hint="eastAsia" w:ascii="Times New Roman" w:hAnsi="Times New Roman" w:eastAsia="宋体" w:cs="宋体"/>
                <w:spacing w:val="-1"/>
                <w:sz w:val="24"/>
                <w:szCs w:val="24"/>
                <w:lang w:eastAsia="zh-CN"/>
              </w:rPr>
            </w:pPr>
            <w:r>
              <w:rPr>
                <w:rFonts w:hint="eastAsia" w:ascii="Times New Roman" w:hAnsi="Times New Roman" w:eastAsia="宋体" w:cs="宋体"/>
                <w:spacing w:val="-1"/>
                <w:sz w:val="24"/>
                <w:szCs w:val="24"/>
                <w:lang w:eastAsia="zh-CN"/>
              </w:rPr>
              <w:t>浙商证券</w:t>
            </w:r>
            <w:r>
              <w:rPr>
                <w:rFonts w:hint="eastAsia" w:ascii="Times New Roman" w:hAnsi="Times New Roman" w:cs="宋体"/>
                <w:spacing w:val="-1"/>
                <w:sz w:val="24"/>
                <w:szCs w:val="24"/>
                <w:lang w:val="en-US" w:eastAsia="zh-CN"/>
              </w:rPr>
              <w:t xml:space="preserve"> </w:t>
            </w:r>
            <w:r>
              <w:rPr>
                <w:rFonts w:hint="eastAsia" w:ascii="Times New Roman" w:hAnsi="Times New Roman" w:eastAsia="宋体" w:cs="宋体"/>
                <w:spacing w:val="-1"/>
                <w:sz w:val="24"/>
                <w:szCs w:val="24"/>
                <w:lang w:eastAsia="zh-CN"/>
              </w:rPr>
              <w:t>蒋逸</w:t>
            </w:r>
          </w:p>
          <w:p w14:paraId="39548EDE">
            <w:pPr>
              <w:pStyle w:val="13"/>
              <w:autoSpaceDE/>
              <w:autoSpaceDN/>
              <w:spacing w:before="0" w:beforeLines="0" w:after="0" w:afterLines="0" w:line="360" w:lineRule="auto"/>
              <w:ind w:firstLine="0" w:firstLineChars="0"/>
              <w:jc w:val="center"/>
              <w:rPr>
                <w:rFonts w:hint="eastAsia" w:ascii="Times New Roman" w:hAnsi="Times New Roman" w:eastAsia="宋体" w:cs="宋体"/>
                <w:spacing w:val="-1"/>
                <w:sz w:val="24"/>
                <w:szCs w:val="24"/>
                <w:lang w:eastAsia="zh-CN"/>
              </w:rPr>
            </w:pPr>
            <w:r>
              <w:rPr>
                <w:rFonts w:hint="eastAsia" w:ascii="Times New Roman" w:hAnsi="Times New Roman" w:eastAsia="宋体" w:cs="宋体"/>
                <w:spacing w:val="-1"/>
                <w:sz w:val="24"/>
                <w:szCs w:val="24"/>
                <w:lang w:eastAsia="zh-CN"/>
              </w:rPr>
              <w:t>平安资产</w:t>
            </w:r>
            <w:r>
              <w:rPr>
                <w:rFonts w:hint="eastAsia" w:ascii="Times New Roman" w:hAnsi="Times New Roman" w:cs="宋体"/>
                <w:spacing w:val="-1"/>
                <w:sz w:val="24"/>
                <w:szCs w:val="24"/>
                <w:lang w:val="en-US" w:eastAsia="zh-CN"/>
              </w:rPr>
              <w:t xml:space="preserve"> </w:t>
            </w:r>
            <w:r>
              <w:rPr>
                <w:rFonts w:hint="eastAsia" w:ascii="Times New Roman" w:hAnsi="Times New Roman" w:eastAsia="宋体" w:cs="宋体"/>
                <w:spacing w:val="-1"/>
                <w:sz w:val="24"/>
                <w:szCs w:val="24"/>
                <w:lang w:eastAsia="zh-CN"/>
              </w:rPr>
              <w:t>蒋正山</w:t>
            </w:r>
          </w:p>
          <w:p w14:paraId="1F2D35ED">
            <w:pPr>
              <w:pStyle w:val="13"/>
              <w:autoSpaceDE/>
              <w:autoSpaceDN/>
              <w:spacing w:before="0" w:beforeLines="0" w:after="0" w:afterLines="0" w:line="360" w:lineRule="auto"/>
              <w:ind w:firstLine="0" w:firstLineChars="0"/>
              <w:jc w:val="center"/>
              <w:rPr>
                <w:rFonts w:hint="eastAsia" w:ascii="Times New Roman" w:hAnsi="Times New Roman" w:eastAsia="宋体" w:cs="宋体"/>
                <w:spacing w:val="-1"/>
                <w:sz w:val="24"/>
                <w:szCs w:val="24"/>
                <w:lang w:eastAsia="zh-CN"/>
              </w:rPr>
            </w:pPr>
            <w:r>
              <w:rPr>
                <w:rFonts w:hint="eastAsia" w:ascii="Times New Roman" w:hAnsi="Times New Roman" w:eastAsia="宋体" w:cs="宋体"/>
                <w:spacing w:val="-1"/>
                <w:sz w:val="24"/>
                <w:szCs w:val="24"/>
                <w:lang w:eastAsia="zh-CN"/>
              </w:rPr>
              <w:t>国联民生</w:t>
            </w:r>
            <w:r>
              <w:rPr>
                <w:rFonts w:hint="eastAsia" w:ascii="Times New Roman" w:hAnsi="Times New Roman" w:cs="宋体"/>
                <w:spacing w:val="-1"/>
                <w:sz w:val="24"/>
                <w:szCs w:val="24"/>
                <w:lang w:val="en-US" w:eastAsia="zh-CN"/>
              </w:rPr>
              <w:t xml:space="preserve"> </w:t>
            </w:r>
            <w:r>
              <w:rPr>
                <w:rFonts w:hint="eastAsia" w:ascii="Times New Roman" w:hAnsi="Times New Roman" w:eastAsia="宋体" w:cs="宋体"/>
                <w:spacing w:val="-1"/>
                <w:sz w:val="24"/>
                <w:szCs w:val="24"/>
                <w:lang w:eastAsia="zh-CN"/>
              </w:rPr>
              <w:t>李哲</w:t>
            </w:r>
          </w:p>
          <w:p w14:paraId="409C7FD9">
            <w:pPr>
              <w:pStyle w:val="13"/>
              <w:autoSpaceDE/>
              <w:autoSpaceDN/>
              <w:spacing w:before="0" w:beforeLines="0" w:after="0" w:afterLines="0" w:line="360" w:lineRule="auto"/>
              <w:ind w:firstLine="0" w:firstLineChars="0"/>
              <w:jc w:val="center"/>
              <w:rPr>
                <w:rFonts w:hint="eastAsia" w:ascii="Times New Roman" w:hAnsi="Times New Roman" w:eastAsia="宋体" w:cs="宋体"/>
                <w:spacing w:val="-1"/>
                <w:sz w:val="24"/>
                <w:szCs w:val="24"/>
                <w:lang w:eastAsia="zh-CN"/>
              </w:rPr>
            </w:pPr>
            <w:r>
              <w:rPr>
                <w:rFonts w:hint="eastAsia" w:ascii="Times New Roman" w:hAnsi="Times New Roman" w:eastAsia="宋体" w:cs="宋体"/>
                <w:spacing w:val="-1"/>
                <w:sz w:val="24"/>
                <w:szCs w:val="24"/>
                <w:lang w:eastAsia="zh-CN"/>
              </w:rPr>
              <w:t>东北证券</w:t>
            </w:r>
            <w:r>
              <w:rPr>
                <w:rFonts w:hint="eastAsia" w:ascii="Times New Roman" w:hAnsi="Times New Roman" w:cs="宋体"/>
                <w:spacing w:val="-1"/>
                <w:sz w:val="24"/>
                <w:szCs w:val="24"/>
                <w:lang w:val="en-US" w:eastAsia="zh-CN"/>
              </w:rPr>
              <w:t xml:space="preserve"> </w:t>
            </w:r>
            <w:r>
              <w:rPr>
                <w:rFonts w:hint="eastAsia" w:ascii="Times New Roman" w:hAnsi="Times New Roman" w:eastAsia="宋体" w:cs="宋体"/>
                <w:spacing w:val="-1"/>
                <w:sz w:val="24"/>
                <w:szCs w:val="24"/>
                <w:lang w:eastAsia="zh-CN"/>
              </w:rPr>
              <w:t>林</w:t>
            </w:r>
            <w:r>
              <w:rPr>
                <w:rFonts w:hint="eastAsia" w:ascii="Times New Roman" w:hAnsi="Times New Roman" w:cs="宋体"/>
                <w:spacing w:val="-1"/>
                <w:sz w:val="24"/>
                <w:szCs w:val="24"/>
                <w:lang w:val="en-US" w:eastAsia="zh-CN"/>
              </w:rPr>
              <w:t>绍</w:t>
            </w:r>
            <w:r>
              <w:rPr>
                <w:rFonts w:hint="eastAsia" w:ascii="Times New Roman" w:hAnsi="Times New Roman" w:eastAsia="宋体" w:cs="宋体"/>
                <w:spacing w:val="-1"/>
                <w:sz w:val="24"/>
                <w:szCs w:val="24"/>
                <w:lang w:eastAsia="zh-CN"/>
              </w:rPr>
              <w:t>康</w:t>
            </w:r>
          </w:p>
          <w:p w14:paraId="30EED88C">
            <w:pPr>
              <w:pStyle w:val="13"/>
              <w:autoSpaceDE/>
              <w:autoSpaceDN/>
              <w:spacing w:before="0" w:beforeLines="0" w:after="0" w:afterLines="0" w:line="360" w:lineRule="auto"/>
              <w:ind w:firstLine="0" w:firstLineChars="0"/>
              <w:jc w:val="center"/>
              <w:rPr>
                <w:rFonts w:hint="eastAsia" w:ascii="Times New Roman" w:hAnsi="Times New Roman" w:eastAsia="宋体" w:cs="宋体"/>
                <w:spacing w:val="-1"/>
                <w:sz w:val="24"/>
                <w:szCs w:val="24"/>
                <w:lang w:eastAsia="zh-CN"/>
              </w:rPr>
            </w:pPr>
            <w:r>
              <w:rPr>
                <w:rFonts w:hint="eastAsia" w:ascii="Times New Roman" w:hAnsi="Times New Roman" w:eastAsia="宋体" w:cs="宋体"/>
                <w:spacing w:val="-1"/>
                <w:sz w:val="24"/>
                <w:szCs w:val="24"/>
                <w:lang w:eastAsia="zh-CN"/>
              </w:rPr>
              <w:t>稻沣资本 刘牧野</w:t>
            </w:r>
          </w:p>
          <w:p w14:paraId="7A59C7F8">
            <w:pPr>
              <w:pStyle w:val="13"/>
              <w:autoSpaceDE/>
              <w:autoSpaceDN/>
              <w:spacing w:before="0" w:beforeLines="0" w:after="0" w:afterLines="0" w:line="360" w:lineRule="auto"/>
              <w:ind w:firstLine="0" w:firstLineChars="0"/>
              <w:jc w:val="center"/>
              <w:rPr>
                <w:rFonts w:hint="eastAsia" w:ascii="Times New Roman" w:hAnsi="Times New Roman" w:eastAsia="宋体" w:cs="宋体"/>
                <w:spacing w:val="-1"/>
                <w:sz w:val="24"/>
                <w:szCs w:val="24"/>
                <w:lang w:val="en-US" w:eastAsia="zh-CN"/>
              </w:rPr>
            </w:pPr>
            <w:r>
              <w:rPr>
                <w:rFonts w:hint="eastAsia" w:ascii="宋体" w:hAnsi="宋体" w:eastAsia="宋体" w:cs="宋体"/>
                <w:i w:val="0"/>
                <w:iCs w:val="0"/>
                <w:color w:val="000000"/>
                <w:sz w:val="24"/>
                <w:szCs w:val="24"/>
                <w:u w:val="none"/>
              </w:rPr>
              <w:t>平安资产</w:t>
            </w:r>
            <w:r>
              <w:rPr>
                <w:rFonts w:hint="eastAsia" w:cs="宋体"/>
                <w:i w:val="0"/>
                <w:iCs w:val="0"/>
                <w:color w:val="000000"/>
                <w:sz w:val="24"/>
                <w:szCs w:val="24"/>
                <w:u w:val="none"/>
                <w:lang w:val="en-US" w:eastAsia="zh-CN"/>
              </w:rPr>
              <w:t xml:space="preserve"> </w:t>
            </w:r>
            <w:r>
              <w:rPr>
                <w:rFonts w:hint="eastAsia" w:ascii="宋体" w:hAnsi="宋体" w:eastAsia="宋体" w:cs="宋体"/>
                <w:i w:val="0"/>
                <w:iCs w:val="0"/>
                <w:color w:val="000000"/>
                <w:sz w:val="24"/>
                <w:szCs w:val="24"/>
                <w:u w:val="none"/>
              </w:rPr>
              <w:t>马继愈</w:t>
            </w:r>
          </w:p>
          <w:p w14:paraId="383B77C9">
            <w:pPr>
              <w:pStyle w:val="13"/>
              <w:autoSpaceDE/>
              <w:autoSpaceDN/>
              <w:spacing w:before="0" w:beforeLines="0" w:after="0" w:afterLines="0" w:line="360" w:lineRule="auto"/>
              <w:ind w:firstLine="0" w:firstLineChars="0"/>
              <w:jc w:val="center"/>
              <w:rPr>
                <w:rFonts w:hint="eastAsia" w:ascii="Times New Roman" w:hAnsi="Times New Roman" w:eastAsia="宋体" w:cs="宋体"/>
                <w:spacing w:val="-1"/>
                <w:sz w:val="24"/>
                <w:szCs w:val="24"/>
                <w:lang w:eastAsia="zh-CN"/>
              </w:rPr>
            </w:pPr>
            <w:r>
              <w:rPr>
                <w:rFonts w:hint="eastAsia" w:ascii="Times New Roman" w:hAnsi="Times New Roman" w:eastAsia="宋体" w:cs="宋体"/>
                <w:spacing w:val="-1"/>
                <w:sz w:val="24"/>
                <w:szCs w:val="24"/>
                <w:lang w:eastAsia="zh-CN"/>
              </w:rPr>
              <w:t>广发基金</w:t>
            </w:r>
            <w:r>
              <w:rPr>
                <w:rFonts w:hint="eastAsia" w:ascii="Times New Roman" w:hAnsi="Times New Roman" w:cs="宋体"/>
                <w:spacing w:val="-1"/>
                <w:sz w:val="24"/>
                <w:szCs w:val="24"/>
                <w:lang w:val="en-US" w:eastAsia="zh-CN"/>
              </w:rPr>
              <w:t xml:space="preserve"> </w:t>
            </w:r>
            <w:r>
              <w:rPr>
                <w:rFonts w:hint="eastAsia" w:ascii="Times New Roman" w:hAnsi="Times New Roman" w:eastAsia="宋体" w:cs="宋体"/>
                <w:spacing w:val="-1"/>
                <w:sz w:val="24"/>
                <w:szCs w:val="24"/>
                <w:lang w:eastAsia="zh-CN"/>
              </w:rPr>
              <w:t>马天诣</w:t>
            </w:r>
          </w:p>
          <w:p w14:paraId="20D995C6">
            <w:pPr>
              <w:pStyle w:val="13"/>
              <w:autoSpaceDE/>
              <w:autoSpaceDN/>
              <w:spacing w:before="0" w:beforeLines="0" w:after="0" w:afterLines="0" w:line="360" w:lineRule="auto"/>
              <w:ind w:firstLine="0" w:firstLineChars="0"/>
              <w:jc w:val="center"/>
              <w:rPr>
                <w:rFonts w:hint="eastAsia" w:ascii="Times New Roman" w:hAnsi="Times New Roman" w:eastAsia="宋体" w:cs="宋体"/>
                <w:spacing w:val="-1"/>
                <w:sz w:val="24"/>
                <w:szCs w:val="24"/>
                <w:lang w:eastAsia="zh-CN"/>
              </w:rPr>
            </w:pPr>
            <w:r>
              <w:rPr>
                <w:rFonts w:hint="eastAsia" w:ascii="Times New Roman" w:hAnsi="Times New Roman" w:eastAsia="宋体" w:cs="宋体"/>
                <w:spacing w:val="-1"/>
                <w:sz w:val="24"/>
                <w:szCs w:val="24"/>
                <w:lang w:eastAsia="zh-CN"/>
              </w:rPr>
              <w:t>浙商证券</w:t>
            </w:r>
            <w:r>
              <w:rPr>
                <w:rFonts w:hint="eastAsia" w:ascii="Times New Roman" w:hAnsi="Times New Roman" w:cs="宋体"/>
                <w:spacing w:val="-1"/>
                <w:sz w:val="24"/>
                <w:szCs w:val="24"/>
                <w:lang w:val="en-US" w:eastAsia="zh-CN"/>
              </w:rPr>
              <w:t xml:space="preserve"> </w:t>
            </w:r>
            <w:r>
              <w:rPr>
                <w:rFonts w:hint="eastAsia" w:ascii="Times New Roman" w:hAnsi="Times New Roman" w:eastAsia="宋体" w:cs="宋体"/>
                <w:spacing w:val="-1"/>
                <w:sz w:val="24"/>
                <w:szCs w:val="24"/>
                <w:lang w:eastAsia="zh-CN"/>
              </w:rPr>
              <w:t>秦乐恒</w:t>
            </w:r>
          </w:p>
          <w:p w14:paraId="57BC398F">
            <w:pPr>
              <w:pStyle w:val="13"/>
              <w:autoSpaceDE/>
              <w:autoSpaceDN/>
              <w:spacing w:before="0" w:beforeLines="0" w:after="0" w:afterLines="0" w:line="360" w:lineRule="auto"/>
              <w:ind w:firstLine="0" w:firstLineChars="0"/>
              <w:jc w:val="center"/>
              <w:rPr>
                <w:rFonts w:hint="eastAsia" w:ascii="Times New Roman" w:hAnsi="Times New Roman" w:eastAsia="宋体" w:cs="宋体"/>
                <w:spacing w:val="-1"/>
                <w:sz w:val="24"/>
                <w:szCs w:val="24"/>
                <w:lang w:eastAsia="zh-CN"/>
              </w:rPr>
            </w:pPr>
            <w:r>
              <w:rPr>
                <w:rFonts w:hint="eastAsia" w:ascii="Times New Roman" w:hAnsi="Times New Roman" w:eastAsia="宋体" w:cs="宋体"/>
                <w:spacing w:val="-1"/>
                <w:sz w:val="24"/>
                <w:szCs w:val="24"/>
                <w:lang w:eastAsia="zh-CN"/>
              </w:rPr>
              <w:t>国泰海通</w:t>
            </w:r>
            <w:r>
              <w:rPr>
                <w:rFonts w:hint="eastAsia" w:ascii="Times New Roman" w:hAnsi="Times New Roman" w:cs="宋体"/>
                <w:spacing w:val="-1"/>
                <w:sz w:val="24"/>
                <w:szCs w:val="24"/>
                <w:lang w:val="en-US" w:eastAsia="zh-CN"/>
              </w:rPr>
              <w:t xml:space="preserve"> </w:t>
            </w:r>
            <w:r>
              <w:rPr>
                <w:rFonts w:hint="eastAsia" w:ascii="Times New Roman" w:hAnsi="Times New Roman" w:eastAsia="宋体" w:cs="宋体"/>
                <w:spacing w:val="-1"/>
                <w:sz w:val="24"/>
                <w:szCs w:val="24"/>
                <w:lang w:eastAsia="zh-CN"/>
              </w:rPr>
              <w:t>侍江天</w:t>
            </w:r>
          </w:p>
          <w:p w14:paraId="0A8C25D0">
            <w:pPr>
              <w:pStyle w:val="13"/>
              <w:autoSpaceDE/>
              <w:autoSpaceDN/>
              <w:spacing w:before="0" w:beforeLines="0" w:after="0" w:afterLines="0" w:line="360" w:lineRule="auto"/>
              <w:ind w:firstLine="0" w:firstLineChars="0"/>
              <w:jc w:val="center"/>
              <w:rPr>
                <w:rFonts w:hint="eastAsia" w:ascii="Times New Roman" w:hAnsi="Times New Roman" w:eastAsia="宋体" w:cs="宋体"/>
                <w:spacing w:val="-1"/>
                <w:sz w:val="24"/>
                <w:szCs w:val="24"/>
                <w:lang w:eastAsia="zh-CN"/>
              </w:rPr>
            </w:pPr>
            <w:r>
              <w:rPr>
                <w:rFonts w:hint="eastAsia" w:ascii="Times New Roman" w:hAnsi="Times New Roman" w:eastAsia="宋体" w:cs="宋体"/>
                <w:spacing w:val="-1"/>
                <w:sz w:val="24"/>
                <w:szCs w:val="24"/>
                <w:lang w:eastAsia="zh-CN"/>
              </w:rPr>
              <w:t>赤钥基金</w:t>
            </w:r>
            <w:r>
              <w:rPr>
                <w:rFonts w:hint="eastAsia" w:ascii="Times New Roman" w:hAnsi="Times New Roman" w:cs="宋体"/>
                <w:spacing w:val="-1"/>
                <w:sz w:val="24"/>
                <w:szCs w:val="24"/>
                <w:lang w:val="en-US" w:eastAsia="zh-CN"/>
              </w:rPr>
              <w:t xml:space="preserve"> 唐建伟</w:t>
            </w:r>
          </w:p>
          <w:p w14:paraId="67CEF669">
            <w:pPr>
              <w:pStyle w:val="13"/>
              <w:autoSpaceDE/>
              <w:autoSpaceDN/>
              <w:spacing w:before="0" w:beforeLines="0" w:after="0" w:afterLines="0" w:line="360" w:lineRule="auto"/>
              <w:ind w:firstLine="0" w:firstLineChars="0"/>
              <w:jc w:val="center"/>
              <w:rPr>
                <w:rFonts w:hint="eastAsia" w:ascii="Times New Roman" w:hAnsi="Times New Roman" w:eastAsia="宋体" w:cs="宋体"/>
                <w:spacing w:val="-1"/>
                <w:sz w:val="24"/>
                <w:szCs w:val="24"/>
                <w:lang w:eastAsia="zh-CN"/>
              </w:rPr>
            </w:pPr>
            <w:r>
              <w:rPr>
                <w:rFonts w:hint="eastAsia" w:ascii="Times New Roman" w:hAnsi="Times New Roman" w:eastAsia="宋体" w:cs="宋体"/>
                <w:spacing w:val="-1"/>
                <w:sz w:val="24"/>
                <w:szCs w:val="24"/>
                <w:lang w:eastAsia="zh-CN"/>
              </w:rPr>
              <w:t>浙商证券</w:t>
            </w:r>
            <w:r>
              <w:rPr>
                <w:rFonts w:hint="eastAsia" w:ascii="Times New Roman" w:hAnsi="Times New Roman" w:cs="宋体"/>
                <w:spacing w:val="-1"/>
                <w:sz w:val="24"/>
                <w:szCs w:val="24"/>
                <w:lang w:val="en-US" w:eastAsia="zh-CN"/>
              </w:rPr>
              <w:t xml:space="preserve"> </w:t>
            </w:r>
            <w:r>
              <w:rPr>
                <w:rFonts w:hint="eastAsia" w:ascii="Times New Roman" w:hAnsi="Times New Roman" w:eastAsia="宋体" w:cs="宋体"/>
                <w:spacing w:val="-1"/>
                <w:sz w:val="24"/>
                <w:szCs w:val="24"/>
                <w:lang w:eastAsia="zh-CN"/>
              </w:rPr>
              <w:t>王华君</w:t>
            </w:r>
          </w:p>
          <w:p w14:paraId="2087C7B3">
            <w:pPr>
              <w:pStyle w:val="13"/>
              <w:autoSpaceDE/>
              <w:autoSpaceDN/>
              <w:spacing w:before="0" w:beforeLines="0" w:after="0" w:afterLines="0" w:line="360" w:lineRule="auto"/>
              <w:ind w:firstLine="0" w:firstLineChars="0"/>
              <w:jc w:val="center"/>
              <w:rPr>
                <w:rFonts w:hint="eastAsia" w:ascii="Times New Roman" w:hAnsi="Times New Roman" w:eastAsia="宋体" w:cs="宋体"/>
                <w:spacing w:val="-1"/>
                <w:sz w:val="24"/>
                <w:szCs w:val="24"/>
                <w:lang w:eastAsia="zh-CN"/>
              </w:rPr>
            </w:pPr>
            <w:r>
              <w:rPr>
                <w:rFonts w:hint="eastAsia" w:ascii="Times New Roman" w:hAnsi="Times New Roman" w:eastAsia="宋体" w:cs="宋体"/>
                <w:spacing w:val="-1"/>
                <w:sz w:val="24"/>
                <w:szCs w:val="24"/>
                <w:lang w:eastAsia="zh-CN"/>
              </w:rPr>
              <w:t>国投证券</w:t>
            </w:r>
            <w:r>
              <w:rPr>
                <w:rFonts w:hint="eastAsia" w:ascii="Times New Roman" w:hAnsi="Times New Roman" w:cs="宋体"/>
                <w:spacing w:val="-1"/>
                <w:sz w:val="24"/>
                <w:szCs w:val="24"/>
                <w:lang w:val="en-US" w:eastAsia="zh-CN"/>
              </w:rPr>
              <w:t xml:space="preserve"> </w:t>
            </w:r>
            <w:r>
              <w:rPr>
                <w:rFonts w:hint="eastAsia" w:ascii="Times New Roman" w:hAnsi="Times New Roman" w:eastAsia="宋体" w:cs="宋体"/>
                <w:spacing w:val="-1"/>
                <w:sz w:val="24"/>
                <w:szCs w:val="24"/>
                <w:lang w:eastAsia="zh-CN"/>
              </w:rPr>
              <w:t>王寓捷</w:t>
            </w:r>
          </w:p>
          <w:p w14:paraId="6FBCF86D">
            <w:pPr>
              <w:pStyle w:val="13"/>
              <w:autoSpaceDE/>
              <w:autoSpaceDN/>
              <w:spacing w:before="0" w:beforeLines="0" w:after="0" w:afterLines="0" w:line="360" w:lineRule="auto"/>
              <w:ind w:firstLine="0" w:firstLineChars="0"/>
              <w:jc w:val="center"/>
              <w:rPr>
                <w:rFonts w:hint="eastAsia" w:ascii="Times New Roman" w:hAnsi="Times New Roman" w:eastAsia="宋体" w:cs="宋体"/>
                <w:spacing w:val="-1"/>
                <w:sz w:val="24"/>
                <w:szCs w:val="24"/>
                <w:lang w:eastAsia="zh-CN"/>
              </w:rPr>
            </w:pPr>
            <w:r>
              <w:rPr>
                <w:rFonts w:hint="eastAsia" w:ascii="Times New Roman" w:hAnsi="Times New Roman" w:eastAsia="宋体" w:cs="宋体"/>
                <w:spacing w:val="-1"/>
                <w:sz w:val="24"/>
                <w:szCs w:val="24"/>
                <w:lang w:eastAsia="zh-CN"/>
              </w:rPr>
              <w:t>南方基金</w:t>
            </w:r>
            <w:r>
              <w:rPr>
                <w:rFonts w:hint="eastAsia" w:ascii="Times New Roman" w:hAnsi="Times New Roman" w:cs="宋体"/>
                <w:spacing w:val="-1"/>
                <w:sz w:val="24"/>
                <w:szCs w:val="24"/>
                <w:lang w:val="en-US" w:eastAsia="zh-CN"/>
              </w:rPr>
              <w:t xml:space="preserve"> </w:t>
            </w:r>
            <w:r>
              <w:rPr>
                <w:rFonts w:hint="eastAsia" w:ascii="Times New Roman" w:hAnsi="Times New Roman" w:eastAsia="宋体" w:cs="宋体"/>
                <w:spacing w:val="-1"/>
                <w:sz w:val="24"/>
                <w:szCs w:val="24"/>
                <w:lang w:eastAsia="zh-CN"/>
              </w:rPr>
              <w:t>徐笑然</w:t>
            </w:r>
          </w:p>
          <w:p w14:paraId="0D219432">
            <w:pPr>
              <w:pStyle w:val="13"/>
              <w:autoSpaceDE/>
              <w:autoSpaceDN/>
              <w:spacing w:before="0" w:beforeLines="0" w:after="0" w:afterLines="0" w:line="360" w:lineRule="auto"/>
              <w:ind w:firstLine="0" w:firstLineChars="0"/>
              <w:jc w:val="center"/>
              <w:rPr>
                <w:rFonts w:hint="eastAsia" w:ascii="Times New Roman" w:hAnsi="Times New Roman" w:eastAsia="宋体" w:cs="宋体"/>
                <w:spacing w:val="-1"/>
                <w:sz w:val="24"/>
                <w:szCs w:val="24"/>
                <w:lang w:eastAsia="zh-CN"/>
              </w:rPr>
            </w:pPr>
            <w:r>
              <w:rPr>
                <w:rFonts w:hint="eastAsia" w:ascii="Times New Roman" w:hAnsi="Times New Roman" w:eastAsia="宋体" w:cs="宋体"/>
                <w:spacing w:val="-1"/>
                <w:sz w:val="24"/>
                <w:szCs w:val="24"/>
                <w:lang w:eastAsia="zh-CN"/>
              </w:rPr>
              <w:t>国海证券</w:t>
            </w:r>
            <w:r>
              <w:rPr>
                <w:rFonts w:hint="eastAsia" w:ascii="Times New Roman" w:hAnsi="Times New Roman" w:cs="宋体"/>
                <w:spacing w:val="-1"/>
                <w:sz w:val="24"/>
                <w:szCs w:val="24"/>
                <w:lang w:val="en-US" w:eastAsia="zh-CN"/>
              </w:rPr>
              <w:t xml:space="preserve"> </w:t>
            </w:r>
            <w:r>
              <w:rPr>
                <w:rFonts w:hint="eastAsia" w:ascii="Times New Roman" w:hAnsi="Times New Roman" w:eastAsia="宋体" w:cs="宋体"/>
                <w:spacing w:val="-1"/>
                <w:sz w:val="24"/>
                <w:szCs w:val="24"/>
                <w:lang w:eastAsia="zh-CN"/>
              </w:rPr>
              <w:t>闫智</w:t>
            </w:r>
          </w:p>
          <w:p w14:paraId="4EC0B70A">
            <w:pPr>
              <w:pStyle w:val="13"/>
              <w:autoSpaceDE/>
              <w:autoSpaceDN/>
              <w:spacing w:before="0" w:beforeLines="0" w:after="0" w:afterLines="0" w:line="360" w:lineRule="auto"/>
              <w:ind w:firstLine="0" w:firstLineChars="0"/>
              <w:jc w:val="center"/>
              <w:rPr>
                <w:rFonts w:hint="eastAsia" w:ascii="Times New Roman" w:hAnsi="Times New Roman" w:eastAsia="宋体" w:cs="宋体"/>
                <w:spacing w:val="-1"/>
                <w:sz w:val="24"/>
                <w:szCs w:val="24"/>
                <w:lang w:eastAsia="zh-CN"/>
              </w:rPr>
            </w:pPr>
            <w:r>
              <w:rPr>
                <w:rFonts w:hint="eastAsia" w:ascii="Times New Roman" w:hAnsi="Times New Roman" w:eastAsia="宋体" w:cs="宋体"/>
                <w:spacing w:val="-1"/>
                <w:sz w:val="24"/>
                <w:szCs w:val="24"/>
                <w:lang w:eastAsia="zh-CN"/>
              </w:rPr>
              <w:t>旭诺资本</w:t>
            </w:r>
            <w:r>
              <w:rPr>
                <w:rFonts w:hint="eastAsia" w:ascii="Times New Roman" w:hAnsi="Times New Roman" w:cs="宋体"/>
                <w:spacing w:val="-1"/>
                <w:sz w:val="24"/>
                <w:szCs w:val="24"/>
                <w:lang w:val="en-US" w:eastAsia="zh-CN"/>
              </w:rPr>
              <w:t xml:space="preserve"> </w:t>
            </w:r>
            <w:r>
              <w:rPr>
                <w:rFonts w:hint="eastAsia" w:ascii="Times New Roman" w:hAnsi="Times New Roman" w:eastAsia="宋体" w:cs="宋体"/>
                <w:spacing w:val="-1"/>
                <w:sz w:val="24"/>
                <w:szCs w:val="24"/>
                <w:lang w:eastAsia="zh-CN"/>
              </w:rPr>
              <w:t>邹润芳</w:t>
            </w:r>
          </w:p>
        </w:tc>
      </w:tr>
      <w:tr w14:paraId="6A225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2171" w:type="dxa"/>
            <w:vAlign w:val="center"/>
          </w:tcPr>
          <w:p w14:paraId="579C780A">
            <w:pPr>
              <w:pStyle w:val="13"/>
              <w:autoSpaceDE/>
              <w:autoSpaceDN/>
              <w:spacing w:before="0" w:line="240" w:lineRule="auto"/>
              <w:ind w:left="0"/>
              <w:jc w:val="center"/>
              <w:rPr>
                <w:rFonts w:hint="eastAsia" w:ascii="Times New Roman" w:hAnsi="Times New Roman" w:eastAsia="宋体" w:cs="宋体"/>
                <w:sz w:val="24"/>
                <w:szCs w:val="24"/>
              </w:rPr>
            </w:pPr>
            <w:r>
              <w:rPr>
                <w:rFonts w:hint="eastAsia" w:ascii="Times New Roman" w:hAnsi="Times New Roman" w:eastAsia="宋体" w:cs="宋体"/>
                <w:b/>
                <w:bCs/>
                <w:spacing w:val="-13"/>
                <w:sz w:val="24"/>
                <w:szCs w:val="24"/>
              </w:rPr>
              <w:t>时间</w:t>
            </w:r>
          </w:p>
        </w:tc>
        <w:tc>
          <w:tcPr>
            <w:tcW w:w="6124" w:type="dxa"/>
            <w:gridSpan w:val="2"/>
          </w:tcPr>
          <w:p w14:paraId="28B60674">
            <w:pPr>
              <w:pStyle w:val="13"/>
              <w:autoSpaceDE/>
              <w:autoSpaceDN/>
              <w:spacing w:before="139" w:line="221" w:lineRule="auto"/>
              <w:jc w:val="center"/>
              <w:rPr>
                <w:rFonts w:hint="eastAsia" w:ascii="Times New Roman" w:hAnsi="Times New Roman" w:eastAsia="宋体" w:cs="宋体"/>
                <w:sz w:val="24"/>
                <w:szCs w:val="24"/>
                <w:lang w:eastAsia="zh-CN"/>
              </w:rPr>
            </w:pPr>
            <w:r>
              <w:rPr>
                <w:rFonts w:hint="eastAsia" w:ascii="Times New Roman" w:hAnsi="Times New Roman" w:cs="宋体"/>
                <w:sz w:val="24"/>
                <w:szCs w:val="24"/>
                <w:lang w:val="en-US" w:eastAsia="zh-CN"/>
              </w:rPr>
              <w:t>2026年9月4日、</w:t>
            </w:r>
            <w:r>
              <w:rPr>
                <w:rFonts w:hint="eastAsia" w:ascii="Times New Roman" w:hAnsi="Times New Roman" w:eastAsia="宋体" w:cs="宋体"/>
                <w:sz w:val="24"/>
                <w:szCs w:val="24"/>
                <w:lang w:eastAsia="zh-CN"/>
              </w:rPr>
              <w:t>202</w:t>
            </w:r>
            <w:r>
              <w:rPr>
                <w:rFonts w:hint="eastAsia" w:ascii="Times New Roman" w:hAnsi="Times New Roman" w:eastAsia="宋体" w:cs="宋体"/>
                <w:sz w:val="24"/>
                <w:szCs w:val="24"/>
                <w:lang w:val="en-US" w:eastAsia="zh-CN"/>
              </w:rPr>
              <w:t>6</w:t>
            </w:r>
            <w:r>
              <w:rPr>
                <w:rFonts w:hint="eastAsia" w:ascii="Times New Roman" w:hAnsi="Times New Roman" w:eastAsia="宋体" w:cs="宋体"/>
                <w:sz w:val="24"/>
                <w:szCs w:val="24"/>
                <w:lang w:eastAsia="zh-CN"/>
              </w:rPr>
              <w:t>年</w:t>
            </w:r>
            <w:r>
              <w:rPr>
                <w:rFonts w:hint="eastAsia" w:ascii="Times New Roman" w:hAnsi="Times New Roman" w:eastAsia="宋体" w:cs="宋体"/>
                <w:sz w:val="24"/>
                <w:szCs w:val="24"/>
                <w:lang w:val="en-US" w:eastAsia="zh-CN"/>
              </w:rPr>
              <w:t>9</w:t>
            </w:r>
            <w:r>
              <w:rPr>
                <w:rFonts w:hint="eastAsia" w:ascii="Times New Roman" w:hAnsi="Times New Roman" w:eastAsia="宋体" w:cs="宋体"/>
                <w:sz w:val="24"/>
                <w:szCs w:val="24"/>
                <w:lang w:eastAsia="zh-CN"/>
              </w:rPr>
              <w:t>月</w:t>
            </w:r>
            <w:r>
              <w:rPr>
                <w:rFonts w:hint="eastAsia" w:ascii="Times New Roman" w:hAnsi="Times New Roman" w:eastAsia="宋体" w:cs="宋体"/>
                <w:sz w:val="24"/>
                <w:szCs w:val="24"/>
                <w:lang w:val="en-US" w:eastAsia="zh-CN"/>
              </w:rPr>
              <w:t>7</w:t>
            </w:r>
            <w:r>
              <w:rPr>
                <w:rFonts w:hint="eastAsia" w:ascii="Times New Roman" w:hAnsi="Times New Roman" w:eastAsia="宋体" w:cs="宋体"/>
                <w:sz w:val="24"/>
                <w:szCs w:val="24"/>
                <w:lang w:eastAsia="zh-CN"/>
              </w:rPr>
              <w:t>日</w:t>
            </w:r>
          </w:p>
        </w:tc>
      </w:tr>
      <w:tr w14:paraId="1491B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2171" w:type="dxa"/>
            <w:vAlign w:val="center"/>
          </w:tcPr>
          <w:p w14:paraId="43404B43">
            <w:pPr>
              <w:pStyle w:val="13"/>
              <w:autoSpaceDE/>
              <w:autoSpaceDN/>
              <w:spacing w:before="0" w:line="240" w:lineRule="auto"/>
              <w:jc w:val="center"/>
              <w:rPr>
                <w:rFonts w:hint="eastAsia" w:ascii="Times New Roman" w:hAnsi="Times New Roman" w:eastAsia="宋体" w:cs="宋体"/>
                <w:sz w:val="24"/>
                <w:szCs w:val="24"/>
              </w:rPr>
            </w:pPr>
            <w:r>
              <w:rPr>
                <w:rFonts w:hint="eastAsia" w:ascii="Times New Roman" w:hAnsi="Times New Roman" w:eastAsia="宋体" w:cs="宋体"/>
                <w:b/>
                <w:bCs/>
                <w:spacing w:val="-7"/>
                <w:sz w:val="24"/>
                <w:szCs w:val="24"/>
              </w:rPr>
              <w:t>地点</w:t>
            </w:r>
          </w:p>
        </w:tc>
        <w:tc>
          <w:tcPr>
            <w:tcW w:w="6124" w:type="dxa"/>
            <w:gridSpan w:val="2"/>
            <w:vAlign w:val="center"/>
          </w:tcPr>
          <w:p w14:paraId="149433BE">
            <w:pPr>
              <w:pStyle w:val="13"/>
              <w:spacing w:before="78" w:line="219" w:lineRule="auto"/>
              <w:jc w:val="center"/>
              <w:rPr>
                <w:rFonts w:hint="eastAsia" w:ascii="Times New Roman" w:hAnsi="Times New Roman" w:eastAsia="宋体" w:cs="宋体"/>
                <w:sz w:val="24"/>
                <w:szCs w:val="24"/>
                <w:lang w:val="en-US" w:eastAsia="zh-CN"/>
              </w:rPr>
            </w:pPr>
            <w:r>
              <w:rPr>
                <w:rFonts w:hint="eastAsia" w:ascii="Times New Roman" w:hAnsi="Times New Roman" w:cs="宋体"/>
                <w:sz w:val="24"/>
                <w:szCs w:val="24"/>
                <w:lang w:val="en-US" w:eastAsia="zh-CN"/>
              </w:rPr>
              <w:t>北京、</w:t>
            </w:r>
            <w:r>
              <w:rPr>
                <w:rFonts w:hint="eastAsia" w:ascii="Times New Roman" w:hAnsi="Times New Roman" w:eastAsia="宋体" w:cs="宋体"/>
                <w:sz w:val="24"/>
                <w:szCs w:val="24"/>
                <w:lang w:val="en-US" w:eastAsia="zh-CN"/>
              </w:rPr>
              <w:t>上海</w:t>
            </w:r>
          </w:p>
        </w:tc>
      </w:tr>
      <w:tr w14:paraId="3AAFB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2171" w:type="dxa"/>
            <w:vAlign w:val="center"/>
          </w:tcPr>
          <w:p w14:paraId="7859184F">
            <w:pPr>
              <w:pStyle w:val="13"/>
              <w:autoSpaceDE/>
              <w:autoSpaceDN/>
              <w:spacing w:before="0" w:line="240" w:lineRule="auto"/>
              <w:ind w:left="0" w:right="0" w:firstLine="0"/>
              <w:jc w:val="center"/>
              <w:rPr>
                <w:rFonts w:hint="eastAsia" w:ascii="Times New Roman" w:hAnsi="Times New Roman" w:eastAsia="宋体" w:cs="宋体"/>
                <w:sz w:val="24"/>
                <w:szCs w:val="24"/>
                <w:lang w:eastAsia="zh-CN"/>
              </w:rPr>
            </w:pPr>
            <w:r>
              <w:rPr>
                <w:rFonts w:hint="eastAsia" w:ascii="Times New Roman" w:hAnsi="Times New Roman" w:eastAsia="宋体" w:cs="宋体"/>
                <w:b/>
                <w:bCs/>
                <w:spacing w:val="-4"/>
                <w:sz w:val="24"/>
                <w:szCs w:val="24"/>
                <w:lang w:eastAsia="zh-CN"/>
              </w:rPr>
              <w:t>上市公司接待人员</w:t>
            </w:r>
            <w:r>
              <w:rPr>
                <w:rFonts w:hint="eastAsia" w:ascii="Times New Roman" w:hAnsi="Times New Roman" w:eastAsia="宋体" w:cs="宋体"/>
                <w:b/>
                <w:bCs/>
                <w:spacing w:val="-7"/>
                <w:sz w:val="24"/>
                <w:szCs w:val="24"/>
                <w:lang w:eastAsia="zh-CN"/>
              </w:rPr>
              <w:t>姓名</w:t>
            </w:r>
          </w:p>
        </w:tc>
        <w:tc>
          <w:tcPr>
            <w:tcW w:w="6124" w:type="dxa"/>
            <w:gridSpan w:val="2"/>
            <w:vAlign w:val="center"/>
          </w:tcPr>
          <w:p w14:paraId="296F2C0A">
            <w:pPr>
              <w:pStyle w:val="13"/>
              <w:autoSpaceDE/>
              <w:autoSpaceDN/>
              <w:spacing w:before="0" w:line="360" w:lineRule="auto"/>
              <w:ind w:left="0" w:right="0" w:firstLine="833" w:firstLineChars="350"/>
              <w:jc w:val="left"/>
              <w:rPr>
                <w:rFonts w:hint="eastAsia" w:ascii="Times New Roman" w:hAnsi="Times New Roman" w:eastAsia="宋体" w:cs="宋体"/>
                <w:spacing w:val="-1"/>
                <w:sz w:val="24"/>
                <w:szCs w:val="24"/>
                <w:lang w:eastAsia="zh-CN"/>
              </w:rPr>
            </w:pPr>
            <w:r>
              <w:rPr>
                <w:rFonts w:hint="eastAsia" w:ascii="Times New Roman" w:hAnsi="Times New Roman" w:eastAsia="宋体" w:cs="宋体"/>
                <w:spacing w:val="-1"/>
                <w:sz w:val="24"/>
                <w:szCs w:val="24"/>
                <w:lang w:val="en-US" w:eastAsia="zh-CN"/>
              </w:rPr>
              <w:t>副总裁</w:t>
            </w:r>
            <w:r>
              <w:rPr>
                <w:rFonts w:hint="eastAsia" w:ascii="Times New Roman" w:hAnsi="Times New Roman"/>
                <w:lang w:eastAsia="zh-CN"/>
              </w:rPr>
              <w:t>、</w:t>
            </w:r>
            <w:r>
              <w:rPr>
                <w:rFonts w:hint="eastAsia" w:ascii="Times New Roman" w:hAnsi="Times New Roman"/>
                <w:lang w:val="en-US" w:eastAsia="zh-CN"/>
              </w:rPr>
              <w:t xml:space="preserve">子公司晶禧半导体总经理 </w:t>
            </w:r>
            <w:r>
              <w:rPr>
                <w:rFonts w:hint="eastAsia" w:ascii="Times New Roman" w:hAnsi="Times New Roman" w:eastAsia="宋体" w:cs="宋体"/>
                <w:spacing w:val="-1"/>
                <w:sz w:val="24"/>
                <w:szCs w:val="24"/>
                <w:lang w:val="en-US" w:eastAsia="zh-CN"/>
              </w:rPr>
              <w:t>陶</w:t>
            </w:r>
            <w:bookmarkStart w:id="0" w:name="_GoBack"/>
            <w:bookmarkEnd w:id="0"/>
            <w:r>
              <w:rPr>
                <w:rFonts w:hint="eastAsia" w:ascii="Times New Roman" w:hAnsi="Times New Roman" w:eastAsia="宋体" w:cs="宋体"/>
                <w:spacing w:val="-1"/>
                <w:sz w:val="24"/>
                <w:szCs w:val="24"/>
                <w:lang w:val="en-US" w:eastAsia="zh-CN"/>
              </w:rPr>
              <w:t>为银</w:t>
            </w:r>
          </w:p>
          <w:p w14:paraId="2C58231A">
            <w:pPr>
              <w:pStyle w:val="13"/>
              <w:autoSpaceDE/>
              <w:autoSpaceDN/>
              <w:spacing w:before="0" w:line="360" w:lineRule="auto"/>
              <w:ind w:left="0" w:right="0" w:firstLine="833" w:firstLineChars="350"/>
              <w:jc w:val="left"/>
              <w:rPr>
                <w:rFonts w:hint="eastAsia" w:ascii="Times New Roman" w:hAnsi="Times New Roman" w:eastAsia="宋体" w:cs="宋体"/>
                <w:spacing w:val="-1"/>
                <w:sz w:val="24"/>
                <w:szCs w:val="24"/>
                <w:lang w:eastAsia="zh-CN"/>
              </w:rPr>
            </w:pPr>
            <w:r>
              <w:rPr>
                <w:rFonts w:hint="eastAsia" w:ascii="Times New Roman" w:hAnsi="Times New Roman" w:eastAsia="宋体" w:cs="宋体"/>
                <w:spacing w:val="-1"/>
                <w:sz w:val="24"/>
                <w:szCs w:val="24"/>
                <w:lang w:eastAsia="zh-CN"/>
              </w:rPr>
              <w:t>副总裁、</w:t>
            </w:r>
            <w:r>
              <w:rPr>
                <w:rFonts w:hint="eastAsia" w:ascii="Times New Roman" w:hAnsi="Times New Roman" w:eastAsia="宋体" w:cs="宋体"/>
                <w:spacing w:val="-1"/>
                <w:sz w:val="24"/>
                <w:szCs w:val="24"/>
                <w:lang w:val="en-US" w:eastAsia="zh-CN"/>
              </w:rPr>
              <w:t>财务总监</w:t>
            </w:r>
            <w:r>
              <w:rPr>
                <w:rFonts w:hint="eastAsia" w:ascii="Times New Roman" w:hAnsi="Times New Roman" w:eastAsia="宋体" w:cs="宋体"/>
                <w:spacing w:val="-1"/>
                <w:sz w:val="24"/>
                <w:szCs w:val="24"/>
                <w:lang w:eastAsia="zh-CN"/>
              </w:rPr>
              <w:t>兼董事会秘书</w:t>
            </w:r>
            <w:r>
              <w:rPr>
                <w:rFonts w:hint="eastAsia" w:ascii="Times New Roman" w:hAnsi="Times New Roman" w:cs="宋体"/>
                <w:spacing w:val="-1"/>
                <w:sz w:val="24"/>
                <w:szCs w:val="24"/>
                <w:lang w:val="en-US" w:eastAsia="zh-CN"/>
              </w:rPr>
              <w:t xml:space="preserve"> </w:t>
            </w:r>
            <w:r>
              <w:rPr>
                <w:rFonts w:hint="eastAsia" w:ascii="Times New Roman" w:hAnsi="Times New Roman" w:eastAsia="宋体" w:cs="宋体"/>
                <w:spacing w:val="-1"/>
                <w:sz w:val="24"/>
                <w:szCs w:val="24"/>
                <w:lang w:eastAsia="zh-CN"/>
              </w:rPr>
              <w:t>张侃</w:t>
            </w:r>
          </w:p>
          <w:p w14:paraId="32C7656F">
            <w:pPr>
              <w:pStyle w:val="13"/>
              <w:autoSpaceDE/>
              <w:autoSpaceDN/>
              <w:spacing w:before="0" w:line="360" w:lineRule="auto"/>
              <w:ind w:left="0" w:right="0" w:firstLine="840" w:firstLineChars="350"/>
              <w:jc w:val="left"/>
              <w:rPr>
                <w:rFonts w:hint="eastAsia" w:ascii="Times New Roman" w:hAnsi="Times New Roman"/>
                <w:lang w:val="en-US" w:eastAsia="zh-CN"/>
              </w:rPr>
            </w:pPr>
            <w:r>
              <w:rPr>
                <w:rFonts w:hint="eastAsia" w:ascii="Times New Roman" w:hAnsi="Times New Roman"/>
                <w:lang w:val="en-US" w:eastAsia="zh-CN"/>
              </w:rPr>
              <w:t>子公司晶禧半导体</w:t>
            </w:r>
            <w:r>
              <w:rPr>
                <w:rFonts w:hint="eastAsia" w:ascii="Times New Roman" w:hAnsi="Times New Roman"/>
              </w:rPr>
              <w:t>执行董事</w:t>
            </w:r>
            <w:r>
              <w:rPr>
                <w:rFonts w:hint="eastAsia" w:ascii="Times New Roman" w:hAnsi="Times New Roman"/>
                <w:lang w:val="en-US" w:eastAsia="zh-CN"/>
              </w:rPr>
              <w:t>兼</w:t>
            </w:r>
            <w:r>
              <w:rPr>
                <w:rFonts w:hint="eastAsia" w:ascii="Times New Roman" w:hAnsi="Times New Roman"/>
              </w:rPr>
              <w:t>常务副总经理</w:t>
            </w:r>
            <w:r>
              <w:rPr>
                <w:rFonts w:hint="eastAsia" w:ascii="Times New Roman" w:hAnsi="Times New Roman"/>
                <w:lang w:val="en-US" w:eastAsia="zh-CN"/>
              </w:rPr>
              <w:t xml:space="preserve"> 林静</w:t>
            </w:r>
          </w:p>
          <w:p w14:paraId="240C634C">
            <w:pPr>
              <w:pStyle w:val="13"/>
              <w:autoSpaceDE/>
              <w:autoSpaceDN/>
              <w:spacing w:before="0" w:line="360" w:lineRule="auto"/>
              <w:ind w:left="0" w:right="0" w:firstLine="840" w:firstLineChars="350"/>
              <w:jc w:val="left"/>
              <w:rPr>
                <w:rFonts w:hint="eastAsia" w:ascii="Times New Roman" w:hAnsi="Times New Roman"/>
                <w:lang w:val="en-US" w:eastAsia="zh-CN"/>
              </w:rPr>
            </w:pPr>
            <w:r>
              <w:rPr>
                <w:rFonts w:hint="eastAsia" w:ascii="Times New Roman" w:hAnsi="Times New Roman"/>
                <w:lang w:val="en-US" w:eastAsia="zh-CN"/>
              </w:rPr>
              <w:t>子公司晶禧半导体副总经理 陶明远</w:t>
            </w:r>
          </w:p>
          <w:p w14:paraId="68413A68">
            <w:pPr>
              <w:pStyle w:val="13"/>
              <w:autoSpaceDE/>
              <w:autoSpaceDN/>
              <w:spacing w:before="0" w:line="360" w:lineRule="auto"/>
              <w:ind w:left="0" w:right="0" w:firstLine="840" w:firstLineChars="350"/>
              <w:jc w:val="left"/>
              <w:rPr>
                <w:rFonts w:hint="default" w:ascii="Times New Roman" w:hAnsi="Times New Roman"/>
                <w:lang w:val="en-US" w:eastAsia="zh-CN"/>
              </w:rPr>
            </w:pPr>
            <w:r>
              <w:rPr>
                <w:rFonts w:hint="eastAsia" w:ascii="Times New Roman" w:hAnsi="Times New Roman"/>
                <w:lang w:val="en-US" w:eastAsia="zh-CN"/>
              </w:rPr>
              <w:t>证券事务代表 衡欢乐</w:t>
            </w:r>
          </w:p>
        </w:tc>
      </w:tr>
      <w:tr w14:paraId="248583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2171" w:type="dxa"/>
            <w:vAlign w:val="center"/>
          </w:tcPr>
          <w:p w14:paraId="076E5011">
            <w:pPr>
              <w:pStyle w:val="13"/>
              <w:autoSpaceDE/>
              <w:autoSpaceDN/>
              <w:spacing w:before="0" w:line="240" w:lineRule="auto"/>
              <w:ind w:left="0" w:right="0" w:firstLine="0"/>
              <w:jc w:val="center"/>
              <w:rPr>
                <w:rFonts w:hint="eastAsia" w:ascii="Times New Roman" w:hAnsi="Times New Roman" w:eastAsia="宋体" w:cs="宋体"/>
                <w:sz w:val="24"/>
                <w:szCs w:val="24"/>
                <w:lang w:eastAsia="zh-CN"/>
              </w:rPr>
            </w:pPr>
            <w:r>
              <w:rPr>
                <w:rFonts w:hint="eastAsia" w:ascii="Times New Roman" w:hAnsi="Times New Roman" w:eastAsia="宋体" w:cs="宋体"/>
                <w:b/>
                <w:bCs/>
                <w:spacing w:val="-4"/>
                <w:sz w:val="24"/>
                <w:szCs w:val="24"/>
                <w:lang w:eastAsia="zh-CN"/>
              </w:rPr>
              <w:t>投资者关系活动主要</w:t>
            </w:r>
            <w:r>
              <w:rPr>
                <w:rFonts w:hint="eastAsia" w:ascii="Times New Roman" w:hAnsi="Times New Roman" w:eastAsia="宋体" w:cs="宋体"/>
                <w:b/>
                <w:bCs/>
                <w:spacing w:val="-12"/>
                <w:sz w:val="24"/>
                <w:szCs w:val="24"/>
                <w:lang w:eastAsia="zh-CN"/>
              </w:rPr>
              <w:t>内容介绍</w:t>
            </w:r>
          </w:p>
        </w:tc>
        <w:tc>
          <w:tcPr>
            <w:tcW w:w="6124" w:type="dxa"/>
            <w:gridSpan w:val="2"/>
          </w:tcPr>
          <w:p w14:paraId="1D21AACB">
            <w:pPr>
              <w:pStyle w:val="14"/>
              <w:numPr>
                <w:ilvl w:val="0"/>
                <w:numId w:val="1"/>
              </w:numPr>
              <w:spacing w:before="0" w:beforeLines="50" w:afterLines="50" w:line="240" w:lineRule="auto"/>
              <w:ind w:left="23" w:right="23" w:firstLine="480"/>
              <w:jc w:val="both"/>
              <w:rPr>
                <w:rFonts w:hint="eastAsia" w:ascii="Times New Roman" w:hAnsi="Times New Roman" w:eastAsia="宋体" w:cs="宋体"/>
                <w:b/>
                <w:bCs/>
                <w:spacing w:val="-4"/>
                <w:sz w:val="24"/>
                <w:szCs w:val="24"/>
                <w:lang w:val="en-US" w:eastAsia="zh-CN"/>
              </w:rPr>
            </w:pPr>
            <w:r>
              <w:rPr>
                <w:rFonts w:hint="eastAsia" w:ascii="Times New Roman" w:hAnsi="Times New Roman" w:eastAsia="宋体" w:cs="宋体"/>
                <w:b/>
                <w:bCs/>
                <w:spacing w:val="-4"/>
                <w:sz w:val="24"/>
                <w:szCs w:val="24"/>
              </w:rPr>
              <w:t>公司</w:t>
            </w:r>
            <w:r>
              <w:rPr>
                <w:rFonts w:hint="eastAsia" w:ascii="Times New Roman" w:hAnsi="Times New Roman" w:eastAsia="宋体" w:cs="宋体"/>
                <w:b/>
                <w:bCs/>
                <w:spacing w:val="-4"/>
                <w:sz w:val="24"/>
                <w:szCs w:val="24"/>
                <w:lang w:val="en-US" w:eastAsia="zh-CN"/>
              </w:rPr>
              <w:t>情况介绍？</w:t>
            </w:r>
          </w:p>
          <w:p w14:paraId="4738B4A6">
            <w:pPr>
              <w:pStyle w:val="14"/>
              <w:spacing w:beforeLines="50" w:afterLines="50" w:line="240" w:lineRule="auto"/>
              <w:ind w:left="23" w:right="23" w:firstLine="480" w:firstLineChars="0"/>
              <w:jc w:val="both"/>
              <w:rPr>
                <w:rFonts w:hint="eastAsia" w:ascii="Times New Roman" w:hAnsi="Times New Roman" w:eastAsia="宋体" w:cs="宋体"/>
                <w:spacing w:val="-20"/>
                <w:sz w:val="24"/>
                <w:szCs w:val="24"/>
              </w:rPr>
            </w:pPr>
            <w:r>
              <w:rPr>
                <w:rFonts w:hint="eastAsia" w:ascii="Times New Roman" w:hAnsi="Times New Roman" w:eastAsia="宋体" w:cs="宋体"/>
                <w:spacing w:val="-20"/>
                <w:sz w:val="24"/>
                <w:szCs w:val="24"/>
              </w:rPr>
              <w:t>回复：</w:t>
            </w:r>
          </w:p>
          <w:p w14:paraId="2A66165C">
            <w:pPr>
              <w:pStyle w:val="14"/>
              <w:spacing w:beforeLines="50" w:afterLines="50" w:line="240" w:lineRule="auto"/>
              <w:ind w:left="23" w:right="23" w:firstLine="480"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rPr>
              <w:t>公司以声学研究为基础，面向城市轨道交通、工业及民用建筑、TOD上盖开发项目等应用场景，提供钢弹簧浮置道床减振系统、预制式钢弹簧浮置板、声屏障、隔离式高弹性减振垫、聚氨酯减振垫、重型调频钢轨耗能装置等噪声振动物理防治产品与解决方案。</w:t>
            </w:r>
          </w:p>
          <w:p w14:paraId="71347A40">
            <w:pPr>
              <w:pStyle w:val="14"/>
              <w:spacing w:beforeLines="50" w:afterLines="50" w:line="240" w:lineRule="auto"/>
              <w:ind w:left="23" w:right="23" w:firstLine="480"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rPr>
              <w:t>在巩固轨交减振降噪主业的基础上，公司同时运用人工智能技术、声纹数据及状态监测体系，针对城市轨道交通、油田井筒等领域开展智慧运维、病害治理及结构安全方面的研究、开发和专业服务，加快推进</w:t>
            </w:r>
            <w:r>
              <w:rPr>
                <w:rFonts w:hint="eastAsia" w:ascii="Times New Roman" w:hAnsi="Times New Roman" w:eastAsia="宋体" w:cs="宋体"/>
                <w:sz w:val="24"/>
                <w:szCs w:val="24"/>
                <w:lang w:eastAsia="zh-CN"/>
              </w:rPr>
              <w:t>“</w:t>
            </w:r>
            <w:r>
              <w:rPr>
                <w:rFonts w:hint="eastAsia" w:ascii="Times New Roman" w:hAnsi="Times New Roman" w:eastAsia="宋体" w:cs="宋体"/>
                <w:sz w:val="24"/>
                <w:szCs w:val="24"/>
              </w:rPr>
              <w:t>从产品供应商向数据服务商</w:t>
            </w:r>
            <w:r>
              <w:rPr>
                <w:rFonts w:hint="eastAsia" w:ascii="Times New Roman" w:hAnsi="Times New Roman" w:eastAsia="宋体" w:cs="宋体"/>
                <w:sz w:val="24"/>
                <w:szCs w:val="24"/>
                <w:lang w:eastAsia="zh-CN"/>
              </w:rPr>
              <w:t>”</w:t>
            </w:r>
            <w:r>
              <w:rPr>
                <w:rFonts w:hint="eastAsia" w:ascii="Times New Roman" w:hAnsi="Times New Roman" w:eastAsia="宋体" w:cs="宋体"/>
                <w:sz w:val="24"/>
                <w:szCs w:val="24"/>
              </w:rPr>
              <w:t>的转型，重点布局声纹数字化监测及智慧运维业务，并围绕</w:t>
            </w:r>
            <w:r>
              <w:rPr>
                <w:rFonts w:hint="eastAsia" w:ascii="Times New Roman" w:hAnsi="Times New Roman" w:eastAsia="宋体" w:cs="宋体"/>
                <w:sz w:val="24"/>
                <w:szCs w:val="24"/>
                <w:lang w:eastAsia="zh-CN"/>
              </w:rPr>
              <w:t>“</w:t>
            </w:r>
            <w:r>
              <w:rPr>
                <w:rFonts w:hint="eastAsia" w:ascii="Times New Roman" w:hAnsi="Times New Roman" w:eastAsia="宋体" w:cs="宋体"/>
                <w:sz w:val="24"/>
                <w:szCs w:val="24"/>
              </w:rPr>
              <w:t>声音解构</w:t>
            </w:r>
            <w:r>
              <w:rPr>
                <w:rFonts w:hint="eastAsia" w:ascii="Times New Roman" w:hAnsi="Times New Roman" w:eastAsia="宋体" w:cs="宋体"/>
                <w:sz w:val="24"/>
                <w:szCs w:val="24"/>
                <w:lang w:eastAsia="zh-CN"/>
              </w:rPr>
              <w:t>”</w:t>
            </w:r>
            <w:r>
              <w:rPr>
                <w:rFonts w:hint="eastAsia" w:ascii="Times New Roman" w:hAnsi="Times New Roman" w:eastAsia="宋体" w:cs="宋体"/>
                <w:sz w:val="24"/>
                <w:szCs w:val="24"/>
              </w:rPr>
              <w:t>技术方向，向分布式光纤传感等前沿领域延伸。</w:t>
            </w:r>
          </w:p>
          <w:p w14:paraId="149DA24C">
            <w:pPr>
              <w:pStyle w:val="14"/>
              <w:spacing w:beforeLines="50" w:afterLines="50" w:line="240" w:lineRule="auto"/>
              <w:ind w:left="23" w:right="23" w:firstLine="480"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rPr>
              <w:t>2026年，公司</w:t>
            </w:r>
            <w:r>
              <w:rPr>
                <w:rFonts w:hint="eastAsia" w:ascii="Times New Roman" w:hAnsi="Times New Roman" w:cs="宋体"/>
                <w:sz w:val="24"/>
                <w:szCs w:val="24"/>
                <w:lang w:val="en-US" w:eastAsia="zh-CN"/>
              </w:rPr>
              <w:t>完成对</w:t>
            </w:r>
            <w:r>
              <w:rPr>
                <w:rFonts w:hint="eastAsia" w:ascii="Times New Roman" w:hAnsi="Times New Roman" w:eastAsia="宋体" w:cs="宋体"/>
                <w:sz w:val="24"/>
                <w:szCs w:val="24"/>
              </w:rPr>
              <w:t>苏州晶禧半导体科技有限公司</w:t>
            </w:r>
            <w:r>
              <w:rPr>
                <w:rFonts w:hint="eastAsia" w:ascii="Times New Roman" w:hAnsi="Times New Roman" w:eastAsia="宋体" w:cs="宋体"/>
                <w:sz w:val="24"/>
                <w:szCs w:val="24"/>
                <w:lang w:eastAsia="zh-CN"/>
              </w:rPr>
              <w:t>（</w:t>
            </w:r>
            <w:r>
              <w:rPr>
                <w:rFonts w:hint="eastAsia" w:ascii="Times New Roman" w:hAnsi="Times New Roman" w:eastAsia="宋体" w:cs="宋体"/>
                <w:sz w:val="24"/>
                <w:szCs w:val="24"/>
                <w:lang w:val="en-US" w:eastAsia="zh-CN"/>
              </w:rPr>
              <w:t>简称“晶禧半导体”</w:t>
            </w:r>
            <w:r>
              <w:rPr>
                <w:rFonts w:hint="eastAsia" w:ascii="Times New Roman" w:hAnsi="Times New Roman" w:eastAsia="宋体" w:cs="宋体"/>
                <w:sz w:val="24"/>
                <w:szCs w:val="24"/>
                <w:lang w:eastAsia="zh-CN"/>
              </w:rPr>
              <w:t>）</w:t>
            </w:r>
            <w:r>
              <w:rPr>
                <w:rFonts w:hint="eastAsia" w:ascii="Times New Roman" w:hAnsi="Times New Roman" w:cs="宋体"/>
                <w:sz w:val="24"/>
                <w:szCs w:val="24"/>
                <w:lang w:val="en-US" w:eastAsia="zh-CN"/>
              </w:rPr>
              <w:t>100%股权的收购</w:t>
            </w:r>
            <w:r>
              <w:rPr>
                <w:rFonts w:hint="eastAsia" w:ascii="Times New Roman" w:hAnsi="Times New Roman" w:eastAsia="宋体" w:cs="宋体"/>
                <w:sz w:val="24"/>
                <w:szCs w:val="24"/>
                <w:lang w:eastAsia="zh-CN"/>
              </w:rPr>
              <w:t>，</w:t>
            </w:r>
            <w:r>
              <w:rPr>
                <w:rFonts w:hint="eastAsia" w:ascii="Times New Roman" w:hAnsi="Times New Roman" w:eastAsia="宋体" w:cs="宋体"/>
                <w:sz w:val="24"/>
                <w:szCs w:val="24"/>
                <w:lang w:val="en-US" w:eastAsia="zh-CN"/>
              </w:rPr>
              <w:t>业务</w:t>
            </w:r>
            <w:r>
              <w:rPr>
                <w:rFonts w:hint="eastAsia" w:ascii="Times New Roman" w:hAnsi="Times New Roman" w:eastAsia="宋体" w:cs="宋体"/>
                <w:sz w:val="24"/>
                <w:szCs w:val="24"/>
              </w:rPr>
              <w:t>进一步拓展至半导体</w:t>
            </w:r>
            <w:r>
              <w:rPr>
                <w:rFonts w:hint="eastAsia" w:ascii="Times New Roman" w:hAnsi="Times New Roman" w:eastAsia="宋体" w:cs="宋体"/>
                <w:sz w:val="24"/>
                <w:szCs w:val="24"/>
                <w:lang w:val="en-US" w:eastAsia="zh-CN"/>
              </w:rPr>
              <w:t>精密</w:t>
            </w:r>
            <w:r>
              <w:rPr>
                <w:rFonts w:hint="eastAsia" w:ascii="Times New Roman" w:hAnsi="Times New Roman" w:eastAsia="宋体" w:cs="宋体"/>
                <w:sz w:val="24"/>
                <w:szCs w:val="24"/>
              </w:rPr>
              <w:t>加工领域。晶禧半导体聚焦高精度激光隐形切割技术在硅光芯片制造中的应用，可提供晶圆激光隐形切割、</w:t>
            </w:r>
            <w:r>
              <w:rPr>
                <w:rFonts w:hint="eastAsia" w:ascii="Times New Roman" w:hAnsi="Times New Roman" w:cs="宋体"/>
                <w:sz w:val="24"/>
                <w:szCs w:val="24"/>
                <w:lang w:val="en-US" w:eastAsia="zh-CN"/>
              </w:rPr>
              <w:t>晶圆</w:t>
            </w:r>
            <w:r>
              <w:rPr>
                <w:rFonts w:hint="eastAsia" w:ascii="Times New Roman" w:hAnsi="Times New Roman" w:eastAsia="宋体" w:cs="宋体"/>
                <w:sz w:val="24"/>
                <w:szCs w:val="24"/>
              </w:rPr>
              <w:t>减薄、芯片分选检测等一站式精密加工服务。公司希望通过相关产业布局，进一步推动“激光切割工艺—光纤传感芯片—声纹监测终端”产业链协同。</w:t>
            </w:r>
          </w:p>
          <w:p w14:paraId="6D269BA7">
            <w:pPr>
              <w:pStyle w:val="14"/>
              <w:spacing w:beforeLines="50" w:afterLines="50" w:line="240" w:lineRule="auto"/>
              <w:ind w:left="23" w:right="23" w:firstLine="470" w:firstLineChars="200"/>
              <w:jc w:val="both"/>
              <w:rPr>
                <w:rFonts w:hint="eastAsia" w:ascii="Times New Roman" w:hAnsi="Times New Roman" w:eastAsia="宋体" w:cs="宋体"/>
                <w:b/>
                <w:bCs/>
                <w:spacing w:val="-3"/>
                <w:sz w:val="24"/>
                <w:szCs w:val="24"/>
              </w:rPr>
            </w:pPr>
            <w:r>
              <w:rPr>
                <w:rFonts w:hint="eastAsia" w:ascii="Times New Roman" w:hAnsi="Times New Roman" w:eastAsia="宋体" w:cs="宋体"/>
                <w:b/>
                <w:bCs/>
                <w:spacing w:val="-3"/>
                <w:sz w:val="24"/>
                <w:szCs w:val="24"/>
                <w:lang w:val="en-US" w:eastAsia="zh-CN"/>
              </w:rPr>
              <w:t>二</w:t>
            </w:r>
            <w:r>
              <w:rPr>
                <w:rFonts w:hint="eastAsia" w:ascii="Times New Roman" w:hAnsi="Times New Roman" w:eastAsia="宋体" w:cs="宋体"/>
                <w:b/>
                <w:bCs/>
                <w:spacing w:val="-3"/>
                <w:sz w:val="24"/>
                <w:szCs w:val="24"/>
              </w:rPr>
              <w:t>、</w:t>
            </w:r>
            <w:r>
              <w:rPr>
                <w:rFonts w:hint="eastAsia" w:ascii="Times New Roman" w:hAnsi="Times New Roman" w:eastAsia="宋体" w:cs="宋体"/>
                <w:b/>
                <w:bCs/>
                <w:spacing w:val="-3"/>
                <w:sz w:val="24"/>
                <w:szCs w:val="24"/>
                <w:lang w:val="en-US" w:eastAsia="zh-CN"/>
              </w:rPr>
              <w:t>请介绍公司股东情况</w:t>
            </w:r>
            <w:r>
              <w:rPr>
                <w:rFonts w:hint="eastAsia" w:ascii="Times New Roman" w:hAnsi="Times New Roman" w:eastAsia="宋体" w:cs="宋体"/>
                <w:b/>
                <w:bCs/>
                <w:spacing w:val="-3"/>
                <w:sz w:val="24"/>
                <w:szCs w:val="24"/>
              </w:rPr>
              <w:t>？</w:t>
            </w:r>
          </w:p>
          <w:p w14:paraId="3C6CFAB3">
            <w:pPr>
              <w:pStyle w:val="14"/>
              <w:spacing w:beforeLines="50" w:afterLines="50" w:line="240" w:lineRule="auto"/>
              <w:ind w:left="23" w:right="23" w:firstLine="480"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rPr>
              <w:t>回复：</w:t>
            </w:r>
          </w:p>
          <w:p w14:paraId="0315E921">
            <w:pPr>
              <w:pStyle w:val="14"/>
              <w:spacing w:beforeLines="50" w:afterLines="50" w:line="240" w:lineRule="auto"/>
              <w:ind w:left="23" w:right="23" w:firstLine="480"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rPr>
              <w:t>公司股权结构较为多元，</w:t>
            </w:r>
            <w:r>
              <w:rPr>
                <w:rFonts w:ascii="宋体" w:hAnsi="宋体" w:eastAsia="宋体" w:cs="宋体"/>
                <w:sz w:val="24"/>
                <w:szCs w:val="24"/>
              </w:rPr>
              <w:t>无控股股东、无实际控制人</w:t>
            </w:r>
            <w:r>
              <w:rPr>
                <w:rFonts w:hint="eastAsia" w:ascii="宋体" w:hAnsi="宋体" w:eastAsia="宋体" w:cs="宋体"/>
                <w:sz w:val="24"/>
                <w:szCs w:val="24"/>
                <w:lang w:eastAsia="zh-CN"/>
              </w:rPr>
              <w:t>，</w:t>
            </w:r>
            <w:r>
              <w:rPr>
                <w:rFonts w:hint="eastAsia" w:ascii="Times New Roman" w:hAnsi="Times New Roman" w:eastAsia="宋体" w:cs="宋体"/>
                <w:sz w:val="24"/>
                <w:szCs w:val="24"/>
              </w:rPr>
              <w:t>形成了国有资本、轨道交通产业资本、科研院所、</w:t>
            </w:r>
            <w:r>
              <w:rPr>
                <w:rFonts w:hint="eastAsia" w:ascii="Times New Roman" w:hAnsi="Times New Roman" w:eastAsia="宋体" w:cs="宋体"/>
                <w:sz w:val="24"/>
                <w:szCs w:val="24"/>
                <w:lang w:val="en-US" w:eastAsia="zh-CN"/>
              </w:rPr>
              <w:t>市场化基金、</w:t>
            </w:r>
            <w:r>
              <w:rPr>
                <w:rFonts w:hint="eastAsia" w:ascii="Times New Roman" w:hAnsi="Times New Roman" w:eastAsia="宋体" w:cs="宋体"/>
                <w:sz w:val="24"/>
                <w:szCs w:val="24"/>
              </w:rPr>
              <w:t>管理</w:t>
            </w:r>
            <w:r>
              <w:rPr>
                <w:rFonts w:hint="eastAsia" w:ascii="Times New Roman" w:hAnsi="Times New Roman" w:eastAsia="宋体" w:cs="宋体"/>
                <w:sz w:val="24"/>
                <w:szCs w:val="24"/>
                <w:lang w:val="en-US" w:eastAsia="zh-CN"/>
              </w:rPr>
              <w:t>层</w:t>
            </w:r>
            <w:r>
              <w:rPr>
                <w:rFonts w:hint="eastAsia" w:ascii="Times New Roman" w:hAnsi="Times New Roman" w:eastAsia="宋体" w:cs="宋体"/>
                <w:sz w:val="24"/>
                <w:szCs w:val="24"/>
              </w:rPr>
              <w:t>及</w:t>
            </w:r>
            <w:r>
              <w:rPr>
                <w:rFonts w:hint="eastAsia" w:ascii="Times New Roman" w:hAnsi="Times New Roman" w:eastAsia="宋体" w:cs="宋体"/>
                <w:sz w:val="24"/>
                <w:szCs w:val="24"/>
                <w:lang w:val="en-US" w:eastAsia="zh-CN"/>
              </w:rPr>
              <w:t>核心骨干</w:t>
            </w:r>
            <w:r>
              <w:rPr>
                <w:rFonts w:hint="eastAsia" w:ascii="Times New Roman" w:hAnsi="Times New Roman" w:eastAsia="宋体" w:cs="宋体"/>
                <w:sz w:val="24"/>
                <w:szCs w:val="24"/>
              </w:rPr>
              <w:t>等共同</w:t>
            </w:r>
            <w:r>
              <w:rPr>
                <w:rFonts w:hint="eastAsia" w:ascii="Times New Roman" w:hAnsi="Times New Roman" w:eastAsia="宋体" w:cs="宋体"/>
                <w:sz w:val="24"/>
                <w:szCs w:val="24"/>
                <w:lang w:val="en-US" w:eastAsia="zh-CN"/>
              </w:rPr>
              <w:t>参与</w:t>
            </w:r>
            <w:r>
              <w:rPr>
                <w:rFonts w:hint="eastAsia" w:ascii="Times New Roman" w:hAnsi="Times New Roman" w:eastAsia="宋体" w:cs="宋体"/>
                <w:sz w:val="24"/>
                <w:szCs w:val="24"/>
              </w:rPr>
              <w:t>的混合所有制格局。不同类型股东在产业资源、科研能力与市场场景等方面可形成一定协同</w:t>
            </w:r>
            <w:r>
              <w:rPr>
                <w:rFonts w:ascii="Times New Roman" w:hAnsi="Times New Roman" w:eastAsia="宋体" w:cs="Segoe UI"/>
                <w:i w:val="0"/>
                <w:iCs w:val="0"/>
                <w:caps w:val="0"/>
                <w:color w:val="0F1115"/>
                <w:spacing w:val="0"/>
                <w:sz w:val="24"/>
                <w:szCs w:val="24"/>
                <w:shd w:val="clear" w:fill="FFFFFF"/>
              </w:rPr>
              <w:t>，共同形成支撑公司主业巩固及新业务</w:t>
            </w:r>
            <w:r>
              <w:rPr>
                <w:rFonts w:hint="eastAsia" w:ascii="Times New Roman" w:hAnsi="Times New Roman" w:eastAsia="宋体" w:cs="Segoe UI"/>
                <w:i w:val="0"/>
                <w:iCs w:val="0"/>
                <w:caps w:val="0"/>
                <w:color w:val="0F1115"/>
                <w:spacing w:val="0"/>
                <w:sz w:val="24"/>
                <w:szCs w:val="24"/>
                <w:shd w:val="clear" w:fill="FFFFFF"/>
                <w:lang w:val="en-US" w:eastAsia="zh-CN"/>
              </w:rPr>
              <w:t>的</w:t>
            </w:r>
            <w:r>
              <w:rPr>
                <w:rFonts w:ascii="Times New Roman" w:hAnsi="Times New Roman" w:eastAsia="宋体" w:cs="Segoe UI"/>
                <w:i w:val="0"/>
                <w:iCs w:val="0"/>
                <w:caps w:val="0"/>
                <w:color w:val="0F1115"/>
                <w:spacing w:val="0"/>
                <w:sz w:val="24"/>
                <w:szCs w:val="24"/>
                <w:shd w:val="clear" w:fill="FFFFFF"/>
              </w:rPr>
              <w:t>拓展。</w:t>
            </w:r>
          </w:p>
          <w:p w14:paraId="56A63F75">
            <w:pPr>
              <w:pStyle w:val="14"/>
              <w:spacing w:beforeLines="50" w:afterLines="50" w:line="240" w:lineRule="auto"/>
              <w:ind w:left="23" w:right="23" w:firstLine="480"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rPr>
              <w:t>从持股情况看，</w:t>
            </w:r>
            <w:r>
              <w:rPr>
                <w:rFonts w:hint="eastAsia" w:ascii="Times New Roman" w:hAnsi="Times New Roman" w:eastAsia="宋体" w:cs="宋体"/>
                <w:sz w:val="24"/>
                <w:szCs w:val="24"/>
                <w:lang w:val="en-US" w:eastAsia="zh-CN"/>
              </w:rPr>
              <w:t>截至2026年6月30日，</w:t>
            </w:r>
            <w:r>
              <w:rPr>
                <w:rFonts w:hint="eastAsia" w:ascii="Times New Roman" w:hAnsi="Times New Roman" w:eastAsia="宋体" w:cs="宋体"/>
                <w:sz w:val="24"/>
                <w:szCs w:val="24"/>
              </w:rPr>
              <w:t>公司</w:t>
            </w:r>
            <w:r>
              <w:rPr>
                <w:rFonts w:hint="eastAsia" w:ascii="Times New Roman" w:hAnsi="Times New Roman" w:eastAsia="宋体" w:cs="宋体"/>
                <w:sz w:val="24"/>
                <w:szCs w:val="24"/>
                <w:lang w:val="en-US" w:eastAsia="zh-CN"/>
              </w:rPr>
              <w:t>前五大股东及持股比例分别为：</w:t>
            </w:r>
            <w:r>
              <w:rPr>
                <w:rFonts w:hint="eastAsia" w:ascii="Times New Roman" w:hAnsi="Times New Roman" w:eastAsia="宋体" w:cs="宋体"/>
                <w:sz w:val="24"/>
                <w:szCs w:val="24"/>
              </w:rPr>
              <w:t>北京市基础设施投资有限公司，</w:t>
            </w:r>
            <w:r>
              <w:rPr>
                <w:rFonts w:hint="eastAsia" w:ascii="Times New Roman" w:hAnsi="Times New Roman" w:eastAsia="宋体" w:cs="宋体"/>
                <w:sz w:val="24"/>
                <w:szCs w:val="24"/>
                <w:lang w:val="en-US" w:eastAsia="zh-CN"/>
              </w:rPr>
              <w:t>持股比例为</w:t>
            </w:r>
            <w:r>
              <w:rPr>
                <w:rFonts w:hint="eastAsia" w:ascii="Times New Roman" w:hAnsi="Times New Roman" w:eastAsia="宋体" w:cs="宋体"/>
                <w:sz w:val="24"/>
                <w:szCs w:val="24"/>
              </w:rPr>
              <w:t>16.63%；广州轨道交通产业投资发展基金（有限合伙），持股比例为8.25%；北京国奥时代新能源技术发展有限公司</w:t>
            </w:r>
            <w:r>
              <w:rPr>
                <w:rFonts w:hint="eastAsia" w:ascii="Times New Roman" w:hAnsi="Times New Roman" w:eastAsia="宋体" w:cs="宋体"/>
                <w:sz w:val="24"/>
                <w:szCs w:val="24"/>
                <w:lang w:eastAsia="zh-CN"/>
              </w:rPr>
              <w:t>，</w:t>
            </w:r>
            <w:r>
              <w:rPr>
                <w:rFonts w:hint="eastAsia" w:ascii="Times New Roman" w:hAnsi="Times New Roman" w:eastAsia="宋体" w:cs="宋体"/>
                <w:sz w:val="24"/>
                <w:szCs w:val="24"/>
                <w:lang w:val="en-US" w:eastAsia="zh-CN"/>
              </w:rPr>
              <w:t>持股比例为5.64%；北京市科学技术研究院城市安全与环境科学研究所（北京市劳动保护科学研究所）</w:t>
            </w:r>
            <w:r>
              <w:rPr>
                <w:rFonts w:hint="eastAsia" w:ascii="Times New Roman" w:hAnsi="Times New Roman" w:eastAsia="宋体" w:cs="宋体"/>
                <w:sz w:val="24"/>
                <w:szCs w:val="24"/>
                <w:lang w:eastAsia="zh-CN"/>
              </w:rPr>
              <w:t>，</w:t>
            </w:r>
            <w:r>
              <w:rPr>
                <w:rFonts w:hint="eastAsia" w:ascii="Times New Roman" w:hAnsi="Times New Roman" w:eastAsia="宋体" w:cs="宋体"/>
                <w:sz w:val="24"/>
                <w:szCs w:val="24"/>
                <w:lang w:val="en-US" w:eastAsia="zh-CN"/>
              </w:rPr>
              <w:t>持股比例为</w:t>
            </w:r>
            <w:r>
              <w:rPr>
                <w:rFonts w:hint="eastAsia" w:ascii="Times New Roman" w:hAnsi="Times New Roman" w:eastAsia="宋体" w:cs="宋体"/>
                <w:sz w:val="24"/>
                <w:szCs w:val="24"/>
              </w:rPr>
              <w:t>5.26%；曹卫东先生</w:t>
            </w:r>
            <w:r>
              <w:rPr>
                <w:rFonts w:hint="eastAsia" w:ascii="Times New Roman" w:hAnsi="Times New Roman" w:cs="宋体"/>
                <w:sz w:val="24"/>
                <w:szCs w:val="24"/>
                <w:lang w:eastAsia="zh-CN"/>
              </w:rPr>
              <w:t>，</w:t>
            </w:r>
            <w:r>
              <w:rPr>
                <w:rFonts w:hint="eastAsia" w:ascii="Times New Roman" w:hAnsi="Times New Roman" w:eastAsia="宋体" w:cs="宋体"/>
                <w:sz w:val="24"/>
                <w:szCs w:val="24"/>
              </w:rPr>
              <w:t>持股比例为3.83%。</w:t>
            </w:r>
          </w:p>
          <w:p w14:paraId="6F7AC08A">
            <w:pPr>
              <w:pStyle w:val="14"/>
              <w:spacing w:beforeLines="50" w:afterLines="50" w:line="240" w:lineRule="auto"/>
              <w:ind w:left="23" w:right="23" w:firstLine="470" w:firstLineChars="200"/>
              <w:jc w:val="both"/>
              <w:rPr>
                <w:rFonts w:hint="eastAsia" w:ascii="Times New Roman" w:hAnsi="Times New Roman" w:eastAsia="宋体" w:cs="宋体"/>
                <w:b/>
                <w:bCs/>
                <w:spacing w:val="-3"/>
                <w:sz w:val="24"/>
                <w:szCs w:val="24"/>
              </w:rPr>
            </w:pPr>
            <w:r>
              <w:rPr>
                <w:rFonts w:hint="eastAsia" w:ascii="Times New Roman" w:hAnsi="Times New Roman" w:eastAsia="宋体" w:cs="宋体"/>
                <w:b/>
                <w:bCs/>
                <w:spacing w:val="-3"/>
                <w:sz w:val="24"/>
                <w:szCs w:val="24"/>
                <w:lang w:val="en-US" w:eastAsia="zh-CN"/>
              </w:rPr>
              <w:t>三</w:t>
            </w:r>
            <w:r>
              <w:rPr>
                <w:rFonts w:hint="eastAsia" w:ascii="Times New Roman" w:hAnsi="Times New Roman" w:eastAsia="宋体" w:cs="宋体"/>
                <w:b/>
                <w:bCs/>
                <w:spacing w:val="-3"/>
                <w:sz w:val="24"/>
                <w:szCs w:val="24"/>
              </w:rPr>
              <w:t>、公司202</w:t>
            </w:r>
            <w:r>
              <w:rPr>
                <w:rFonts w:hint="eastAsia" w:ascii="Times New Roman" w:hAnsi="Times New Roman" w:eastAsia="宋体" w:cs="宋体"/>
                <w:b/>
                <w:bCs/>
                <w:spacing w:val="-3"/>
                <w:sz w:val="24"/>
                <w:szCs w:val="24"/>
                <w:lang w:val="en-US" w:eastAsia="zh-CN"/>
              </w:rPr>
              <w:t>6</w:t>
            </w:r>
            <w:r>
              <w:rPr>
                <w:rFonts w:hint="eastAsia" w:ascii="Times New Roman" w:hAnsi="Times New Roman" w:eastAsia="宋体" w:cs="宋体"/>
                <w:b/>
                <w:bCs/>
                <w:spacing w:val="-3"/>
                <w:sz w:val="24"/>
                <w:szCs w:val="24"/>
              </w:rPr>
              <w:t>年</w:t>
            </w:r>
            <w:r>
              <w:rPr>
                <w:rFonts w:hint="eastAsia" w:ascii="Times New Roman" w:hAnsi="Times New Roman" w:eastAsia="宋体" w:cs="宋体"/>
                <w:b/>
                <w:bCs/>
                <w:spacing w:val="-3"/>
                <w:sz w:val="24"/>
                <w:szCs w:val="24"/>
                <w:lang w:val="en-US" w:eastAsia="zh-CN"/>
              </w:rPr>
              <w:t>半年度财务数据分析</w:t>
            </w:r>
            <w:r>
              <w:rPr>
                <w:rFonts w:hint="eastAsia" w:ascii="Times New Roman" w:hAnsi="Times New Roman" w:eastAsia="宋体" w:cs="宋体"/>
                <w:b/>
                <w:bCs/>
                <w:spacing w:val="-3"/>
                <w:sz w:val="24"/>
                <w:szCs w:val="24"/>
              </w:rPr>
              <w:t>？</w:t>
            </w:r>
          </w:p>
          <w:p w14:paraId="4F325E2E">
            <w:pPr>
              <w:pStyle w:val="14"/>
              <w:spacing w:beforeLines="50" w:afterLines="50" w:line="240" w:lineRule="auto"/>
              <w:ind w:left="23" w:right="23" w:firstLine="480"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rPr>
              <w:t>回复：</w:t>
            </w:r>
          </w:p>
          <w:p w14:paraId="333CAA94">
            <w:pPr>
              <w:pStyle w:val="14"/>
              <w:spacing w:beforeLines="50" w:afterLines="50" w:line="240" w:lineRule="auto"/>
              <w:ind w:left="23" w:right="23" w:firstLine="480" w:firstLineChars="200"/>
              <w:jc w:val="both"/>
              <w:rPr>
                <w:rFonts w:hint="eastAsia" w:ascii="Times New Roman" w:hAnsi="Times New Roman" w:eastAsia="宋体"/>
                <w:sz w:val="24"/>
                <w:lang w:eastAsia="zh-CN"/>
              </w:rPr>
            </w:pPr>
            <w:r>
              <w:rPr>
                <w:rFonts w:hint="eastAsia" w:ascii="Times New Roman" w:hAnsi="Times New Roman" w:eastAsia="宋体" w:cs="宋体"/>
                <w:b w:val="0"/>
                <w:bCs w:val="0"/>
                <w:sz w:val="24"/>
                <w:szCs w:val="24"/>
              </w:rPr>
              <w:t>2026年上半年，公司实现营业收入</w:t>
            </w:r>
            <w:r>
              <w:rPr>
                <w:rStyle w:val="10"/>
                <w:rFonts w:hint="eastAsia" w:ascii="Times New Roman" w:hAnsi="Times New Roman" w:eastAsia="宋体" w:cs="宋体"/>
                <w:b w:val="0"/>
                <w:bCs w:val="0"/>
                <w:sz w:val="24"/>
                <w:szCs w:val="24"/>
              </w:rPr>
              <w:t>9,429.60万元，同比增长7.47%</w:t>
            </w:r>
            <w:r>
              <w:rPr>
                <w:rFonts w:hint="eastAsia" w:ascii="Times New Roman" w:hAnsi="Times New Roman" w:eastAsia="宋体" w:cs="宋体"/>
                <w:b w:val="0"/>
                <w:bCs w:val="0"/>
                <w:sz w:val="24"/>
                <w:szCs w:val="24"/>
              </w:rPr>
              <w:t>，在行业需求波动和市场竞争加剧的情况下，主营业务整体保持相对稳健</w:t>
            </w:r>
            <w:r>
              <w:rPr>
                <w:rFonts w:hint="eastAsia" w:ascii="Times New Roman" w:hAnsi="Times New Roman" w:cs="宋体"/>
                <w:b w:val="0"/>
                <w:bCs w:val="0"/>
                <w:sz w:val="24"/>
                <w:szCs w:val="24"/>
                <w:lang w:eastAsia="zh-CN"/>
              </w:rPr>
              <w:t>；</w:t>
            </w:r>
            <w:r>
              <w:rPr>
                <w:rFonts w:ascii="Times New Roman" w:hAnsi="Times New Roman" w:eastAsia="宋体" w:cs="宋体"/>
                <w:sz w:val="24"/>
                <w:szCs w:val="24"/>
              </w:rPr>
              <w:t>归属于上市公司股东的净利润</w:t>
            </w:r>
            <w:r>
              <w:rPr>
                <w:rFonts w:hint="eastAsia" w:ascii="Times New Roman" w:hAnsi="Times New Roman" w:eastAsia="宋体" w:cs="宋体"/>
                <w:sz w:val="24"/>
                <w:szCs w:val="24"/>
                <w:lang w:val="en-US" w:eastAsia="zh-CN"/>
              </w:rPr>
              <w:t>为-1</w:t>
            </w:r>
            <w:r>
              <w:rPr>
                <w:rStyle w:val="10"/>
                <w:rFonts w:hint="eastAsia" w:ascii="Times New Roman" w:hAnsi="Times New Roman" w:eastAsia="宋体" w:cs="宋体"/>
                <w:b w:val="0"/>
                <w:bCs w:val="0"/>
                <w:sz w:val="24"/>
                <w:szCs w:val="24"/>
              </w:rPr>
              <w:t>,</w:t>
            </w:r>
            <w:r>
              <w:rPr>
                <w:rFonts w:hint="eastAsia" w:ascii="Times New Roman" w:hAnsi="Times New Roman" w:eastAsia="宋体" w:cs="宋体"/>
                <w:sz w:val="24"/>
                <w:szCs w:val="24"/>
                <w:lang w:val="en-US" w:eastAsia="zh-CN"/>
              </w:rPr>
              <w:t>843.96万元。</w:t>
            </w:r>
            <w:r>
              <w:rPr>
                <w:rFonts w:hint="eastAsia" w:ascii="Times New Roman" w:hAnsi="Times New Roman" w:eastAsia="宋体"/>
                <w:sz w:val="24"/>
                <w:lang w:val="en-US" w:eastAsia="zh-CN"/>
              </w:rPr>
              <w:t>2026年上半年</w:t>
            </w:r>
            <w:r>
              <w:rPr>
                <w:rFonts w:hint="eastAsia" w:ascii="Times New Roman" w:hAnsi="Times New Roman" w:eastAsia="宋体"/>
                <w:sz w:val="24"/>
              </w:rPr>
              <w:t>经营活动产生的现金流量净额较2025年半年度上升</w:t>
            </w:r>
            <w:r>
              <w:rPr>
                <w:rFonts w:hint="eastAsia" w:ascii="Times New Roman" w:hAnsi="Times New Roman" w:eastAsia="宋体"/>
                <w:sz w:val="24"/>
                <w:lang w:val="en-US" w:eastAsia="zh-CN"/>
              </w:rPr>
              <w:t>1</w:t>
            </w:r>
            <w:r>
              <w:rPr>
                <w:rStyle w:val="10"/>
                <w:rFonts w:hint="eastAsia" w:ascii="Times New Roman" w:hAnsi="Times New Roman" w:eastAsia="宋体" w:cs="宋体"/>
                <w:b w:val="0"/>
                <w:bCs w:val="0"/>
                <w:sz w:val="24"/>
                <w:szCs w:val="24"/>
              </w:rPr>
              <w:t>,</w:t>
            </w:r>
            <w:r>
              <w:rPr>
                <w:rFonts w:hint="eastAsia" w:ascii="Times New Roman" w:hAnsi="Times New Roman" w:eastAsia="宋体"/>
                <w:sz w:val="24"/>
                <w:lang w:val="en-US" w:eastAsia="zh-CN"/>
              </w:rPr>
              <w:t>662.88万元</w:t>
            </w:r>
            <w:r>
              <w:rPr>
                <w:rFonts w:hint="eastAsia" w:ascii="Times New Roman" w:hAnsi="Times New Roman"/>
                <w:sz w:val="24"/>
                <w:lang w:val="en-US" w:eastAsia="zh-CN"/>
              </w:rPr>
              <w:t>，</w:t>
            </w:r>
            <w:r>
              <w:rPr>
                <w:rFonts w:hint="eastAsia" w:ascii="Times New Roman" w:hAnsi="Times New Roman" w:eastAsia="宋体"/>
                <w:sz w:val="24"/>
              </w:rPr>
              <w:t>主要系公司加强回款力度</w:t>
            </w:r>
            <w:r>
              <w:rPr>
                <w:rFonts w:hint="eastAsia" w:ascii="Times New Roman" w:hAnsi="Times New Roman" w:eastAsia="宋体"/>
                <w:sz w:val="24"/>
                <w:lang w:eastAsia="zh-CN"/>
              </w:rPr>
              <w:t>，</w:t>
            </w:r>
            <w:r>
              <w:rPr>
                <w:rFonts w:hint="eastAsia" w:ascii="Times New Roman" w:hAnsi="Times New Roman" w:eastAsia="宋体"/>
                <w:sz w:val="24"/>
              </w:rPr>
              <w:t>回款较去年上半年增加所致</w:t>
            </w:r>
            <w:r>
              <w:rPr>
                <w:rFonts w:hint="eastAsia" w:ascii="Times New Roman" w:hAnsi="Times New Roman" w:eastAsia="宋体"/>
                <w:sz w:val="24"/>
                <w:lang w:eastAsia="zh-CN"/>
              </w:rPr>
              <w:t>。</w:t>
            </w:r>
          </w:p>
          <w:p w14:paraId="469FF6DD">
            <w:pPr>
              <w:pStyle w:val="14"/>
              <w:spacing w:beforeLines="50" w:afterLines="50" w:line="240" w:lineRule="auto"/>
              <w:ind w:left="23" w:right="23" w:firstLine="470" w:firstLineChars="200"/>
              <w:jc w:val="both"/>
              <w:rPr>
                <w:rFonts w:hint="default" w:ascii="Times New Roman" w:hAnsi="Times New Roman" w:eastAsia="宋体" w:cs="宋体"/>
                <w:b/>
                <w:bCs/>
                <w:spacing w:val="-3"/>
                <w:sz w:val="24"/>
                <w:szCs w:val="24"/>
                <w:lang w:val="en-US" w:eastAsia="zh-CN"/>
              </w:rPr>
            </w:pPr>
            <w:r>
              <w:rPr>
                <w:rFonts w:hint="eastAsia" w:ascii="Times New Roman" w:hAnsi="Times New Roman" w:eastAsia="宋体" w:cs="宋体"/>
                <w:b/>
                <w:bCs/>
                <w:spacing w:val="-3"/>
                <w:sz w:val="24"/>
                <w:szCs w:val="24"/>
                <w:lang w:val="en-US" w:eastAsia="zh-CN"/>
              </w:rPr>
              <w:t>四、公司回款情况如何？</w:t>
            </w:r>
          </w:p>
          <w:p w14:paraId="1A134221">
            <w:pPr>
              <w:pStyle w:val="14"/>
              <w:spacing w:beforeLines="50" w:afterLines="50" w:line="240" w:lineRule="auto"/>
              <w:ind w:left="23" w:right="23" w:firstLine="480" w:firstLineChars="200"/>
              <w:jc w:val="both"/>
              <w:rPr>
                <w:rFonts w:hint="eastAsia" w:ascii="Times New Roman" w:hAnsi="Times New Roman" w:eastAsia="宋体" w:cs="宋体"/>
                <w:sz w:val="24"/>
                <w:szCs w:val="24"/>
                <w:lang w:val="en-US" w:eastAsia="zh-CN"/>
              </w:rPr>
            </w:pPr>
            <w:r>
              <w:rPr>
                <w:rFonts w:hint="eastAsia" w:ascii="Times New Roman" w:hAnsi="Times New Roman" w:cs="宋体"/>
                <w:sz w:val="24"/>
                <w:szCs w:val="24"/>
                <w:lang w:val="en-US" w:eastAsia="zh-CN"/>
              </w:rPr>
              <w:t>回复：</w:t>
            </w:r>
          </w:p>
          <w:p w14:paraId="68CC167B">
            <w:pPr>
              <w:pStyle w:val="14"/>
              <w:spacing w:beforeLines="50" w:afterLines="50" w:line="240" w:lineRule="auto"/>
              <w:ind w:left="23" w:right="23" w:firstLine="480" w:firstLineChars="200"/>
              <w:jc w:val="both"/>
              <w:rPr>
                <w:rStyle w:val="10"/>
                <w:rFonts w:hint="eastAsia" w:ascii="Times New Roman" w:hAnsi="Times New Roman" w:eastAsia="宋体" w:cs="宋体"/>
                <w:b w:val="0"/>
                <w:bCs w:val="0"/>
                <w:sz w:val="24"/>
                <w:szCs w:val="24"/>
              </w:rPr>
            </w:pPr>
            <w:r>
              <w:rPr>
                <w:rFonts w:ascii="Times New Roman" w:hAnsi="Times New Roman" w:eastAsia="宋体" w:cs="宋体"/>
                <w:sz w:val="24"/>
                <w:szCs w:val="24"/>
              </w:rPr>
              <w:t>公司高度重视应收账款的管理。一是成立由公司总裁及相关领导、各项目业务负责人、公司财务组成的回款专项小组，领导拟订年度应收账款回款目标，按项目每月跟进应收账款回收进展。明确每个项目应收账款回收责任人，并对每一个责任人制订明确的奖惩措施；二是针对应收账款异常项目，建立销售、财务、法务联合管控小组，采取不同方式加快款项的回收；三是加强合同管理，提前评估项目资金风险，从源头防范账期过长，同时加强合同执行过程管理，利用供货进度控制回款进度；四是充分利用软件工具，2026年公司已上线应收账款管理系统，加速了回款过程中的信息协同，增加提前预警，使回款工作更加快速高效</w:t>
            </w:r>
            <w:r>
              <w:rPr>
                <w:rFonts w:hint="eastAsia" w:ascii="Times New Roman" w:hAnsi="Times New Roman" w:eastAsia="宋体" w:cs="宋体"/>
                <w:sz w:val="24"/>
                <w:szCs w:val="24"/>
                <w:lang w:eastAsia="zh-CN"/>
              </w:rPr>
              <w:t>。</w:t>
            </w:r>
            <w:r>
              <w:rPr>
                <w:rStyle w:val="10"/>
                <w:rFonts w:hint="eastAsia" w:ascii="Times New Roman" w:hAnsi="Times New Roman" w:eastAsia="宋体" w:cs="宋体"/>
                <w:b w:val="0"/>
                <w:bCs w:val="0"/>
                <w:sz w:val="24"/>
                <w:szCs w:val="24"/>
              </w:rPr>
              <w:t>通过上述措施，2026年上半年公司收回了部分账龄较长的历史欠款，并通过发货管控加强在施项目回款管理，经营活动产生的现金流量净额较上年同期有所改善。</w:t>
            </w:r>
          </w:p>
          <w:p w14:paraId="66399D62">
            <w:pPr>
              <w:pStyle w:val="14"/>
              <w:spacing w:beforeLines="50" w:afterLines="50" w:line="240" w:lineRule="auto"/>
              <w:ind w:left="23" w:right="23" w:firstLine="480" w:firstLineChars="200"/>
              <w:jc w:val="both"/>
              <w:rPr>
                <w:rStyle w:val="10"/>
                <w:rFonts w:hint="default" w:ascii="Times New Roman" w:hAnsi="Times New Roman" w:eastAsia="宋体" w:cs="宋体"/>
                <w:b w:val="0"/>
                <w:bCs w:val="0"/>
                <w:sz w:val="24"/>
                <w:szCs w:val="24"/>
                <w:lang w:val="en-US" w:eastAsia="zh-CN"/>
              </w:rPr>
            </w:pPr>
            <w:r>
              <w:rPr>
                <w:rStyle w:val="10"/>
                <w:rFonts w:hint="eastAsia" w:ascii="Times New Roman" w:hAnsi="Times New Roman" w:eastAsia="宋体" w:cs="宋体"/>
                <w:b w:val="0"/>
                <w:bCs w:val="0"/>
                <w:sz w:val="24"/>
                <w:szCs w:val="24"/>
              </w:rPr>
              <w:t>另外</w:t>
            </w:r>
            <w:r>
              <w:rPr>
                <w:rStyle w:val="10"/>
                <w:rFonts w:hint="eastAsia" w:ascii="Times New Roman" w:hAnsi="Times New Roman" w:cs="宋体"/>
                <w:b w:val="0"/>
                <w:bCs w:val="0"/>
                <w:sz w:val="24"/>
                <w:szCs w:val="24"/>
                <w:lang w:eastAsia="zh-CN"/>
              </w:rPr>
              <w:t>，</w:t>
            </w:r>
            <w:r>
              <w:rPr>
                <w:rStyle w:val="10"/>
                <w:rFonts w:hint="eastAsia" w:ascii="Times New Roman" w:hAnsi="Times New Roman" w:eastAsia="宋体" w:cs="宋体"/>
                <w:b w:val="0"/>
                <w:bCs w:val="0"/>
                <w:sz w:val="24"/>
                <w:szCs w:val="24"/>
              </w:rPr>
              <w:t>城市轨道交通项目的施工与业主单位多为大型国央企，虽然付款会延期但最终形成真正坏账的概率不大。</w:t>
            </w:r>
          </w:p>
          <w:p w14:paraId="1B18A421">
            <w:pPr>
              <w:pStyle w:val="14"/>
              <w:spacing w:beforeLines="50" w:afterLines="50" w:line="240" w:lineRule="auto"/>
              <w:ind w:left="23" w:right="23" w:firstLine="470" w:firstLineChars="200"/>
              <w:jc w:val="both"/>
              <w:rPr>
                <w:rFonts w:hint="eastAsia" w:ascii="Times New Roman" w:hAnsi="Times New Roman" w:eastAsia="宋体" w:cs="宋体"/>
                <w:b/>
                <w:bCs/>
                <w:spacing w:val="-3"/>
                <w:sz w:val="24"/>
                <w:szCs w:val="24"/>
              </w:rPr>
            </w:pPr>
            <w:r>
              <w:rPr>
                <w:rFonts w:hint="eastAsia" w:ascii="Times New Roman" w:hAnsi="Times New Roman" w:eastAsia="宋体" w:cs="宋体"/>
                <w:b/>
                <w:bCs/>
                <w:spacing w:val="-3"/>
                <w:sz w:val="24"/>
                <w:szCs w:val="24"/>
                <w:lang w:val="en-US" w:eastAsia="zh-CN"/>
              </w:rPr>
              <w:t>五</w:t>
            </w:r>
            <w:r>
              <w:rPr>
                <w:rFonts w:hint="eastAsia" w:ascii="Times New Roman" w:hAnsi="Times New Roman" w:eastAsia="宋体" w:cs="宋体"/>
                <w:b/>
                <w:bCs/>
                <w:spacing w:val="-3"/>
                <w:sz w:val="24"/>
                <w:szCs w:val="24"/>
              </w:rPr>
              <w:t>、</w:t>
            </w:r>
            <w:r>
              <w:rPr>
                <w:rFonts w:hint="eastAsia" w:ascii="Times New Roman" w:hAnsi="Times New Roman" w:eastAsia="宋体" w:cs="宋体"/>
                <w:b/>
                <w:bCs/>
                <w:sz w:val="24"/>
                <w:szCs w:val="24"/>
              </w:rPr>
              <w:t>请问公司在分布式光纤传感技术方面目前的研发及产业化进展如何？</w:t>
            </w:r>
          </w:p>
          <w:p w14:paraId="373DFED5">
            <w:pPr>
              <w:pStyle w:val="14"/>
              <w:spacing w:beforeLines="50" w:afterLines="50" w:line="240" w:lineRule="auto"/>
              <w:ind w:left="23" w:right="23" w:firstLine="480"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rPr>
              <w:t>回复：</w:t>
            </w:r>
          </w:p>
          <w:p w14:paraId="44CE28CE">
            <w:pPr>
              <w:pStyle w:val="14"/>
              <w:spacing w:beforeLines="50" w:afterLines="50" w:line="240" w:lineRule="auto"/>
              <w:ind w:left="23" w:right="23" w:firstLine="480"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rPr>
              <w:t>2026年上半年，公司继续围绕“全时域、全空域、全过程、真状态”的轨道声纹监测技术路线开展研发，从硬件设备、识别算法、软件平台及现场示范验证等多个维度推动分布式光纤传感技术向产品化和产业化发展。</w:t>
            </w:r>
          </w:p>
          <w:p w14:paraId="1EB67A49">
            <w:pPr>
              <w:pStyle w:val="14"/>
              <w:spacing w:beforeLines="50" w:afterLines="50" w:line="240" w:lineRule="auto"/>
              <w:ind w:left="23" w:right="23" w:firstLine="480" w:firstLineChars="200"/>
              <w:jc w:val="both"/>
              <w:rPr>
                <w:rFonts w:hint="eastAsia" w:ascii="Times New Roman" w:hAnsi="Times New Roman" w:eastAsia="宋体" w:cs="宋体"/>
                <w:sz w:val="24"/>
                <w:szCs w:val="24"/>
              </w:rPr>
            </w:pPr>
            <w:r>
              <w:rPr>
                <w:rFonts w:hint="eastAsia" w:ascii="Times New Roman" w:hAnsi="Times New Roman" w:eastAsia="宋体" w:cs="宋体"/>
                <w:b w:val="0"/>
                <w:bCs w:val="0"/>
                <w:sz w:val="24"/>
                <w:szCs w:val="24"/>
              </w:rPr>
              <w:t>硬件方面，公司</w:t>
            </w:r>
            <w:r>
              <w:rPr>
                <w:rStyle w:val="10"/>
                <w:rFonts w:hint="eastAsia" w:ascii="Times New Roman" w:hAnsi="Times New Roman" w:eastAsia="宋体" w:cs="宋体"/>
                <w:b w:val="0"/>
                <w:bCs w:val="0"/>
                <w:sz w:val="24"/>
                <w:szCs w:val="24"/>
              </w:rPr>
              <w:t>第二代分布式光纤声波传感解调设备已完成产品化</w:t>
            </w:r>
            <w:r>
              <w:rPr>
                <w:rFonts w:hint="eastAsia" w:ascii="Times New Roman" w:hAnsi="Times New Roman" w:eastAsia="宋体" w:cs="宋体"/>
                <w:b w:val="0"/>
                <w:bCs w:val="0"/>
                <w:sz w:val="24"/>
                <w:szCs w:val="24"/>
              </w:rPr>
              <w:t>，可实现40公里以上长距离条件下小于2米的高空间分辨率振动监测，通过算法优化进一步提高实时解调能力，并解决强振条件下精准数据采集的技术难题。同时，公司完成DPP-BOTDA样机研发，并实现DAS采集卡等关键器件</w:t>
            </w:r>
            <w:r>
              <w:rPr>
                <w:rFonts w:hint="eastAsia" w:ascii="Times New Roman" w:hAnsi="Times New Roman" w:eastAsia="宋体" w:cs="宋体"/>
                <w:sz w:val="24"/>
                <w:szCs w:val="24"/>
              </w:rPr>
              <w:t>自主化，相关采集卡信噪比、物理特性进一步提升，成本可降低60%以上。</w:t>
            </w:r>
          </w:p>
          <w:p w14:paraId="702CC33C">
            <w:pPr>
              <w:pStyle w:val="14"/>
              <w:spacing w:beforeLines="50" w:afterLines="50" w:line="240" w:lineRule="auto"/>
              <w:ind w:left="23" w:right="23" w:firstLine="480" w:firstLineChars="200"/>
              <w:jc w:val="both"/>
              <w:rPr>
                <w:rFonts w:hint="eastAsia" w:ascii="Times New Roman" w:hAnsi="Times New Roman" w:eastAsia="宋体" w:cs="宋体"/>
                <w:b w:val="0"/>
                <w:bCs w:val="0"/>
                <w:sz w:val="24"/>
                <w:szCs w:val="24"/>
              </w:rPr>
            </w:pPr>
            <w:r>
              <w:rPr>
                <w:rFonts w:hint="eastAsia" w:ascii="Times New Roman" w:hAnsi="Times New Roman" w:eastAsia="宋体" w:cs="宋体"/>
                <w:sz w:val="24"/>
                <w:szCs w:val="24"/>
              </w:rPr>
              <w:t>算法方面，公司利用实际地铁线路采集的数据持续训练</w:t>
            </w:r>
            <w:r>
              <w:rPr>
                <w:rFonts w:hint="eastAsia" w:ascii="Times New Roman" w:hAnsi="Times New Roman" w:eastAsia="宋体" w:cs="宋体"/>
                <w:b w:val="0"/>
                <w:bCs w:val="0"/>
                <w:sz w:val="24"/>
                <w:szCs w:val="24"/>
              </w:rPr>
              <w:t>和优化轨道病害识别算法，2026年上半年新增钢轨波磨、钢轨曲线侧磨、轨缝变化、扣件缺失、垫板老化等8类病害识别能力，并对已有4类病害算法进行优化，部分算法已经获得实地样本验证。</w:t>
            </w:r>
          </w:p>
          <w:p w14:paraId="4DAA7116">
            <w:pPr>
              <w:pStyle w:val="14"/>
              <w:spacing w:beforeLines="50" w:afterLines="50" w:line="240" w:lineRule="auto"/>
              <w:ind w:left="23" w:right="23" w:firstLine="480" w:firstLineChars="200"/>
              <w:jc w:val="both"/>
              <w:rPr>
                <w:rFonts w:hint="eastAsia" w:ascii="Times New Roman" w:hAnsi="Times New Roman" w:eastAsia="宋体" w:cs="宋体"/>
                <w:b w:val="0"/>
                <w:bCs w:val="0"/>
                <w:sz w:val="24"/>
                <w:szCs w:val="24"/>
              </w:rPr>
            </w:pPr>
            <w:r>
              <w:rPr>
                <w:rFonts w:hint="eastAsia" w:ascii="Times New Roman" w:hAnsi="Times New Roman" w:eastAsia="宋体" w:cs="宋体"/>
                <w:b w:val="0"/>
                <w:bCs w:val="0"/>
                <w:sz w:val="24"/>
                <w:szCs w:val="24"/>
              </w:rPr>
              <w:t>软件平台方面，</w:t>
            </w:r>
            <w:r>
              <w:rPr>
                <w:rStyle w:val="10"/>
                <w:rFonts w:hint="eastAsia" w:ascii="Times New Roman" w:hAnsi="Times New Roman" w:eastAsia="宋体" w:cs="宋体"/>
                <w:b w:val="0"/>
                <w:bCs w:val="0"/>
                <w:sz w:val="24"/>
                <w:szCs w:val="24"/>
              </w:rPr>
              <w:t>九州声纹平台二期已基本完成落地</w:t>
            </w:r>
            <w:r>
              <w:rPr>
                <w:rFonts w:hint="eastAsia" w:ascii="Times New Roman" w:hAnsi="Times New Roman" w:eastAsia="宋体" w:cs="宋体"/>
                <w:b w:val="0"/>
                <w:bCs w:val="0"/>
                <w:sz w:val="24"/>
                <w:szCs w:val="24"/>
              </w:rPr>
              <w:t>，围绕车轮故障诊断、轨道状态评价、地保区施工监测及报警等功能持续完善，并增加分级告警、告警记录自动合并、阈值灵活配置等功能。</w:t>
            </w:r>
          </w:p>
          <w:p w14:paraId="21F142C9">
            <w:pPr>
              <w:pStyle w:val="14"/>
              <w:spacing w:beforeLines="50" w:afterLines="50" w:line="240" w:lineRule="auto"/>
              <w:ind w:left="23" w:right="23" w:firstLine="480" w:firstLineChars="200"/>
              <w:jc w:val="both"/>
              <w:rPr>
                <w:rFonts w:hint="eastAsia" w:ascii="Times New Roman" w:hAnsi="Times New Roman" w:eastAsia="宋体" w:cs="宋体"/>
                <w:b w:val="0"/>
                <w:bCs w:val="0"/>
                <w:sz w:val="24"/>
                <w:szCs w:val="24"/>
              </w:rPr>
            </w:pPr>
            <w:r>
              <w:rPr>
                <w:rFonts w:hint="eastAsia" w:ascii="Times New Roman" w:hAnsi="Times New Roman" w:eastAsia="宋体" w:cs="宋体"/>
                <w:b w:val="0"/>
                <w:bCs w:val="0"/>
                <w:sz w:val="24"/>
                <w:szCs w:val="24"/>
              </w:rPr>
              <w:t>在示范应用和产业化方面，公司2026年上半年在北京、郑州两地两条轨道线路完成十余公里光纤铺设。截至6月30日，公司线路监测系统已在</w:t>
            </w:r>
            <w:r>
              <w:rPr>
                <w:rStyle w:val="10"/>
                <w:rFonts w:hint="eastAsia" w:ascii="Times New Roman" w:hAnsi="Times New Roman" w:eastAsia="宋体" w:cs="宋体"/>
                <w:b w:val="0"/>
                <w:bCs w:val="0"/>
                <w:sz w:val="24"/>
                <w:szCs w:val="24"/>
              </w:rPr>
              <w:t>北京、郑州、绍兴等城市4条轨道线路</w:t>
            </w:r>
            <w:r>
              <w:rPr>
                <w:rFonts w:hint="eastAsia" w:ascii="Times New Roman" w:hAnsi="Times New Roman" w:eastAsia="宋体" w:cs="宋体"/>
                <w:b w:val="0"/>
                <w:bCs w:val="0"/>
                <w:sz w:val="24"/>
                <w:szCs w:val="24"/>
              </w:rPr>
              <w:t>实现应用，并通过示范项目持续积累钢轨波磨、轨缝不良、扣件缺失、浮置板空吊等真实病害样本，为算法迭代和后续规模化推广提供数据基础。</w:t>
            </w:r>
          </w:p>
          <w:p w14:paraId="7528FDF1">
            <w:pPr>
              <w:pStyle w:val="14"/>
              <w:spacing w:beforeLines="50" w:afterLines="50" w:line="240" w:lineRule="auto"/>
              <w:ind w:left="23" w:right="23" w:firstLine="480" w:firstLineChars="200"/>
              <w:jc w:val="both"/>
              <w:rPr>
                <w:rFonts w:hint="eastAsia" w:ascii="Times New Roman" w:hAnsi="Times New Roman" w:eastAsia="宋体" w:cs="宋体"/>
                <w:sz w:val="24"/>
                <w:szCs w:val="24"/>
              </w:rPr>
            </w:pPr>
            <w:r>
              <w:rPr>
                <w:rFonts w:hint="eastAsia" w:ascii="Times New Roman" w:hAnsi="Times New Roman" w:eastAsia="宋体" w:cs="宋体"/>
                <w:b w:val="0"/>
                <w:bCs w:val="0"/>
                <w:sz w:val="24"/>
                <w:szCs w:val="24"/>
              </w:rPr>
              <w:t>总体来看，公司分布式光纤传感业务目前已从单一技术研发逐步进入“</w:t>
            </w:r>
            <w:r>
              <w:rPr>
                <w:rStyle w:val="10"/>
                <w:rFonts w:hint="eastAsia" w:ascii="Times New Roman" w:hAnsi="Times New Roman" w:eastAsia="宋体" w:cs="宋体"/>
                <w:b w:val="0"/>
                <w:bCs w:val="0"/>
                <w:sz w:val="24"/>
                <w:szCs w:val="24"/>
              </w:rPr>
              <w:t>核心设备产品化—算法迭代—软件平台建设—示范项目验证—产业推广</w:t>
            </w:r>
            <w:r>
              <w:rPr>
                <w:rFonts w:hint="eastAsia" w:ascii="Times New Roman" w:hAnsi="Times New Roman" w:eastAsia="宋体" w:cs="宋体"/>
                <w:b w:val="0"/>
                <w:bCs w:val="0"/>
                <w:sz w:val="24"/>
                <w:szCs w:val="24"/>
              </w:rPr>
              <w:t>”并行推进阶段，公司将持续推动相关技术在轨道交通及其他基础设施、能源等场景中的应用。此外，结合近期对晶禧半导体的收购，公司拟依托其激光隐形切割加工能力，向光纤及配套半导体器件加工领域延伸，进一步完善相关技术布局</w:t>
            </w:r>
            <w:r>
              <w:rPr>
                <w:rFonts w:hint="eastAsia" w:ascii="Times New Roman" w:hAnsi="Times New Roman" w:eastAsia="宋体" w:cs="宋体"/>
                <w:sz w:val="24"/>
                <w:szCs w:val="24"/>
              </w:rPr>
              <w:t>。</w:t>
            </w:r>
          </w:p>
          <w:p w14:paraId="67D62765">
            <w:pPr>
              <w:pStyle w:val="14"/>
              <w:spacing w:beforeLines="50" w:afterLines="50" w:line="240" w:lineRule="auto"/>
              <w:ind w:left="23" w:right="23" w:firstLine="482" w:firstLineChars="200"/>
              <w:jc w:val="both"/>
              <w:rPr>
                <w:rFonts w:hint="eastAsia" w:ascii="Times New Roman" w:hAnsi="Times New Roman" w:eastAsia="宋体" w:cs="宋体"/>
                <w:b/>
                <w:bCs/>
                <w:sz w:val="24"/>
                <w:szCs w:val="24"/>
                <w:lang w:val="en-US" w:eastAsia="zh-CN"/>
              </w:rPr>
            </w:pPr>
            <w:r>
              <w:rPr>
                <w:rFonts w:hint="eastAsia" w:ascii="Times New Roman" w:hAnsi="Times New Roman" w:eastAsia="宋体" w:cs="宋体"/>
                <w:b/>
                <w:bCs/>
                <w:sz w:val="24"/>
                <w:szCs w:val="24"/>
                <w:lang w:val="en-US" w:eastAsia="zh-CN"/>
              </w:rPr>
              <w:t>六、</w:t>
            </w:r>
            <w:r>
              <w:rPr>
                <w:rFonts w:hint="eastAsia" w:ascii="Times New Roman" w:hAnsi="Times New Roman" w:cs="宋体"/>
                <w:b/>
                <w:bCs/>
                <w:sz w:val="24"/>
                <w:szCs w:val="24"/>
                <w:lang w:val="en-US" w:eastAsia="zh-CN"/>
              </w:rPr>
              <w:t>公司</w:t>
            </w:r>
            <w:r>
              <w:rPr>
                <w:rFonts w:hint="eastAsia" w:ascii="Times New Roman" w:hAnsi="Times New Roman" w:eastAsia="宋体" w:cs="宋体"/>
                <w:b/>
                <w:bCs/>
                <w:sz w:val="24"/>
                <w:szCs w:val="24"/>
                <w:lang w:val="en-US" w:eastAsia="zh-CN"/>
              </w:rPr>
              <w:t>收购晶禧半导体</w:t>
            </w:r>
            <w:r>
              <w:rPr>
                <w:rFonts w:hint="eastAsia" w:ascii="Times New Roman" w:hAnsi="Times New Roman" w:cs="宋体"/>
                <w:b/>
                <w:bCs/>
                <w:sz w:val="24"/>
                <w:szCs w:val="24"/>
                <w:lang w:val="en-US" w:eastAsia="zh-CN"/>
              </w:rPr>
              <w:t>的战略考量是什么</w:t>
            </w:r>
            <w:r>
              <w:rPr>
                <w:rFonts w:hint="eastAsia" w:ascii="Times New Roman" w:hAnsi="Times New Roman" w:eastAsia="宋体" w:cs="宋体"/>
                <w:b/>
                <w:bCs/>
                <w:sz w:val="24"/>
                <w:szCs w:val="24"/>
                <w:lang w:val="en-US" w:eastAsia="zh-CN"/>
              </w:rPr>
              <w:t>？</w:t>
            </w:r>
          </w:p>
          <w:p w14:paraId="46458D37">
            <w:pPr>
              <w:pStyle w:val="14"/>
              <w:spacing w:beforeLines="50" w:afterLines="50" w:line="240" w:lineRule="auto"/>
              <w:ind w:left="23" w:right="23" w:firstLine="480" w:firstLineChars="200"/>
              <w:jc w:val="both"/>
              <w:rPr>
                <w:rFonts w:hint="default" w:ascii="Times New Roman" w:hAnsi="Times New Roman" w:eastAsia="宋体" w:cs="宋体"/>
                <w:sz w:val="24"/>
                <w:szCs w:val="24"/>
                <w:lang w:val="en-US" w:eastAsia="zh-CN"/>
              </w:rPr>
            </w:pPr>
            <w:r>
              <w:rPr>
                <w:rFonts w:hint="eastAsia" w:ascii="Times New Roman" w:hAnsi="Times New Roman" w:eastAsia="宋体" w:cs="宋体"/>
                <w:sz w:val="24"/>
                <w:szCs w:val="24"/>
                <w:lang w:val="en-US" w:eastAsia="zh-CN"/>
              </w:rPr>
              <w:t>回复：</w:t>
            </w:r>
          </w:p>
          <w:p w14:paraId="344825F0">
            <w:pPr>
              <w:pStyle w:val="14"/>
              <w:spacing w:beforeLines="50" w:afterLines="50" w:line="240" w:lineRule="auto"/>
              <w:ind w:left="23" w:right="23" w:firstLine="480" w:firstLineChars="200"/>
              <w:jc w:val="both"/>
              <w:rPr>
                <w:rFonts w:hint="eastAsia" w:ascii="Times New Roman" w:hAnsi="Times New Roman" w:eastAsia="宋体" w:cs="宋体"/>
                <w:sz w:val="24"/>
                <w:szCs w:val="24"/>
                <w:lang w:val="en-US" w:eastAsia="zh-CN"/>
              </w:rPr>
            </w:pPr>
            <w:r>
              <w:rPr>
                <w:rFonts w:hint="eastAsia" w:ascii="Times New Roman" w:hAnsi="Times New Roman" w:eastAsia="宋体" w:cs="宋体"/>
                <w:sz w:val="24"/>
                <w:szCs w:val="24"/>
                <w:lang w:val="en-US" w:eastAsia="zh-CN"/>
              </w:rPr>
              <w:t>九州一轨近年来持续深化“轨道交通高端装备制造+工业人工智能声纹数字化监测”协同发展战略，依托声学感知与智能算法的深厚技术积累，着力打造设施设备“声纹识别+智能诊断”一体化解决方案，并逐步向轨道交通运维监测、石油石化管网监测、电力设施健康诊断、重大基础设施安全预警等领域拓展，打造跨行业的智能监测生态系统，全面推进业务转型升级。在持续研发实践中，公司明确声纹数字化监测的核心竞争力集中于算法迭代优化与硬件适配集成能力，光纤作为光波的优良载体，是数字化监测的核心传输介质与感知载体，可实现光信号低损耗、远距离传输，进而构建“光纤传感+声纹识别”的数字化监测闭环。据此，公司2025年重点突破“高性能分布式光纤传感系统”自主研发工作，完成了自主数据采集卡的研发，并计划将基于ZYNQ（一种全可编程片上系统）芯片实现FPGA（现场可编程门阵列）+ARM（一种处理器的架构）集成，以实现消费级通感一体化分布式光纤传感产品，为此拟布局半导体封装与加工领域。基于上述技术研发突破与产业链布局需求，公司收购晶禧半导体，依托其激光隐形切割技术，向光纤及配套半导体器件加工领域延伸，融入“激光切割工艺→光纤传感芯片→声纹监测终端”的产业链，从而构建覆盖“感知—传输—分析—决策”全链条的智能监测生态，强化公司在工业AI声纹数字化监测领域的技术壁垒与市场竞争力。</w:t>
            </w:r>
          </w:p>
          <w:p w14:paraId="5A2D9E37">
            <w:pPr>
              <w:pStyle w:val="14"/>
              <w:numPr>
                <w:ilvl w:val="-1"/>
                <w:numId w:val="0"/>
              </w:numPr>
              <w:spacing w:beforeLines="50" w:afterLines="50" w:line="240" w:lineRule="auto"/>
              <w:ind w:left="23" w:right="23" w:firstLine="470" w:firstLineChars="200"/>
              <w:jc w:val="both"/>
              <w:rPr>
                <w:rFonts w:hint="eastAsia" w:ascii="Times New Roman" w:hAnsi="Times New Roman" w:eastAsia="宋体" w:cs="宋体"/>
                <w:b/>
                <w:bCs/>
                <w:spacing w:val="-3"/>
                <w:sz w:val="24"/>
                <w:szCs w:val="24"/>
              </w:rPr>
            </w:pPr>
            <w:r>
              <w:rPr>
                <w:rFonts w:hint="eastAsia" w:ascii="Times New Roman" w:hAnsi="Times New Roman" w:cs="宋体"/>
                <w:b/>
                <w:bCs/>
                <w:snapToGrid/>
                <w:color w:val="111111"/>
                <w:spacing w:val="-3"/>
                <w:sz w:val="24"/>
                <w:szCs w:val="24"/>
                <w:lang w:val="en-US" w:eastAsia="zh-CN" w:bidi="ar-SA"/>
              </w:rPr>
              <w:t>七</w:t>
            </w:r>
            <w:r>
              <w:rPr>
                <w:rFonts w:hint="eastAsia" w:ascii="Times New Roman" w:hAnsi="Times New Roman" w:eastAsia="宋体" w:cs="宋体"/>
                <w:b/>
                <w:bCs/>
                <w:snapToGrid/>
                <w:color w:val="111111"/>
                <w:spacing w:val="-3"/>
                <w:sz w:val="24"/>
                <w:szCs w:val="24"/>
                <w:lang w:val="en-US" w:eastAsia="zh-CN" w:bidi="ar-SA"/>
              </w:rPr>
              <w:t>、</w:t>
            </w:r>
            <w:r>
              <w:rPr>
                <w:rFonts w:hint="eastAsia" w:ascii="Times New Roman" w:hAnsi="Times New Roman" w:eastAsia="宋体" w:cs="宋体"/>
                <w:b/>
                <w:bCs/>
                <w:sz w:val="24"/>
                <w:szCs w:val="24"/>
              </w:rPr>
              <w:t>请问晶禧半导体目前的整合及经营情况如何</w:t>
            </w:r>
            <w:r>
              <w:rPr>
                <w:rFonts w:hint="eastAsia" w:ascii="Times New Roman" w:hAnsi="Times New Roman" w:eastAsia="宋体" w:cs="宋体"/>
                <w:b/>
                <w:bCs/>
                <w:sz w:val="24"/>
                <w:szCs w:val="24"/>
                <w:lang w:val="en-US" w:eastAsia="zh-CN"/>
              </w:rPr>
              <w:t>？</w:t>
            </w:r>
          </w:p>
          <w:p w14:paraId="1024313F">
            <w:pPr>
              <w:pStyle w:val="14"/>
              <w:spacing w:beforeLines="50" w:afterLines="50" w:line="240" w:lineRule="auto"/>
              <w:ind w:left="23" w:right="23" w:firstLine="400" w:firstLineChars="200"/>
              <w:jc w:val="both"/>
              <w:rPr>
                <w:rFonts w:hint="eastAsia" w:ascii="Times New Roman" w:hAnsi="Times New Roman" w:eastAsia="宋体" w:cs="宋体"/>
                <w:spacing w:val="-20"/>
                <w:sz w:val="24"/>
                <w:szCs w:val="24"/>
              </w:rPr>
            </w:pPr>
            <w:r>
              <w:rPr>
                <w:rFonts w:hint="eastAsia" w:ascii="Times New Roman" w:hAnsi="Times New Roman" w:eastAsia="宋体" w:cs="宋体"/>
                <w:spacing w:val="-20"/>
                <w:sz w:val="24"/>
                <w:szCs w:val="24"/>
              </w:rPr>
              <w:t>回复：</w:t>
            </w:r>
          </w:p>
          <w:p w14:paraId="34F8E93D">
            <w:pPr>
              <w:pStyle w:val="14"/>
              <w:spacing w:beforeLines="50" w:afterLines="50" w:line="240" w:lineRule="auto"/>
              <w:ind w:left="23" w:right="23" w:firstLine="480"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rPr>
              <w:t>公司于2026年完成对晶禧半导体100%股权的收购。2026年6月10日，晶禧半导体完成工商变更并正式成为公司全资子公司、纳入合并报表范围；</w:t>
            </w:r>
            <w:r>
              <w:rPr>
                <w:rFonts w:hint="eastAsia" w:ascii="Times New Roman" w:hAnsi="Times New Roman" w:eastAsia="宋体" w:cs="宋体"/>
                <w:sz w:val="24"/>
                <w:szCs w:val="24"/>
                <w:lang w:val="en-US" w:eastAsia="zh-CN"/>
              </w:rPr>
              <w:t>收购完成后公司</w:t>
            </w:r>
            <w:r>
              <w:rPr>
                <w:rFonts w:hint="eastAsia" w:ascii="Times New Roman" w:hAnsi="Times New Roman" w:eastAsia="宋体" w:cs="宋体"/>
                <w:sz w:val="24"/>
                <w:szCs w:val="24"/>
              </w:rPr>
              <w:t>对晶禧半导体实施增资，截至</w:t>
            </w:r>
            <w:r>
              <w:rPr>
                <w:rFonts w:hint="eastAsia" w:ascii="Times New Roman" w:hAnsi="Times New Roman" w:cs="宋体"/>
                <w:sz w:val="24"/>
                <w:szCs w:val="24"/>
                <w:lang w:val="en-US" w:eastAsia="zh-CN"/>
              </w:rPr>
              <w:t>2026年</w:t>
            </w:r>
            <w:r>
              <w:rPr>
                <w:rFonts w:hint="eastAsia" w:ascii="Times New Roman" w:hAnsi="Times New Roman" w:eastAsia="宋体" w:cs="宋体"/>
                <w:sz w:val="24"/>
                <w:szCs w:val="24"/>
              </w:rPr>
              <w:t>7月27日，其注册资本已增加至5,970万元。</w:t>
            </w:r>
          </w:p>
          <w:p w14:paraId="1FD6D72B">
            <w:pPr>
              <w:pStyle w:val="14"/>
              <w:spacing w:beforeLines="50" w:afterLines="50" w:line="240" w:lineRule="auto"/>
              <w:ind w:left="23" w:right="23" w:firstLine="480" w:firstLineChars="200"/>
              <w:jc w:val="both"/>
              <w:rPr>
                <w:rFonts w:hint="eastAsia" w:ascii="Times New Roman" w:hAnsi="Times New Roman" w:eastAsia="宋体" w:cs="宋体"/>
                <w:b w:val="0"/>
                <w:bCs w:val="0"/>
                <w:sz w:val="24"/>
                <w:szCs w:val="24"/>
              </w:rPr>
            </w:pPr>
            <w:r>
              <w:rPr>
                <w:rFonts w:hint="eastAsia" w:ascii="Times New Roman" w:hAnsi="Times New Roman" w:eastAsia="宋体" w:cs="宋体"/>
                <w:sz w:val="24"/>
                <w:szCs w:val="24"/>
              </w:rPr>
              <w:t>从经营情况来看，晶禧半导体目前主要聚焦AI及硅光领域微纳加工业务，核心产品及服务包括高精度激光隐形切割、AOI检测、分选以及晶圆减薄等全流程精密加工服务，相关技术已成功导入800G/1.6T光模块产线。</w:t>
            </w:r>
            <w:r>
              <w:rPr>
                <w:rFonts w:hint="eastAsia" w:ascii="Times New Roman" w:hAnsi="Times New Roman" w:eastAsia="宋体" w:cs="宋体"/>
                <w:b w:val="0"/>
                <w:bCs w:val="0"/>
                <w:sz w:val="24"/>
                <w:szCs w:val="24"/>
              </w:rPr>
              <w:t>自设立以来，晶禧半导体凭借优异的工艺精度</w:t>
            </w:r>
            <w:r>
              <w:rPr>
                <w:rFonts w:hint="eastAsia" w:ascii="Times New Roman" w:hAnsi="Times New Roman" w:cs="宋体"/>
                <w:b w:val="0"/>
                <w:bCs w:val="0"/>
                <w:sz w:val="24"/>
                <w:szCs w:val="24"/>
                <w:lang w:eastAsia="zh-CN"/>
              </w:rPr>
              <w:t>、</w:t>
            </w:r>
            <w:r>
              <w:rPr>
                <w:rFonts w:hint="eastAsia" w:ascii="Times New Roman" w:hAnsi="Times New Roman" w:eastAsia="宋体" w:cs="宋体"/>
                <w:b w:val="0"/>
                <w:bCs w:val="0"/>
                <w:sz w:val="24"/>
                <w:szCs w:val="24"/>
              </w:rPr>
              <w:t>制程稳定性</w:t>
            </w:r>
            <w:r>
              <w:rPr>
                <w:rFonts w:hint="eastAsia" w:ascii="Times New Roman" w:hAnsi="Times New Roman" w:cs="宋体"/>
                <w:b w:val="0"/>
                <w:bCs w:val="0"/>
                <w:sz w:val="24"/>
                <w:szCs w:val="24"/>
                <w:lang w:val="en-US" w:eastAsia="zh-CN"/>
              </w:rPr>
              <w:t>以及</w:t>
            </w:r>
            <w:r>
              <w:rPr>
                <w:rFonts w:ascii="宋体" w:hAnsi="宋体" w:eastAsia="宋体" w:cs="宋体"/>
                <w:sz w:val="24"/>
                <w:szCs w:val="24"/>
              </w:rPr>
              <w:t>“设计阶段介入”的服务模式</w:t>
            </w:r>
            <w:r>
              <w:rPr>
                <w:rFonts w:hint="eastAsia" w:ascii="Times New Roman" w:hAnsi="Times New Roman" w:eastAsia="宋体" w:cs="宋体"/>
                <w:b w:val="0"/>
                <w:bCs w:val="0"/>
                <w:sz w:val="24"/>
                <w:szCs w:val="24"/>
              </w:rPr>
              <w:t>，持续为硅光芯片、光模块领域的头部企业提供硅光晶圆高精度隐形切割服务，已成为激光隐形切割技术在光模块/光通信领域的重要产业化应用平台。</w:t>
            </w:r>
          </w:p>
          <w:p w14:paraId="4B968DBA">
            <w:pPr>
              <w:pStyle w:val="14"/>
              <w:spacing w:beforeLines="50" w:afterLines="50" w:line="240" w:lineRule="auto"/>
              <w:ind w:left="23" w:right="23" w:firstLine="480"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rPr>
              <w:t>公司将持续关注并购后的组织管理、业务流程和企业文化融合情况，稳妥推进投后整合。</w:t>
            </w:r>
          </w:p>
          <w:p w14:paraId="682D5CB3">
            <w:pPr>
              <w:pStyle w:val="14"/>
              <w:numPr>
                <w:ilvl w:val="0"/>
                <w:numId w:val="0"/>
              </w:numPr>
              <w:ind w:firstLine="482" w:firstLineChars="200"/>
              <w:jc w:val="both"/>
              <w:rPr>
                <w:rFonts w:hint="eastAsia" w:ascii="宋体" w:hAnsi="宋体" w:eastAsia="宋体" w:cs="宋体"/>
                <w:b/>
                <w:bCs/>
                <w:sz w:val="24"/>
                <w:szCs w:val="24"/>
                <w:lang w:val="en-US" w:eastAsia="zh-CN"/>
              </w:rPr>
            </w:pPr>
            <w:r>
              <w:rPr>
                <w:rFonts w:hint="eastAsia" w:ascii="宋体" w:hAnsi="宋体" w:cs="宋体"/>
                <w:b/>
                <w:bCs/>
                <w:snapToGrid/>
                <w:color w:val="111111"/>
                <w:sz w:val="24"/>
                <w:szCs w:val="24"/>
                <w:lang w:val="en-US" w:eastAsia="zh-CN" w:bidi="ar-SA"/>
              </w:rPr>
              <w:t>八</w:t>
            </w:r>
            <w:r>
              <w:rPr>
                <w:rFonts w:hint="eastAsia" w:ascii="宋体" w:hAnsi="宋体" w:eastAsia="宋体" w:cs="宋体"/>
                <w:b/>
                <w:bCs/>
                <w:snapToGrid/>
                <w:color w:val="111111"/>
                <w:sz w:val="24"/>
                <w:szCs w:val="24"/>
                <w:lang w:val="en-US" w:eastAsia="zh-CN" w:bidi="ar-SA"/>
              </w:rPr>
              <w:t>、</w:t>
            </w:r>
            <w:r>
              <w:rPr>
                <w:rFonts w:hint="eastAsia" w:ascii="宋体" w:hAnsi="宋体" w:eastAsia="宋体" w:cs="宋体"/>
                <w:b/>
                <w:bCs/>
                <w:sz w:val="24"/>
                <w:szCs w:val="24"/>
              </w:rPr>
              <w:t>请问在半导体行业资本开支持续增长和技术迭代加速的背景下，晶禧面临哪些发展机遇？</w:t>
            </w:r>
          </w:p>
          <w:p w14:paraId="0565D000">
            <w:pPr>
              <w:pStyle w:val="14"/>
              <w:ind w:firstLine="400" w:firstLineChars="200"/>
              <w:jc w:val="both"/>
              <w:rPr>
                <w:rFonts w:hint="eastAsia" w:ascii="宋体" w:hAnsi="宋体" w:eastAsia="宋体" w:cs="宋体"/>
                <w:sz w:val="24"/>
                <w:szCs w:val="24"/>
                <w:lang w:val="en-US" w:eastAsia="zh-CN"/>
              </w:rPr>
            </w:pPr>
            <w:r>
              <w:rPr>
                <w:rFonts w:hint="eastAsia" w:ascii="宋体" w:hAnsi="宋体" w:eastAsia="宋体" w:cs="宋体"/>
                <w:spacing w:val="-20"/>
                <w:sz w:val="24"/>
                <w:szCs w:val="24"/>
              </w:rPr>
              <w:t>回复：</w:t>
            </w:r>
          </w:p>
          <w:p w14:paraId="04EDD509">
            <w:pPr>
              <w:keepNext w:val="0"/>
              <w:keepLines w:val="0"/>
              <w:widowControl/>
              <w:suppressLineNumbers w:val="0"/>
              <w:ind w:firstLine="480" w:firstLineChars="200"/>
              <w:jc w:val="left"/>
              <w:rPr>
                <w:rFonts w:hint="eastAsia" w:ascii="Times New Roman" w:hAnsi="Times New Roman" w:eastAsia="宋体" w:cs="宋体"/>
                <w:sz w:val="24"/>
                <w:szCs w:val="24"/>
                <w:lang w:val="en-US" w:eastAsia="zh-CN"/>
              </w:rPr>
            </w:pPr>
            <w:r>
              <w:rPr>
                <w:rFonts w:ascii="宋体" w:hAnsi="宋体" w:eastAsia="宋体" w:cs="宋体"/>
                <w:sz w:val="24"/>
                <w:szCs w:val="24"/>
              </w:rPr>
              <w:t>半导体行业正处于资本开支</w:t>
            </w:r>
            <w:r>
              <w:rPr>
                <w:rFonts w:hint="eastAsia" w:ascii="宋体" w:hAnsi="宋体" w:eastAsia="宋体" w:cs="宋体"/>
                <w:sz w:val="24"/>
                <w:szCs w:val="24"/>
              </w:rPr>
              <w:t>持续增长</w:t>
            </w:r>
            <w:r>
              <w:rPr>
                <w:rFonts w:ascii="宋体" w:hAnsi="宋体" w:eastAsia="宋体" w:cs="宋体"/>
                <w:sz w:val="24"/>
                <w:szCs w:val="24"/>
              </w:rPr>
              <w:t>与技术迭代加速的双重周期。</w:t>
            </w:r>
            <w:r>
              <w:rPr>
                <w:rFonts w:hint="eastAsia" w:ascii="宋体" w:hAnsi="宋体" w:eastAsia="宋体" w:cs="宋体"/>
                <w:sz w:val="24"/>
                <w:szCs w:val="24"/>
                <w:lang w:val="en-US" w:eastAsia="zh-CN"/>
              </w:rPr>
              <w:t>从需求端看，SEMI数据显示全球半导体设备市场在2025年达到约1351亿美元的历史高位，</w:t>
            </w:r>
            <w:r>
              <w:rPr>
                <w:rFonts w:ascii="宋体" w:hAnsi="宋体" w:eastAsia="宋体" w:cs="宋体"/>
                <w:sz w:val="24"/>
                <w:szCs w:val="24"/>
              </w:rPr>
              <w:t>2026年前道晶圆厂设备投资预计约1330亿美元并延续增长，前道产能扩张将逐步传导至后道环节，</w:t>
            </w:r>
            <w:r>
              <w:rPr>
                <w:rFonts w:hint="eastAsia" w:ascii="宋体" w:hAnsi="宋体" w:eastAsia="宋体" w:cs="宋体"/>
                <w:sz w:val="24"/>
                <w:szCs w:val="24"/>
                <w:lang w:val="en-US" w:eastAsia="zh-CN"/>
              </w:rPr>
              <w:t>带动晶圆加工、切割分割、洁净制造等配套服务需求稳步增长；</w:t>
            </w:r>
            <w:r>
              <w:rPr>
                <w:rFonts w:ascii="宋体" w:hAnsi="宋体" w:eastAsia="宋体" w:cs="宋体"/>
                <w:sz w:val="24"/>
                <w:szCs w:val="24"/>
              </w:rPr>
              <w:t>从技术端看，</w:t>
            </w:r>
            <w:r>
              <w:rPr>
                <w:rFonts w:hint="eastAsia" w:ascii="宋体" w:hAnsi="宋体" w:eastAsia="宋体" w:cs="宋体"/>
                <w:snapToGrid w:val="0"/>
                <w:color w:val="000000"/>
                <w:kern w:val="0"/>
                <w:sz w:val="24"/>
                <w:szCs w:val="24"/>
                <w:lang w:val="en-US" w:eastAsia="zh-CN" w:bidi="ar"/>
              </w:rPr>
              <w:t>晶圆切割及分割工序是半导体制造流程中连接晶圆制造与封装测试的关键环节，其加工质量直接影响芯片良率、可靠性以及后续封装的一致性。随着半导体器件向高集成度、薄型化及多样化结构发展，晶圆在加工阶段对边缘完整性、应力控制和微缺陷抑制的要求显著提高。在此背景下，传统机械切割工艺在崩边、微裂纹及切缝损耗等方面的局限逐步显现，先进激光隐形切割工艺以其精度高、热影响区小、良率优等显著优势在部分应用场景中成为重要替代方案。</w:t>
            </w:r>
            <w:r>
              <w:rPr>
                <w:rFonts w:ascii="宋体" w:hAnsi="宋体" w:eastAsia="宋体" w:cs="宋体"/>
                <w:sz w:val="24"/>
                <w:szCs w:val="24"/>
              </w:rPr>
              <w:t>受益于新能源汽车、AI算力芯片、消费电子升级等下游需求拉动，</w:t>
            </w:r>
            <w:r>
              <w:rPr>
                <w:rFonts w:hint="eastAsia" w:ascii="宋体" w:hAnsi="宋体" w:eastAsia="宋体" w:cs="宋体"/>
                <w:snapToGrid w:val="0"/>
                <w:color w:val="000000"/>
                <w:kern w:val="0"/>
                <w:sz w:val="24"/>
                <w:szCs w:val="24"/>
                <w:lang w:val="en-US" w:eastAsia="zh-CN" w:bidi="ar"/>
              </w:rPr>
              <w:t>晶禧半导体所在的激光隐形切割细分赛道有望迎来结构性增长机遇。</w:t>
            </w:r>
          </w:p>
          <w:p w14:paraId="527CA37F">
            <w:pPr>
              <w:pStyle w:val="14"/>
              <w:numPr>
                <w:ilvl w:val="0"/>
                <w:numId w:val="0"/>
              </w:numPr>
              <w:spacing w:beforeLines="50" w:afterLines="50" w:line="240" w:lineRule="auto"/>
              <w:ind w:left="23" w:right="23" w:firstLine="482" w:firstLineChars="200"/>
              <w:jc w:val="both"/>
              <w:rPr>
                <w:rFonts w:hint="default" w:ascii="Times New Roman" w:hAnsi="Times New Roman" w:eastAsia="宋体" w:cs="宋体"/>
                <w:b/>
                <w:bCs/>
                <w:snapToGrid/>
                <w:color w:val="111111"/>
                <w:sz w:val="24"/>
                <w:szCs w:val="24"/>
                <w:lang w:val="en-US" w:eastAsia="zh-CN" w:bidi="ar-SA"/>
              </w:rPr>
            </w:pPr>
            <w:r>
              <w:rPr>
                <w:rFonts w:hint="eastAsia" w:ascii="Times New Roman" w:hAnsi="Times New Roman" w:cs="宋体"/>
                <w:b/>
                <w:bCs/>
                <w:snapToGrid/>
                <w:color w:val="111111"/>
                <w:sz w:val="24"/>
                <w:szCs w:val="24"/>
                <w:lang w:val="en-US" w:eastAsia="zh-CN" w:bidi="ar-SA"/>
              </w:rPr>
              <w:t>九</w:t>
            </w:r>
            <w:r>
              <w:rPr>
                <w:rFonts w:hint="eastAsia" w:ascii="Times New Roman" w:hAnsi="Times New Roman" w:eastAsia="宋体" w:cs="宋体"/>
                <w:b/>
                <w:bCs/>
                <w:snapToGrid/>
                <w:color w:val="111111"/>
                <w:sz w:val="24"/>
                <w:szCs w:val="24"/>
                <w:lang w:val="en-US" w:eastAsia="zh-CN" w:bidi="ar-SA"/>
              </w:rPr>
              <w:t>、</w:t>
            </w:r>
            <w:r>
              <w:rPr>
                <w:rFonts w:hint="eastAsia" w:ascii="Times New Roman" w:hAnsi="Times New Roman" w:cs="宋体"/>
                <w:b/>
                <w:bCs/>
                <w:snapToGrid/>
                <w:color w:val="111111"/>
                <w:sz w:val="24"/>
                <w:szCs w:val="24"/>
                <w:lang w:val="en-US" w:eastAsia="zh-CN" w:bidi="ar-SA"/>
              </w:rPr>
              <w:t>公司设立合资公司，</w:t>
            </w:r>
            <w:r>
              <w:rPr>
                <w:rFonts w:hint="eastAsia" w:ascii="Times New Roman" w:hAnsi="Times New Roman" w:eastAsia="宋体" w:cs="宋体"/>
                <w:b/>
                <w:bCs/>
                <w:snapToGrid/>
                <w:color w:val="111111"/>
                <w:sz w:val="24"/>
                <w:szCs w:val="24"/>
                <w:lang w:val="en-US" w:eastAsia="zh-CN" w:bidi="ar-SA"/>
              </w:rPr>
              <w:t>布局金刚石半导体业务主要有哪些考虑？</w:t>
            </w:r>
          </w:p>
          <w:p w14:paraId="0C451C16">
            <w:pPr>
              <w:pStyle w:val="14"/>
              <w:spacing w:beforeLines="50" w:afterLines="50" w:line="240" w:lineRule="auto"/>
              <w:ind w:left="23" w:right="23" w:firstLine="480" w:firstLineChars="200"/>
              <w:jc w:val="both"/>
              <w:rPr>
                <w:rFonts w:hint="default" w:ascii="Times New Roman" w:hAnsi="Times New Roman" w:cs="宋体"/>
                <w:sz w:val="24"/>
                <w:szCs w:val="24"/>
                <w:lang w:val="en-US" w:eastAsia="zh-CN"/>
              </w:rPr>
            </w:pPr>
            <w:r>
              <w:rPr>
                <w:rFonts w:hint="eastAsia" w:ascii="Times New Roman" w:hAnsi="Times New Roman" w:cs="宋体"/>
                <w:sz w:val="24"/>
                <w:szCs w:val="24"/>
                <w:lang w:val="en-US" w:eastAsia="zh-CN"/>
              </w:rPr>
              <w:t>回复：</w:t>
            </w:r>
          </w:p>
          <w:p w14:paraId="25838047">
            <w:pPr>
              <w:pStyle w:val="14"/>
              <w:spacing w:beforeLines="50" w:afterLines="50" w:line="240" w:lineRule="auto"/>
              <w:ind w:left="23" w:right="23" w:firstLine="480" w:firstLineChars="200"/>
              <w:jc w:val="both"/>
              <w:rPr>
                <w:rFonts w:hint="eastAsia" w:ascii="Times New Roman" w:hAnsi="Times New Roman" w:eastAsia="宋体" w:cs="宋体"/>
                <w:sz w:val="24"/>
                <w:szCs w:val="24"/>
                <w:lang w:val="en-US" w:eastAsia="zh-CN"/>
              </w:rPr>
            </w:pPr>
            <w:r>
              <w:rPr>
                <w:rFonts w:hint="eastAsia" w:ascii="Times New Roman" w:hAnsi="Times New Roman" w:cs="宋体"/>
                <w:sz w:val="24"/>
                <w:szCs w:val="24"/>
                <w:lang w:val="en-US" w:eastAsia="zh-CN"/>
              </w:rPr>
              <w:t>北</w:t>
            </w:r>
            <w:r>
              <w:rPr>
                <w:rFonts w:hint="eastAsia" w:ascii="Times New Roman" w:hAnsi="Times New Roman" w:eastAsia="宋体" w:cs="宋体"/>
                <w:sz w:val="24"/>
                <w:szCs w:val="24"/>
                <w:lang w:val="en-US" w:eastAsia="zh-CN"/>
              </w:rPr>
              <w:t>京通创九州金刚石科技有限公司</w:t>
            </w:r>
            <w:r>
              <w:rPr>
                <w:rFonts w:hint="eastAsia" w:ascii="Times New Roman" w:hAnsi="Times New Roman" w:cs="宋体"/>
                <w:sz w:val="24"/>
                <w:szCs w:val="24"/>
                <w:lang w:eastAsia="zh-CN"/>
              </w:rPr>
              <w:t>是公司与江苏通用半导体共同设立的合资公司，注册资本2亿元，公司持股40%，主要围绕第四代半导体材料金刚石的研发、制造及加工，以及在轨道交通、声纹传感等终端领域的产业化应用开展业务。</w:t>
            </w:r>
          </w:p>
          <w:p w14:paraId="2EB0E433">
            <w:pPr>
              <w:pStyle w:val="14"/>
              <w:spacing w:beforeLines="50" w:afterLines="50" w:line="240" w:lineRule="auto"/>
              <w:ind w:left="23" w:right="23" w:firstLine="480"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lang w:val="en-US" w:eastAsia="zh-CN"/>
              </w:rPr>
              <w:t>公司对外投资设立北京通创九州金刚石科技有限公司的主要原因为：一方面，公司2025年重点突破“高性能分布式光纤传感系统”自主研发工作，在研究过程中意识到片上集成克尔光频梳是光频梳的新一代分布式光纤传感技术产业化的关键，这一技术的成熟化高度依赖碳化硅、金刚石等基底晶圆的制备与加工。另外在油气田等高温环境领域，基于碳化硅、金刚石等衬底的光纤传感器在温度和压力监测中的应用也是重要研究方向；另一方面，近年来功能性金刚石的战略地位进一步升级，九州一轨顺应第四代半导体材料金刚石的发展契机，提前布局契合国家战略的蓝海市场。</w:t>
            </w:r>
          </w:p>
          <w:p w14:paraId="64431608">
            <w:pPr>
              <w:pStyle w:val="14"/>
              <w:numPr>
                <w:ilvl w:val="-1"/>
                <w:numId w:val="0"/>
              </w:numPr>
              <w:spacing w:beforeLines="50" w:afterLines="50" w:line="240" w:lineRule="auto"/>
              <w:ind w:left="23" w:right="23" w:firstLine="482" w:firstLineChars="200"/>
              <w:jc w:val="both"/>
              <w:rPr>
                <w:rFonts w:hint="eastAsia" w:ascii="Times New Roman" w:hAnsi="Times New Roman" w:eastAsia="宋体" w:cs="宋体"/>
                <w:b/>
                <w:bCs/>
                <w:sz w:val="24"/>
                <w:szCs w:val="24"/>
                <w:lang w:val="en-US" w:eastAsia="zh-CN"/>
              </w:rPr>
            </w:pPr>
            <w:r>
              <w:rPr>
                <w:rFonts w:hint="eastAsia" w:ascii="Times New Roman" w:hAnsi="Times New Roman" w:eastAsia="宋体" w:cs="宋体"/>
                <w:b/>
                <w:bCs/>
                <w:snapToGrid/>
                <w:color w:val="111111"/>
                <w:sz w:val="24"/>
                <w:szCs w:val="24"/>
                <w:lang w:val="en-US" w:eastAsia="zh-CN" w:bidi="ar-SA"/>
              </w:rPr>
              <w:t>十、</w:t>
            </w:r>
            <w:r>
              <w:rPr>
                <w:rFonts w:hint="eastAsia" w:ascii="Times New Roman" w:hAnsi="Times New Roman" w:eastAsia="宋体" w:cs="宋体"/>
                <w:b/>
                <w:bCs/>
                <w:sz w:val="24"/>
                <w:szCs w:val="24"/>
                <w:lang w:val="en-US" w:eastAsia="zh-CN"/>
              </w:rPr>
              <w:t>请介绍公司未来发展战略？</w:t>
            </w:r>
          </w:p>
          <w:p w14:paraId="10A81055">
            <w:pPr>
              <w:pStyle w:val="14"/>
              <w:spacing w:beforeLines="50" w:afterLines="50" w:line="240" w:lineRule="auto"/>
              <w:ind w:left="23" w:right="23" w:firstLine="480" w:firstLineChars="200"/>
              <w:jc w:val="both"/>
              <w:rPr>
                <w:rFonts w:hint="eastAsia" w:ascii="Times New Roman" w:hAnsi="Times New Roman" w:eastAsia="宋体" w:cs="宋体"/>
                <w:b w:val="0"/>
                <w:bCs w:val="0"/>
                <w:sz w:val="24"/>
                <w:szCs w:val="24"/>
                <w:lang w:val="en-US" w:eastAsia="zh-CN"/>
              </w:rPr>
            </w:pPr>
            <w:r>
              <w:rPr>
                <w:rFonts w:hint="eastAsia" w:ascii="Times New Roman" w:hAnsi="Times New Roman" w:eastAsia="宋体" w:cs="宋体"/>
                <w:b w:val="0"/>
                <w:bCs w:val="0"/>
                <w:sz w:val="24"/>
                <w:szCs w:val="24"/>
                <w:lang w:val="en-US" w:eastAsia="zh-CN"/>
              </w:rPr>
              <w:t>回复：</w:t>
            </w:r>
          </w:p>
          <w:p w14:paraId="6422B3F5">
            <w:pPr>
              <w:pStyle w:val="14"/>
              <w:spacing w:beforeLines="50" w:afterLines="50"/>
              <w:ind w:left="23" w:right="23" w:firstLine="480" w:firstLineChars="200"/>
              <w:jc w:val="both"/>
              <w:rPr>
                <w:rFonts w:hint="eastAsia" w:ascii="Times New Roman" w:hAnsi="Times New Roman" w:eastAsia="宋体" w:cs="宋体"/>
                <w:sz w:val="24"/>
                <w:szCs w:val="24"/>
                <w:lang w:val="en-US" w:eastAsia="zh-CN"/>
              </w:rPr>
            </w:pPr>
            <w:r>
              <w:rPr>
                <w:rFonts w:hint="eastAsia" w:ascii="Times New Roman" w:hAnsi="Times New Roman" w:eastAsia="宋体" w:cs="宋体"/>
                <w:sz w:val="24"/>
                <w:szCs w:val="24"/>
              </w:rPr>
              <w:t>公司将</w:t>
            </w:r>
            <w:r>
              <w:rPr>
                <w:rFonts w:ascii="宋体" w:hAnsi="宋体" w:eastAsia="宋体" w:cs="宋体"/>
                <w:sz w:val="24"/>
                <w:szCs w:val="24"/>
              </w:rPr>
              <w:t>继续围绕“一核两翼多板块”业务格局，在巩固轨道交通减振降噪主业的基础上，以技术创新和产业协同为驱动，推动传统业务与新兴业务协同发展</w:t>
            </w:r>
            <w:r>
              <w:rPr>
                <w:rFonts w:hint="eastAsia" w:ascii="Times New Roman" w:hAnsi="Times New Roman" w:eastAsia="宋体" w:cs="宋体"/>
                <w:sz w:val="24"/>
                <w:szCs w:val="24"/>
              </w:rPr>
              <w:t>。一是稳步夯实轨道交通减振降噪主业，持续拓宽市场布局，加快聚氨酯新材料等产品在建筑减振等新场景的应用推广；二是</w:t>
            </w:r>
            <w:r>
              <w:rPr>
                <w:rFonts w:hint="eastAsia" w:ascii="Times New Roman" w:hAnsi="Times New Roman" w:cs="宋体"/>
                <w:sz w:val="24"/>
                <w:szCs w:val="24"/>
                <w:lang w:val="en-US" w:eastAsia="zh-CN"/>
              </w:rPr>
              <w:t>持续</w:t>
            </w:r>
            <w:r>
              <w:rPr>
                <w:rFonts w:ascii="宋体" w:hAnsi="宋体" w:eastAsia="宋体" w:cs="宋体"/>
                <w:sz w:val="24"/>
                <w:szCs w:val="24"/>
              </w:rPr>
              <w:t>推进工业人工智能与轨道交通的深度融合</w:t>
            </w:r>
            <w:r>
              <w:rPr>
                <w:rFonts w:hint="eastAsia" w:ascii="Times New Roman" w:hAnsi="Times New Roman" w:eastAsia="宋体" w:cs="宋体"/>
                <w:sz w:val="24"/>
                <w:szCs w:val="24"/>
              </w:rPr>
              <w:t>，加速推进声纹数字化监测与智慧运维业务的产业化落地，深化</w:t>
            </w:r>
            <w:r>
              <w:rPr>
                <w:rFonts w:hint="eastAsia" w:ascii="Times New Roman" w:hAnsi="Times New Roman" w:eastAsia="宋体" w:cs="宋体"/>
                <w:sz w:val="24"/>
                <w:szCs w:val="24"/>
                <w:lang w:eastAsia="zh-CN"/>
              </w:rPr>
              <w:t>“</w:t>
            </w:r>
            <w:r>
              <w:rPr>
                <w:rFonts w:hint="eastAsia" w:ascii="Times New Roman" w:hAnsi="Times New Roman" w:eastAsia="宋体" w:cs="宋体"/>
                <w:sz w:val="24"/>
                <w:szCs w:val="24"/>
              </w:rPr>
              <w:t>光纤传感+声纹识别</w:t>
            </w:r>
            <w:r>
              <w:rPr>
                <w:rFonts w:hint="eastAsia" w:ascii="Times New Roman" w:hAnsi="Times New Roman" w:eastAsia="宋体" w:cs="宋体"/>
                <w:sz w:val="24"/>
                <w:szCs w:val="24"/>
                <w:lang w:eastAsia="zh-CN"/>
              </w:rPr>
              <w:t>”</w:t>
            </w:r>
            <w:r>
              <w:rPr>
                <w:rFonts w:hint="eastAsia" w:ascii="Times New Roman" w:hAnsi="Times New Roman" w:eastAsia="宋体" w:cs="宋体"/>
                <w:sz w:val="24"/>
                <w:szCs w:val="24"/>
              </w:rPr>
              <w:t>技术闭环建设；三是把握半导体产业发展机遇，依托晶禧半导体的激光隐形切割加工能力及与通用半导体合资设立的通创九州平台，稳步推进硅光芯片加工服务及第四代半导体材料金刚石相关业务的产业化布局；四是持续推进国际化战略，围绕</w:t>
            </w:r>
            <w:r>
              <w:rPr>
                <w:rFonts w:hint="eastAsia" w:ascii="Times New Roman" w:hAnsi="Times New Roman" w:cs="宋体"/>
                <w:sz w:val="24"/>
                <w:szCs w:val="24"/>
                <w:lang w:eastAsia="zh-CN"/>
              </w:rPr>
              <w:t>“</w:t>
            </w:r>
            <w:r>
              <w:rPr>
                <w:rFonts w:hint="eastAsia" w:ascii="Times New Roman" w:hAnsi="Times New Roman" w:eastAsia="宋体" w:cs="宋体"/>
                <w:sz w:val="24"/>
                <w:szCs w:val="24"/>
              </w:rPr>
              <w:t>一带一路</w:t>
            </w:r>
            <w:r>
              <w:rPr>
                <w:rFonts w:hint="eastAsia" w:ascii="Times New Roman" w:hAnsi="Times New Roman" w:cs="宋体"/>
                <w:sz w:val="24"/>
                <w:szCs w:val="24"/>
                <w:lang w:eastAsia="zh-CN"/>
              </w:rPr>
              <w:t>”</w:t>
            </w:r>
            <w:r>
              <w:rPr>
                <w:rFonts w:hint="eastAsia" w:ascii="Times New Roman" w:hAnsi="Times New Roman" w:eastAsia="宋体" w:cs="宋体"/>
                <w:sz w:val="24"/>
                <w:szCs w:val="24"/>
              </w:rPr>
              <w:t>沿线市场，探索技术输出、联合研发、本地化服务等多种合作模式，逐步构建覆盖重点区域的海外业务网络。</w:t>
            </w:r>
          </w:p>
        </w:tc>
      </w:tr>
      <w:tr w14:paraId="62062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2171" w:type="dxa"/>
            <w:vAlign w:val="center"/>
          </w:tcPr>
          <w:p w14:paraId="35C45A1D">
            <w:pPr>
              <w:pStyle w:val="13"/>
              <w:autoSpaceDE/>
              <w:autoSpaceDN/>
              <w:spacing w:before="0" w:line="240" w:lineRule="auto"/>
              <w:ind w:left="0" w:right="0" w:firstLine="0"/>
              <w:jc w:val="center"/>
              <w:rPr>
                <w:rFonts w:hint="eastAsia" w:ascii="Times New Roman" w:hAnsi="Times New Roman" w:eastAsia="宋体" w:cs="宋体"/>
                <w:b/>
                <w:bCs/>
                <w:spacing w:val="-4"/>
                <w:sz w:val="24"/>
                <w:szCs w:val="24"/>
                <w:lang w:eastAsia="zh-CN"/>
              </w:rPr>
            </w:pPr>
            <w:r>
              <w:rPr>
                <w:rFonts w:hint="eastAsia" w:ascii="Times New Roman" w:hAnsi="Times New Roman"/>
                <w:b/>
                <w:bCs/>
                <w:spacing w:val="-28"/>
                <w:lang w:eastAsia="zh-CN"/>
              </w:rPr>
              <w:t>是否涉及应当披露的重大信息</w:t>
            </w:r>
          </w:p>
        </w:tc>
        <w:tc>
          <w:tcPr>
            <w:tcW w:w="6124" w:type="dxa"/>
            <w:gridSpan w:val="2"/>
            <w:vAlign w:val="top"/>
          </w:tcPr>
          <w:p w14:paraId="3EF3A0BD">
            <w:pPr>
              <w:pStyle w:val="14"/>
              <w:spacing w:beforeLines="50" w:afterLines="50"/>
              <w:ind w:left="23" w:right="23" w:firstLine="2880" w:firstLineChars="1200"/>
              <w:jc w:val="both"/>
              <w:rPr>
                <w:rFonts w:hint="eastAsia" w:ascii="Times New Roman" w:hAnsi="Times New Roman" w:eastAsia="宋体" w:cs="宋体"/>
                <w:sz w:val="24"/>
                <w:szCs w:val="24"/>
                <w:lang w:val="en-US" w:eastAsia="zh-CN"/>
              </w:rPr>
            </w:pPr>
            <w:r>
              <w:rPr>
                <w:rFonts w:hint="eastAsia" w:ascii="Times New Roman" w:hAnsi="Times New Roman" w:cs="宋体"/>
                <w:sz w:val="24"/>
                <w:szCs w:val="24"/>
                <w:lang w:val="en-US" w:eastAsia="zh-CN"/>
              </w:rPr>
              <w:t>否</w:t>
            </w:r>
          </w:p>
        </w:tc>
      </w:tr>
      <w:tr w14:paraId="55431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7" w:hRule="atLeast"/>
        </w:trPr>
        <w:tc>
          <w:tcPr>
            <w:tcW w:w="2171" w:type="dxa"/>
            <w:vAlign w:val="center"/>
          </w:tcPr>
          <w:p w14:paraId="31022D0C">
            <w:pPr>
              <w:pStyle w:val="13"/>
              <w:spacing w:before="0" w:line="240" w:lineRule="auto"/>
              <w:jc w:val="center"/>
              <w:rPr>
                <w:rFonts w:hint="eastAsia" w:ascii="Times New Roman" w:hAnsi="Times New Roman" w:eastAsia="宋体" w:cs="宋体"/>
                <w:sz w:val="24"/>
                <w:szCs w:val="24"/>
                <w:lang w:eastAsia="zh-CN"/>
              </w:rPr>
            </w:pPr>
            <w:r>
              <w:rPr>
                <w:rFonts w:hint="eastAsia" w:ascii="Times New Roman" w:hAnsi="Times New Roman" w:eastAsia="宋体" w:cs="宋体"/>
                <w:b/>
                <w:bCs/>
                <w:spacing w:val="-28"/>
                <w:sz w:val="24"/>
                <w:szCs w:val="24"/>
                <w:lang w:eastAsia="zh-CN"/>
              </w:rPr>
              <w:t>附件清单（如有）</w:t>
            </w:r>
          </w:p>
        </w:tc>
        <w:tc>
          <w:tcPr>
            <w:tcW w:w="6124" w:type="dxa"/>
            <w:gridSpan w:val="2"/>
            <w:vAlign w:val="center"/>
          </w:tcPr>
          <w:p w14:paraId="407B4CEE">
            <w:pPr>
              <w:pStyle w:val="13"/>
              <w:spacing w:before="0" w:line="240" w:lineRule="auto"/>
              <w:ind w:left="0"/>
              <w:jc w:val="center"/>
              <w:rPr>
                <w:rFonts w:hint="eastAsia" w:ascii="Times New Roman" w:hAnsi="Times New Roman" w:eastAsia="宋体" w:cs="宋体"/>
                <w:sz w:val="24"/>
                <w:szCs w:val="24"/>
                <w:lang w:eastAsia="zh-CN"/>
              </w:rPr>
            </w:pPr>
            <w:r>
              <w:rPr>
                <w:rFonts w:hint="eastAsia" w:ascii="Times New Roman" w:hAnsi="Times New Roman" w:eastAsia="宋体" w:cs="宋体"/>
                <w:sz w:val="24"/>
                <w:szCs w:val="24"/>
              </w:rPr>
              <w:t>无</w:t>
            </w:r>
          </w:p>
        </w:tc>
      </w:tr>
      <w:tr w14:paraId="60C5A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7" w:hRule="atLeast"/>
        </w:trPr>
        <w:tc>
          <w:tcPr>
            <w:tcW w:w="2171" w:type="dxa"/>
            <w:vAlign w:val="center"/>
          </w:tcPr>
          <w:p w14:paraId="76C7A8BC">
            <w:pPr>
              <w:pStyle w:val="13"/>
              <w:spacing w:before="0" w:line="240" w:lineRule="auto"/>
              <w:ind w:left="0"/>
              <w:jc w:val="center"/>
              <w:rPr>
                <w:rFonts w:hint="eastAsia" w:ascii="Times New Roman" w:hAnsi="Times New Roman" w:eastAsia="宋体" w:cs="宋体"/>
                <w:sz w:val="24"/>
                <w:szCs w:val="24"/>
              </w:rPr>
            </w:pPr>
            <w:r>
              <w:rPr>
                <w:rFonts w:hint="eastAsia" w:ascii="Times New Roman" w:hAnsi="Times New Roman" w:eastAsia="宋体" w:cs="宋体"/>
                <w:b/>
                <w:bCs/>
                <w:spacing w:val="-28"/>
                <w:sz w:val="24"/>
                <w:szCs w:val="24"/>
              </w:rPr>
              <w:t>日期</w:t>
            </w:r>
          </w:p>
        </w:tc>
        <w:tc>
          <w:tcPr>
            <w:tcW w:w="6124" w:type="dxa"/>
            <w:gridSpan w:val="2"/>
            <w:vAlign w:val="center"/>
          </w:tcPr>
          <w:p w14:paraId="146E2672">
            <w:pPr>
              <w:pStyle w:val="13"/>
              <w:spacing w:before="0" w:line="240" w:lineRule="auto"/>
              <w:ind w:left="0"/>
              <w:jc w:val="center"/>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202</w:t>
            </w:r>
            <w:r>
              <w:rPr>
                <w:rFonts w:hint="eastAsia" w:ascii="Times New Roman" w:hAnsi="Times New Roman" w:eastAsia="宋体" w:cs="宋体"/>
                <w:sz w:val="24"/>
                <w:szCs w:val="24"/>
                <w:lang w:val="en-US" w:eastAsia="zh-CN"/>
              </w:rPr>
              <w:t>6</w:t>
            </w:r>
            <w:r>
              <w:rPr>
                <w:rFonts w:hint="eastAsia" w:ascii="Times New Roman" w:hAnsi="Times New Roman" w:eastAsia="宋体" w:cs="宋体"/>
                <w:sz w:val="24"/>
                <w:szCs w:val="24"/>
                <w:lang w:eastAsia="zh-CN"/>
              </w:rPr>
              <w:t>年</w:t>
            </w:r>
            <w:r>
              <w:rPr>
                <w:rFonts w:hint="eastAsia" w:ascii="Times New Roman" w:hAnsi="Times New Roman" w:eastAsia="宋体" w:cs="宋体"/>
                <w:sz w:val="24"/>
                <w:szCs w:val="24"/>
                <w:lang w:val="en-US" w:eastAsia="zh-CN"/>
              </w:rPr>
              <w:t>9</w:t>
            </w:r>
            <w:r>
              <w:rPr>
                <w:rFonts w:hint="eastAsia" w:ascii="Times New Roman" w:hAnsi="Times New Roman" w:eastAsia="宋体" w:cs="宋体"/>
                <w:sz w:val="24"/>
                <w:szCs w:val="24"/>
                <w:lang w:eastAsia="zh-CN"/>
              </w:rPr>
              <w:t>月</w:t>
            </w:r>
            <w:r>
              <w:rPr>
                <w:rFonts w:hint="eastAsia" w:ascii="Times New Roman" w:hAnsi="Times New Roman" w:cs="宋体"/>
                <w:sz w:val="24"/>
                <w:szCs w:val="24"/>
                <w:lang w:val="en-US" w:eastAsia="zh-CN"/>
              </w:rPr>
              <w:t>8</w:t>
            </w:r>
            <w:r>
              <w:rPr>
                <w:rFonts w:hint="eastAsia" w:ascii="Times New Roman" w:hAnsi="Times New Roman" w:eastAsia="宋体" w:cs="宋体"/>
                <w:sz w:val="24"/>
                <w:szCs w:val="24"/>
                <w:lang w:eastAsia="zh-CN"/>
              </w:rPr>
              <w:t>日</w:t>
            </w:r>
          </w:p>
        </w:tc>
      </w:tr>
    </w:tbl>
    <w:p w14:paraId="19D83C5F">
      <w:pPr>
        <w:rPr>
          <w:rFonts w:ascii="Times New Roman" w:hAnsi="Times New Roman"/>
        </w:rPr>
      </w:pPr>
    </w:p>
    <w:p w14:paraId="1790BA6B">
      <w:pPr>
        <w:spacing w:line="91" w:lineRule="auto"/>
        <w:rPr>
          <w:rFonts w:ascii="Times New Roman" w:hAnsi="Times New Roman"/>
          <w:sz w:val="2"/>
        </w:rPr>
      </w:pPr>
    </w:p>
    <w:p w14:paraId="264C4D4D">
      <w:pPr>
        <w:rPr>
          <w:rFonts w:ascii="Times New Roman" w:hAnsi="Times New Roman"/>
          <w:lang w:eastAsia="zh-CN"/>
        </w:rPr>
      </w:pPr>
    </w:p>
    <w:sectPr>
      <w:pgSz w:w="11906" w:h="16839"/>
      <w:pgMar w:top="1431" w:right="1785" w:bottom="0" w:left="1785"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pleSystemUIFont">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UICTFontTextStyleBody">
    <w:altName w:val="Cambria"/>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FC3497"/>
    <w:multiLevelType w:val="singleLevel"/>
    <w:tmpl w:val="F5FC349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trackRevisions w:val="1"/>
  <w:documentProtection w:enforcement="0"/>
  <w:defaultTabStop w:val="500"/>
  <w:displayHorizontalDrawingGridEvery w:val="1"/>
  <w:displayVerticalDrawingGridEvery w:val="1"/>
  <w:noPunctuationKerning w:val="1"/>
  <w:characterSpacingControl w:val="doNotCompress"/>
  <w:compat>
    <w:spaceForUL/>
    <w:doNotLeaveBackslashAlone/>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Q1NGMyNjljNGQ0MzY2ZDU4ODViMDc2NGY3NDFhNTkifQ=="/>
  </w:docVars>
  <w:rsids>
    <w:rsidRoot w:val="00AD411E"/>
    <w:rsid w:val="00042552"/>
    <w:rsid w:val="000F0F8B"/>
    <w:rsid w:val="001B362F"/>
    <w:rsid w:val="001B43DB"/>
    <w:rsid w:val="001F503A"/>
    <w:rsid w:val="002D18D8"/>
    <w:rsid w:val="0030593D"/>
    <w:rsid w:val="00337319"/>
    <w:rsid w:val="00383673"/>
    <w:rsid w:val="00461BE6"/>
    <w:rsid w:val="004A754A"/>
    <w:rsid w:val="005248CC"/>
    <w:rsid w:val="00527F4F"/>
    <w:rsid w:val="005420FE"/>
    <w:rsid w:val="005C31AA"/>
    <w:rsid w:val="006330FF"/>
    <w:rsid w:val="006D4684"/>
    <w:rsid w:val="007257BA"/>
    <w:rsid w:val="00727F56"/>
    <w:rsid w:val="00775721"/>
    <w:rsid w:val="007C0F2D"/>
    <w:rsid w:val="007E50B8"/>
    <w:rsid w:val="008835EE"/>
    <w:rsid w:val="008A0110"/>
    <w:rsid w:val="00952547"/>
    <w:rsid w:val="00973ED9"/>
    <w:rsid w:val="00A30B16"/>
    <w:rsid w:val="00A65C80"/>
    <w:rsid w:val="00AA6936"/>
    <w:rsid w:val="00AD411E"/>
    <w:rsid w:val="00B02EEA"/>
    <w:rsid w:val="00BE14BF"/>
    <w:rsid w:val="00C64F35"/>
    <w:rsid w:val="00C82932"/>
    <w:rsid w:val="00CE2392"/>
    <w:rsid w:val="00EA0563"/>
    <w:rsid w:val="00F75FED"/>
    <w:rsid w:val="00FB496F"/>
    <w:rsid w:val="01102D92"/>
    <w:rsid w:val="01476561"/>
    <w:rsid w:val="014821F1"/>
    <w:rsid w:val="015E533E"/>
    <w:rsid w:val="016C0FA1"/>
    <w:rsid w:val="01852593"/>
    <w:rsid w:val="0190108A"/>
    <w:rsid w:val="01CD53CD"/>
    <w:rsid w:val="023D46EC"/>
    <w:rsid w:val="03385D0B"/>
    <w:rsid w:val="034B0503"/>
    <w:rsid w:val="04513546"/>
    <w:rsid w:val="0458352F"/>
    <w:rsid w:val="04AC5B58"/>
    <w:rsid w:val="04BB10B7"/>
    <w:rsid w:val="05857F74"/>
    <w:rsid w:val="065D710A"/>
    <w:rsid w:val="073562D9"/>
    <w:rsid w:val="07487DBA"/>
    <w:rsid w:val="086E3851"/>
    <w:rsid w:val="087936BC"/>
    <w:rsid w:val="08874912"/>
    <w:rsid w:val="089332B7"/>
    <w:rsid w:val="08F66C03"/>
    <w:rsid w:val="0A0A1357"/>
    <w:rsid w:val="0A1246B0"/>
    <w:rsid w:val="0A4A3E4A"/>
    <w:rsid w:val="0AF802D2"/>
    <w:rsid w:val="0C40306C"/>
    <w:rsid w:val="0C774C9E"/>
    <w:rsid w:val="0C9870EE"/>
    <w:rsid w:val="0CCA4D93"/>
    <w:rsid w:val="0CDF0EFD"/>
    <w:rsid w:val="0D3037CB"/>
    <w:rsid w:val="0D3B772F"/>
    <w:rsid w:val="0D4E3C51"/>
    <w:rsid w:val="0E4F45D8"/>
    <w:rsid w:val="0EA53D44"/>
    <w:rsid w:val="0F02798F"/>
    <w:rsid w:val="0F07012F"/>
    <w:rsid w:val="0F2E02EC"/>
    <w:rsid w:val="0F31382A"/>
    <w:rsid w:val="0FC41FA8"/>
    <w:rsid w:val="101572A9"/>
    <w:rsid w:val="10505F32"/>
    <w:rsid w:val="10710382"/>
    <w:rsid w:val="111B0B47"/>
    <w:rsid w:val="112A4BB7"/>
    <w:rsid w:val="11407D54"/>
    <w:rsid w:val="11E132E5"/>
    <w:rsid w:val="11EC0610"/>
    <w:rsid w:val="11EC3A38"/>
    <w:rsid w:val="12692205"/>
    <w:rsid w:val="12B17E9B"/>
    <w:rsid w:val="12B544C5"/>
    <w:rsid w:val="13916645"/>
    <w:rsid w:val="14952100"/>
    <w:rsid w:val="14B00B11"/>
    <w:rsid w:val="14E51974"/>
    <w:rsid w:val="15065412"/>
    <w:rsid w:val="15470135"/>
    <w:rsid w:val="15604521"/>
    <w:rsid w:val="157E2FAD"/>
    <w:rsid w:val="158762E9"/>
    <w:rsid w:val="158F3058"/>
    <w:rsid w:val="15915022"/>
    <w:rsid w:val="15BB3E4D"/>
    <w:rsid w:val="15BF393E"/>
    <w:rsid w:val="15DF7B3C"/>
    <w:rsid w:val="16153CF4"/>
    <w:rsid w:val="16BA5EB3"/>
    <w:rsid w:val="17C92852"/>
    <w:rsid w:val="17FA17FC"/>
    <w:rsid w:val="18474669"/>
    <w:rsid w:val="18D21BDA"/>
    <w:rsid w:val="19045B0B"/>
    <w:rsid w:val="19FD3FDF"/>
    <w:rsid w:val="1A12650C"/>
    <w:rsid w:val="1AB126A6"/>
    <w:rsid w:val="1AB677DE"/>
    <w:rsid w:val="1ACE45C4"/>
    <w:rsid w:val="1AF114D7"/>
    <w:rsid w:val="1B123F0C"/>
    <w:rsid w:val="1B2D1349"/>
    <w:rsid w:val="1B5A1A13"/>
    <w:rsid w:val="1BA40757"/>
    <w:rsid w:val="1C077DEC"/>
    <w:rsid w:val="1D091942"/>
    <w:rsid w:val="1D3A7D4E"/>
    <w:rsid w:val="1DDB508D"/>
    <w:rsid w:val="1E322697"/>
    <w:rsid w:val="1EE26681"/>
    <w:rsid w:val="201E5705"/>
    <w:rsid w:val="20C95363"/>
    <w:rsid w:val="21094ABC"/>
    <w:rsid w:val="22364E1D"/>
    <w:rsid w:val="22821F7B"/>
    <w:rsid w:val="231B417D"/>
    <w:rsid w:val="23203542"/>
    <w:rsid w:val="24BE1264"/>
    <w:rsid w:val="25B9690B"/>
    <w:rsid w:val="25DA3E7C"/>
    <w:rsid w:val="26485289"/>
    <w:rsid w:val="268A3AF4"/>
    <w:rsid w:val="2698258D"/>
    <w:rsid w:val="270A69E3"/>
    <w:rsid w:val="27A26C1B"/>
    <w:rsid w:val="27A42993"/>
    <w:rsid w:val="27D5362B"/>
    <w:rsid w:val="28527FD1"/>
    <w:rsid w:val="28736730"/>
    <w:rsid w:val="28FE60D3"/>
    <w:rsid w:val="29341AF5"/>
    <w:rsid w:val="2A346ACA"/>
    <w:rsid w:val="2A952A67"/>
    <w:rsid w:val="2ABC3C34"/>
    <w:rsid w:val="2AE71DF0"/>
    <w:rsid w:val="2B152B7E"/>
    <w:rsid w:val="2BAA0794"/>
    <w:rsid w:val="2BDE7D13"/>
    <w:rsid w:val="2BE23A8A"/>
    <w:rsid w:val="2C864D5D"/>
    <w:rsid w:val="2CB022D6"/>
    <w:rsid w:val="2D216834"/>
    <w:rsid w:val="2D2D19CD"/>
    <w:rsid w:val="2D74105A"/>
    <w:rsid w:val="2DB33930"/>
    <w:rsid w:val="2DE75388"/>
    <w:rsid w:val="2DEB0301"/>
    <w:rsid w:val="2F300FB0"/>
    <w:rsid w:val="2F890169"/>
    <w:rsid w:val="2FC65E53"/>
    <w:rsid w:val="2FE04785"/>
    <w:rsid w:val="2FE9188B"/>
    <w:rsid w:val="30152810"/>
    <w:rsid w:val="30AC4667"/>
    <w:rsid w:val="30F06952"/>
    <w:rsid w:val="312A215B"/>
    <w:rsid w:val="31C22C39"/>
    <w:rsid w:val="333D5A4A"/>
    <w:rsid w:val="33B06E98"/>
    <w:rsid w:val="345C4F2B"/>
    <w:rsid w:val="34605E94"/>
    <w:rsid w:val="346534AA"/>
    <w:rsid w:val="34713BFD"/>
    <w:rsid w:val="34DB376C"/>
    <w:rsid w:val="34E70363"/>
    <w:rsid w:val="34F12F90"/>
    <w:rsid w:val="34FD7B87"/>
    <w:rsid w:val="351C000D"/>
    <w:rsid w:val="35200667"/>
    <w:rsid w:val="35CB6621"/>
    <w:rsid w:val="36015455"/>
    <w:rsid w:val="36802258"/>
    <w:rsid w:val="36EA5EE9"/>
    <w:rsid w:val="36F93E8A"/>
    <w:rsid w:val="379D0487"/>
    <w:rsid w:val="38DD5D05"/>
    <w:rsid w:val="39700927"/>
    <w:rsid w:val="39A16D33"/>
    <w:rsid w:val="3A033549"/>
    <w:rsid w:val="3A0B4AF4"/>
    <w:rsid w:val="3A8723CC"/>
    <w:rsid w:val="3AEF3ACE"/>
    <w:rsid w:val="3B173D7F"/>
    <w:rsid w:val="3B7A3CDF"/>
    <w:rsid w:val="3B893F22"/>
    <w:rsid w:val="3C36192E"/>
    <w:rsid w:val="3C7A1ABD"/>
    <w:rsid w:val="3D7529B0"/>
    <w:rsid w:val="3E2E0DB1"/>
    <w:rsid w:val="3E410AE4"/>
    <w:rsid w:val="3E5C147A"/>
    <w:rsid w:val="3E622809"/>
    <w:rsid w:val="3EB23790"/>
    <w:rsid w:val="3EBA0228"/>
    <w:rsid w:val="3F055FB6"/>
    <w:rsid w:val="3F3D6E1B"/>
    <w:rsid w:val="3F4563B2"/>
    <w:rsid w:val="3F680149"/>
    <w:rsid w:val="4090609D"/>
    <w:rsid w:val="40B437EF"/>
    <w:rsid w:val="40F24318"/>
    <w:rsid w:val="4105404B"/>
    <w:rsid w:val="41336BCB"/>
    <w:rsid w:val="41534A38"/>
    <w:rsid w:val="4168285C"/>
    <w:rsid w:val="430A1DED"/>
    <w:rsid w:val="438E33F7"/>
    <w:rsid w:val="439711A6"/>
    <w:rsid w:val="43E443EC"/>
    <w:rsid w:val="443F68DF"/>
    <w:rsid w:val="448C6831"/>
    <w:rsid w:val="44F06DC0"/>
    <w:rsid w:val="45156827"/>
    <w:rsid w:val="455E254D"/>
    <w:rsid w:val="456B6447"/>
    <w:rsid w:val="45A84FAE"/>
    <w:rsid w:val="45B822D1"/>
    <w:rsid w:val="46935C55"/>
    <w:rsid w:val="46C6427C"/>
    <w:rsid w:val="470513F8"/>
    <w:rsid w:val="474653BD"/>
    <w:rsid w:val="47541888"/>
    <w:rsid w:val="4764741D"/>
    <w:rsid w:val="488251E8"/>
    <w:rsid w:val="48843C31"/>
    <w:rsid w:val="48BD345D"/>
    <w:rsid w:val="48C04CFB"/>
    <w:rsid w:val="48C53BE2"/>
    <w:rsid w:val="4968161B"/>
    <w:rsid w:val="497C3C51"/>
    <w:rsid w:val="499E328F"/>
    <w:rsid w:val="49AB775A"/>
    <w:rsid w:val="49E31136"/>
    <w:rsid w:val="4A031344"/>
    <w:rsid w:val="4A0B01F8"/>
    <w:rsid w:val="4A4C728D"/>
    <w:rsid w:val="4A875AD1"/>
    <w:rsid w:val="4B0C4228"/>
    <w:rsid w:val="4B78366B"/>
    <w:rsid w:val="4BCF2B77"/>
    <w:rsid w:val="4BE62CCB"/>
    <w:rsid w:val="4C1E06B7"/>
    <w:rsid w:val="4CBD7ED0"/>
    <w:rsid w:val="4CE51D54"/>
    <w:rsid w:val="4D0258E3"/>
    <w:rsid w:val="4DF25957"/>
    <w:rsid w:val="4E263853"/>
    <w:rsid w:val="4E7445BE"/>
    <w:rsid w:val="4F833FDC"/>
    <w:rsid w:val="4FA86246"/>
    <w:rsid w:val="4FCC2CDE"/>
    <w:rsid w:val="500B0F52"/>
    <w:rsid w:val="50487AB0"/>
    <w:rsid w:val="505C355C"/>
    <w:rsid w:val="507E7A1A"/>
    <w:rsid w:val="51582E6C"/>
    <w:rsid w:val="5167040A"/>
    <w:rsid w:val="51AF590D"/>
    <w:rsid w:val="51C25640"/>
    <w:rsid w:val="51D75253"/>
    <w:rsid w:val="51E74D80"/>
    <w:rsid w:val="5217598C"/>
    <w:rsid w:val="525E180D"/>
    <w:rsid w:val="52701540"/>
    <w:rsid w:val="52A511EA"/>
    <w:rsid w:val="52B21AD1"/>
    <w:rsid w:val="52CA29FF"/>
    <w:rsid w:val="52CC6734"/>
    <w:rsid w:val="5301473C"/>
    <w:rsid w:val="53177C0E"/>
    <w:rsid w:val="537D3C18"/>
    <w:rsid w:val="5410147D"/>
    <w:rsid w:val="54970998"/>
    <w:rsid w:val="54D51AA7"/>
    <w:rsid w:val="54FF44A5"/>
    <w:rsid w:val="55475A19"/>
    <w:rsid w:val="55A16ED2"/>
    <w:rsid w:val="55BF16ED"/>
    <w:rsid w:val="55CD58BC"/>
    <w:rsid w:val="560C1580"/>
    <w:rsid w:val="56A33C92"/>
    <w:rsid w:val="56AD0E89"/>
    <w:rsid w:val="56F15B99"/>
    <w:rsid w:val="571802DA"/>
    <w:rsid w:val="574305EE"/>
    <w:rsid w:val="583A3C95"/>
    <w:rsid w:val="58467E50"/>
    <w:rsid w:val="59A01F0B"/>
    <w:rsid w:val="59C503C4"/>
    <w:rsid w:val="59D86349"/>
    <w:rsid w:val="5AAB5D5D"/>
    <w:rsid w:val="5B060C94"/>
    <w:rsid w:val="5BC052E6"/>
    <w:rsid w:val="5C0A6562"/>
    <w:rsid w:val="5C6747DA"/>
    <w:rsid w:val="5CB32755"/>
    <w:rsid w:val="5CE4546A"/>
    <w:rsid w:val="5D916F3A"/>
    <w:rsid w:val="5D9C768D"/>
    <w:rsid w:val="5E113BD7"/>
    <w:rsid w:val="5E4265FD"/>
    <w:rsid w:val="5EE96902"/>
    <w:rsid w:val="5F517ABE"/>
    <w:rsid w:val="5F8421A1"/>
    <w:rsid w:val="604F73A7"/>
    <w:rsid w:val="610633E6"/>
    <w:rsid w:val="618F75C3"/>
    <w:rsid w:val="61D1008C"/>
    <w:rsid w:val="62606EDB"/>
    <w:rsid w:val="626D5C19"/>
    <w:rsid w:val="62B80639"/>
    <w:rsid w:val="6321792E"/>
    <w:rsid w:val="63B7511B"/>
    <w:rsid w:val="63BF3862"/>
    <w:rsid w:val="6416019A"/>
    <w:rsid w:val="646A5DEF"/>
    <w:rsid w:val="649A50CC"/>
    <w:rsid w:val="64AC6408"/>
    <w:rsid w:val="64CA2D32"/>
    <w:rsid w:val="64CF659A"/>
    <w:rsid w:val="65670518"/>
    <w:rsid w:val="65E55731"/>
    <w:rsid w:val="66042274"/>
    <w:rsid w:val="66BA0643"/>
    <w:rsid w:val="66F44096"/>
    <w:rsid w:val="66F553A6"/>
    <w:rsid w:val="674E064D"/>
    <w:rsid w:val="67E1286C"/>
    <w:rsid w:val="685275F3"/>
    <w:rsid w:val="68623356"/>
    <w:rsid w:val="68B65AA7"/>
    <w:rsid w:val="69004F74"/>
    <w:rsid w:val="6955518E"/>
    <w:rsid w:val="69A67DB5"/>
    <w:rsid w:val="69B83A0D"/>
    <w:rsid w:val="6ACF2A05"/>
    <w:rsid w:val="6AED32D6"/>
    <w:rsid w:val="6AF0478A"/>
    <w:rsid w:val="6B206150"/>
    <w:rsid w:val="6C615D2A"/>
    <w:rsid w:val="6C860F1A"/>
    <w:rsid w:val="6C9132B7"/>
    <w:rsid w:val="6D910628"/>
    <w:rsid w:val="6DED6714"/>
    <w:rsid w:val="6E494CC8"/>
    <w:rsid w:val="6E6B4FA6"/>
    <w:rsid w:val="6E7E1C6A"/>
    <w:rsid w:val="6EC8494C"/>
    <w:rsid w:val="6F0357BE"/>
    <w:rsid w:val="6F70543C"/>
    <w:rsid w:val="704A2F79"/>
    <w:rsid w:val="715A71EC"/>
    <w:rsid w:val="71787AB8"/>
    <w:rsid w:val="719A3A8C"/>
    <w:rsid w:val="71CA1FE3"/>
    <w:rsid w:val="72534E9D"/>
    <w:rsid w:val="72EB27F1"/>
    <w:rsid w:val="731036E9"/>
    <w:rsid w:val="732C1A70"/>
    <w:rsid w:val="732E6B82"/>
    <w:rsid w:val="73493CAC"/>
    <w:rsid w:val="7358775B"/>
    <w:rsid w:val="73EB05CF"/>
    <w:rsid w:val="73FB4E65"/>
    <w:rsid w:val="741B7106"/>
    <w:rsid w:val="7530788B"/>
    <w:rsid w:val="75422471"/>
    <w:rsid w:val="75936E7F"/>
    <w:rsid w:val="759A61FC"/>
    <w:rsid w:val="76237A75"/>
    <w:rsid w:val="76426BCC"/>
    <w:rsid w:val="769557B6"/>
    <w:rsid w:val="771A36A5"/>
    <w:rsid w:val="77884AB3"/>
    <w:rsid w:val="78EB552B"/>
    <w:rsid w:val="79783C64"/>
    <w:rsid w:val="7993773F"/>
    <w:rsid w:val="79AB4A88"/>
    <w:rsid w:val="79BD371A"/>
    <w:rsid w:val="7A526335"/>
    <w:rsid w:val="7A8D0117"/>
    <w:rsid w:val="7BB51BEE"/>
    <w:rsid w:val="7C2154D6"/>
    <w:rsid w:val="7C8D4919"/>
    <w:rsid w:val="7CA90BA0"/>
    <w:rsid w:val="7CE55D78"/>
    <w:rsid w:val="7D7809E9"/>
    <w:rsid w:val="7D8C697F"/>
    <w:rsid w:val="7D9E7B82"/>
    <w:rsid w:val="7E046E5D"/>
    <w:rsid w:val="7E152E18"/>
    <w:rsid w:val="7E2D681A"/>
    <w:rsid w:val="7E2E6314"/>
    <w:rsid w:val="7E3F60E7"/>
    <w:rsid w:val="7F4C286A"/>
    <w:rsid w:val="7F4C4618"/>
    <w:rsid w:val="7F664645"/>
    <w:rsid w:val="7F9554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qFormat/>
    <w:uiPriority w:val="0"/>
    <w:pPr>
      <w:spacing w:before="100" w:beforeAutospacing="1" w:after="100" w:afterAutospacing="1"/>
      <w:outlineLvl w:val="1"/>
    </w:pPr>
    <w:rPr>
      <w:rFonts w:hint="eastAsia" w:ascii="宋体" w:hAnsi="宋体" w:eastAsia="宋体" w:cs="Times New Roman"/>
      <w:b/>
      <w:bCs/>
      <w:sz w:val="36"/>
      <w:szCs w:val="36"/>
      <w:lang w:eastAsia="zh-CN"/>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style>
  <w:style w:type="paragraph" w:styleId="4">
    <w:name w:val="footer"/>
    <w:basedOn w:val="1"/>
    <w:link w:val="20"/>
    <w:qFormat/>
    <w:uiPriority w:val="0"/>
    <w:pPr>
      <w:tabs>
        <w:tab w:val="center" w:pos="4153"/>
        <w:tab w:val="right" w:pos="8306"/>
      </w:tabs>
    </w:pPr>
    <w:rPr>
      <w:sz w:val="18"/>
      <w:szCs w:val="18"/>
    </w:rPr>
  </w:style>
  <w:style w:type="paragraph" w:styleId="5">
    <w:name w:val="header"/>
    <w:basedOn w:val="1"/>
    <w:link w:val="19"/>
    <w:qFormat/>
    <w:uiPriority w:val="0"/>
    <w:pPr>
      <w:tabs>
        <w:tab w:val="center" w:pos="4153"/>
        <w:tab w:val="right" w:pos="8306"/>
      </w:tabs>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sz w:val="24"/>
      <w:szCs w:val="24"/>
      <w:lang w:eastAsia="zh-CN"/>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Hyperlink"/>
    <w:basedOn w:val="9"/>
    <w:qFormat/>
    <w:uiPriority w:val="0"/>
    <w:rPr>
      <w:color w:val="0000FF"/>
      <w:u w:val="single"/>
    </w:rPr>
  </w:style>
  <w:style w:type="table" w:customStyle="1" w:styleId="12">
    <w:name w:val="Table Normal"/>
    <w:unhideWhenUsed/>
    <w:qFormat/>
    <w:uiPriority w:val="0"/>
    <w:tblPr>
      <w:tblCellMar>
        <w:top w:w="0" w:type="dxa"/>
        <w:left w:w="0" w:type="dxa"/>
        <w:bottom w:w="0" w:type="dxa"/>
        <w:right w:w="0" w:type="dxa"/>
      </w:tblCellMar>
    </w:tblPr>
  </w:style>
  <w:style w:type="paragraph" w:customStyle="1" w:styleId="13">
    <w:name w:val="Table Text"/>
    <w:basedOn w:val="1"/>
    <w:semiHidden/>
    <w:qFormat/>
    <w:uiPriority w:val="0"/>
    <w:rPr>
      <w:rFonts w:ascii="宋体" w:hAnsi="宋体" w:eastAsia="宋体" w:cs="宋体"/>
      <w:sz w:val="24"/>
      <w:szCs w:val="24"/>
    </w:rPr>
  </w:style>
  <w:style w:type="paragraph" w:customStyle="1" w:styleId="14">
    <w:name w:val="p1"/>
    <w:basedOn w:val="1"/>
    <w:qFormat/>
    <w:uiPriority w:val="0"/>
    <w:pPr>
      <w:kinsoku/>
      <w:autoSpaceDE/>
      <w:autoSpaceDN/>
      <w:adjustRightInd/>
      <w:snapToGrid/>
      <w:textAlignment w:val="auto"/>
    </w:pPr>
    <w:rPr>
      <w:rFonts w:ascii=".AppleSystemUIFont" w:hAnsi=".AppleSystemUIFont" w:eastAsia="宋体" w:cs="宋体"/>
      <w:snapToGrid/>
      <w:color w:val="111111"/>
      <w:sz w:val="26"/>
      <w:szCs w:val="26"/>
      <w:lang w:eastAsia="zh-CN"/>
    </w:rPr>
  </w:style>
  <w:style w:type="paragraph" w:customStyle="1" w:styleId="15">
    <w:name w:val="p2"/>
    <w:basedOn w:val="1"/>
    <w:qFormat/>
    <w:uiPriority w:val="0"/>
    <w:pPr>
      <w:kinsoku/>
      <w:autoSpaceDE/>
      <w:autoSpaceDN/>
      <w:adjustRightInd/>
      <w:snapToGrid/>
      <w:textAlignment w:val="auto"/>
    </w:pPr>
    <w:rPr>
      <w:rFonts w:ascii=".AppleSystemUIFont" w:hAnsi=".AppleSystemUIFont" w:eastAsia="宋体" w:cs="宋体"/>
      <w:snapToGrid/>
      <w:color w:val="111111"/>
      <w:sz w:val="26"/>
      <w:szCs w:val="26"/>
      <w:lang w:eastAsia="zh-CN"/>
    </w:rPr>
  </w:style>
  <w:style w:type="character" w:customStyle="1" w:styleId="16">
    <w:name w:val="s1"/>
    <w:basedOn w:val="9"/>
    <w:qFormat/>
    <w:uiPriority w:val="0"/>
    <w:rPr>
      <w:rFonts w:hint="default" w:ascii="UICTFontTextStyleBody" w:hAnsi="UICTFontTextStyleBody"/>
      <w:sz w:val="26"/>
      <w:szCs w:val="26"/>
    </w:rPr>
  </w:style>
  <w:style w:type="paragraph" w:customStyle="1" w:styleId="17">
    <w:name w:val="修订1"/>
    <w:hidden/>
    <w:unhideWhenUsed/>
    <w:qFormat/>
    <w:uiPriority w:val="99"/>
    <w:rPr>
      <w:rFonts w:ascii="Arial" w:hAnsi="Arial" w:eastAsia="Arial" w:cs="Arial"/>
      <w:snapToGrid w:val="0"/>
      <w:color w:val="000000"/>
      <w:sz w:val="21"/>
      <w:szCs w:val="21"/>
      <w:lang w:val="en-US" w:eastAsia="en-US" w:bidi="ar-SA"/>
    </w:rPr>
  </w:style>
  <w:style w:type="paragraph" w:customStyle="1" w:styleId="18">
    <w:name w:val="修订2"/>
    <w:hidden/>
    <w:unhideWhenUsed/>
    <w:qFormat/>
    <w:uiPriority w:val="99"/>
    <w:rPr>
      <w:rFonts w:ascii="Arial" w:hAnsi="Arial" w:eastAsia="Arial" w:cs="Arial"/>
      <w:snapToGrid w:val="0"/>
      <w:color w:val="000000"/>
      <w:sz w:val="21"/>
      <w:szCs w:val="21"/>
      <w:lang w:val="en-US" w:eastAsia="en-US" w:bidi="ar-SA"/>
    </w:rPr>
  </w:style>
  <w:style w:type="character" w:customStyle="1" w:styleId="19">
    <w:name w:val="页眉 字符"/>
    <w:basedOn w:val="9"/>
    <w:link w:val="5"/>
    <w:qFormat/>
    <w:uiPriority w:val="0"/>
    <w:rPr>
      <w:rFonts w:ascii="Arial" w:hAnsi="Arial" w:eastAsia="Arial" w:cs="Arial"/>
      <w:snapToGrid w:val="0"/>
      <w:color w:val="000000"/>
      <w:sz w:val="18"/>
      <w:szCs w:val="18"/>
      <w:lang w:eastAsia="en-US"/>
    </w:rPr>
  </w:style>
  <w:style w:type="character" w:customStyle="1" w:styleId="20">
    <w:name w:val="页脚 字符"/>
    <w:basedOn w:val="9"/>
    <w:link w:val="4"/>
    <w:qFormat/>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70beef70-d56b-472e-836e-59a22ea6adbe</errorID>
      <errorWord>加强</errorWord>
      <group>L1_Grammar</group>
      <groupName>语法问题</groupName>
      <ability>L2_Grammar</ability>
      <abilityName>语法错误</abilityName>
      <candidateList>
        <item>加大</item>
      </candidateList>
      <explain>“加强～力度”搭配不当，建议修改为“加大～力度”。</explain>
      <paraID>333CAA94</paraID>
      <start>142</start>
      <end>144</end>
      <status>unmodified</status>
      <modifiedWord/>
      <trackRevisions>false</trackRevisions>
    </reviewItem>
    <reviewItem>
      <errorID>cae2b3e5-29d2-4177-adf9-ed54e8913638</errorID>
      <errorWord>隐形切割</errorWord>
      <group>L1_Knowledge</group>
      <groupName>知识性问题</groupName>
      <ability>L2_Term</ability>
      <abilityName>专业术语</abilityName>
      <candidateList>
        <item>仿形切割</item>
      </candidateList>
      <explain/>
      <paraID>344825F0</paraID>
      <start>464</start>
      <end>468</end>
      <status>unmodified</status>
      <modifiedWord/>
      <trackRevisions>false</trackRevisions>
    </reviewItem>
  </reviewItems>
  <config/>
</contractReview>
</file>

<file path=customXml/itemProps1.xml><?xml version="1.0" encoding="utf-8"?>
<ds:datastoreItem xmlns:ds="http://schemas.openxmlformats.org/officeDocument/2006/customXml" ds:itemID="{0cdbbaf6-8a58-4f85-9a95-7842ecb2f049}">
  <ds:schemaRefs/>
</ds:datastoreItem>
</file>

<file path=docProps/app.xml><?xml version="1.0" encoding="utf-8"?>
<Properties xmlns="http://schemas.openxmlformats.org/officeDocument/2006/extended-properties" xmlns:vt="http://schemas.openxmlformats.org/officeDocument/2006/docPropsVTypes">
  <Template>Normal</Template>
  <Pages>6</Pages>
  <Words>4693</Words>
  <Characters>4883</Characters>
  <Lines>16</Lines>
  <Paragraphs>4</Paragraphs>
  <TotalTime>64</TotalTime>
  <ScaleCrop>false</ScaleCrop>
  <LinksUpToDate>false</LinksUpToDate>
  <CharactersWithSpaces>4949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2025-07-16T07:35:00Z</dcterms:created>
  <dc:creator>荣大-李雷</dc:creator>
  <cp:lastModifiedBy>筠jun *er</cp:lastModifiedBy>
  <dcterms:modified xsi:type="dcterms:W3CDTF">2026-09-08T07:25:17Z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2024-07-26T02:33:54Z</vt:filetime>
  </property>
  <property fmtid="{D5CDD505-2E9C-101B-9397-08002B2CF9AE}" pid="4" name="KSOProductBuildVer">
    <vt:lpwstr>2052-12.1.0.28505</vt:lpwstr>
  </property>
  <property fmtid="{D5CDD505-2E9C-101B-9397-08002B2CF9AE}" pid="5" name="ICV">
    <vt:lpwstr>85066909653A4DE3946BE2FAFD439A7F_13</vt:lpwstr>
  </property>
  <property fmtid="{D5CDD505-2E9C-101B-9397-08002B2CF9AE}" pid="6" name="KSOTemplateDocerSaveRecord">
    <vt:lpwstr>eyJoZGlkIjoiNjc3NzI1ZTllYTIzM2ZlZWU3MzUwOWM0YjY2OTExMWYiLCJ1c2VySWQiOiI4MDA0MDU0NjgifQ==</vt:lpwstr>
  </property>
</Properties>
</file>