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E1C075" w14:textId="77777777" w:rsidR="001D5831" w:rsidRDefault="00580EC2">
      <w:pPr>
        <w:spacing w:beforeLines="50" w:before="156" w:afterLines="50" w:after="156" w:line="400" w:lineRule="exact"/>
        <w:rPr>
          <w:bCs/>
          <w:iCs/>
          <w:color w:val="000000"/>
          <w:sz w:val="24"/>
          <w:szCs w:val="22"/>
        </w:rPr>
      </w:pPr>
      <w:r>
        <w:rPr>
          <w:bCs/>
          <w:iCs/>
          <w:color w:val="000000"/>
          <w:sz w:val="24"/>
          <w:szCs w:val="22"/>
        </w:rPr>
        <w:t>证券代码：</w:t>
      </w:r>
      <w:r>
        <w:rPr>
          <w:bCs/>
          <w:iCs/>
          <w:color w:val="000000"/>
          <w:sz w:val="24"/>
          <w:szCs w:val="22"/>
        </w:rPr>
        <w:t xml:space="preserve">688484                                   </w:t>
      </w:r>
      <w:r>
        <w:rPr>
          <w:bCs/>
          <w:iCs/>
          <w:color w:val="000000"/>
          <w:sz w:val="24"/>
          <w:szCs w:val="22"/>
        </w:rPr>
        <w:t>证券简称：</w:t>
      </w:r>
      <w:proofErr w:type="gramStart"/>
      <w:r>
        <w:rPr>
          <w:bCs/>
          <w:iCs/>
          <w:color w:val="000000"/>
          <w:sz w:val="24"/>
          <w:szCs w:val="22"/>
        </w:rPr>
        <w:t>南芯科技</w:t>
      </w:r>
      <w:proofErr w:type="gramEnd"/>
    </w:p>
    <w:p w14:paraId="3E479E65" w14:textId="77777777" w:rsidR="001D5831" w:rsidRDefault="001D5831">
      <w:pPr>
        <w:spacing w:line="360" w:lineRule="auto"/>
        <w:jc w:val="center"/>
        <w:rPr>
          <w:b/>
          <w:bCs/>
          <w:iCs/>
          <w:color w:val="FF0000"/>
          <w:sz w:val="32"/>
          <w:szCs w:val="32"/>
        </w:rPr>
      </w:pPr>
    </w:p>
    <w:p w14:paraId="62F6DBE7" w14:textId="77777777" w:rsidR="001D5831" w:rsidRDefault="00580EC2">
      <w:pPr>
        <w:spacing w:line="360" w:lineRule="auto"/>
        <w:jc w:val="center"/>
        <w:rPr>
          <w:b/>
          <w:bCs/>
          <w:iCs/>
          <w:color w:val="FF0000"/>
          <w:sz w:val="32"/>
          <w:szCs w:val="32"/>
        </w:rPr>
      </w:pPr>
      <w:r>
        <w:rPr>
          <w:b/>
          <w:bCs/>
          <w:iCs/>
          <w:color w:val="FF0000"/>
          <w:sz w:val="32"/>
          <w:szCs w:val="32"/>
        </w:rPr>
        <w:t>上海南芯半导体科技股份有限公司</w:t>
      </w:r>
    </w:p>
    <w:p w14:paraId="6608E3F2" w14:textId="77777777" w:rsidR="001D5831" w:rsidRDefault="00580EC2">
      <w:pPr>
        <w:spacing w:line="360" w:lineRule="auto"/>
        <w:jc w:val="center"/>
        <w:rPr>
          <w:b/>
          <w:bCs/>
          <w:iCs/>
          <w:color w:val="FF0000"/>
          <w:sz w:val="32"/>
          <w:szCs w:val="32"/>
        </w:rPr>
      </w:pPr>
      <w:r>
        <w:rPr>
          <w:b/>
          <w:bCs/>
          <w:iCs/>
          <w:color w:val="FF0000"/>
          <w:sz w:val="32"/>
          <w:szCs w:val="32"/>
        </w:rPr>
        <w:t>投资者关系活动记录表</w:t>
      </w:r>
    </w:p>
    <w:p w14:paraId="64891BC8" w14:textId="77777777" w:rsidR="001D5831" w:rsidRDefault="00580EC2">
      <w:pPr>
        <w:spacing w:line="400" w:lineRule="exact"/>
        <w:ind w:firstLineChars="200" w:firstLine="480"/>
        <w:rPr>
          <w:bCs/>
          <w:iCs/>
          <w:color w:val="000000"/>
          <w:sz w:val="24"/>
        </w:rPr>
      </w:pPr>
      <w:r>
        <w:rPr>
          <w:bCs/>
          <w:iCs/>
          <w:color w:val="000000"/>
          <w:sz w:val="24"/>
        </w:rPr>
        <w:t xml:space="preserve">                                                    </w:t>
      </w:r>
      <w:r>
        <w:rPr>
          <w:bCs/>
          <w:iCs/>
          <w:color w:val="000000"/>
          <w:sz w:val="24"/>
        </w:rPr>
        <w:t>编号：</w:t>
      </w:r>
      <w:r>
        <w:rPr>
          <w:bCs/>
          <w:iCs/>
          <w:color w:val="000000"/>
          <w:sz w:val="24"/>
        </w:rPr>
        <w:t>2026-004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0"/>
        <w:gridCol w:w="6436"/>
      </w:tblGrid>
      <w:tr w:rsidR="001D5831" w14:paraId="2C19192C" w14:textId="77777777">
        <w:trPr>
          <w:trHeight w:val="2362"/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8C624" w14:textId="77777777" w:rsidR="001D5831" w:rsidRDefault="00580EC2">
            <w:pPr>
              <w:spacing w:line="360" w:lineRule="auto"/>
              <w:rPr>
                <w:rFonts w:eastAsiaTheme="minorEastAsia"/>
                <w:bCs/>
                <w:iCs/>
                <w:color w:val="000000"/>
                <w:sz w:val="22"/>
              </w:rPr>
            </w:pPr>
            <w:r>
              <w:rPr>
                <w:rFonts w:eastAsiaTheme="minorEastAsia"/>
                <w:bCs/>
                <w:iCs/>
                <w:color w:val="000000"/>
                <w:sz w:val="22"/>
              </w:rPr>
              <w:t>投资者关系活动类别</w:t>
            </w:r>
          </w:p>
          <w:p w14:paraId="7636E0E3" w14:textId="77777777" w:rsidR="001D5831" w:rsidRDefault="001D5831">
            <w:pPr>
              <w:spacing w:line="360" w:lineRule="auto"/>
              <w:rPr>
                <w:rFonts w:eastAsiaTheme="minorEastAsia"/>
                <w:bCs/>
                <w:iCs/>
                <w:color w:val="000000"/>
                <w:sz w:val="22"/>
              </w:rPr>
            </w:pP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EC16C" w14:textId="77777777" w:rsidR="001D5831" w:rsidRDefault="00580EC2">
            <w:pPr>
              <w:spacing w:line="360" w:lineRule="auto"/>
              <w:rPr>
                <w:rFonts w:eastAsiaTheme="minorEastAsia"/>
                <w:bCs/>
                <w:iCs/>
                <w:color w:val="000000"/>
                <w:sz w:val="22"/>
              </w:rPr>
            </w:pPr>
            <w:r>
              <w:rPr>
                <w:rFonts w:eastAsiaTheme="minorEastAsia" w:hint="eastAsia"/>
                <w:bCs/>
                <w:iCs/>
                <w:color w:val="000000"/>
                <w:sz w:val="22"/>
              </w:rPr>
              <w:t>☑</w:t>
            </w:r>
            <w:r>
              <w:rPr>
                <w:rFonts w:eastAsiaTheme="minorEastAsia"/>
                <w:sz w:val="22"/>
              </w:rPr>
              <w:t>特定对象调研</w:t>
            </w:r>
            <w:r>
              <w:rPr>
                <w:rFonts w:eastAsiaTheme="minorEastAsia"/>
                <w:sz w:val="22"/>
              </w:rPr>
              <w:t xml:space="preserve">    </w:t>
            </w:r>
            <w:r>
              <w:rPr>
                <w:rFonts w:eastAsiaTheme="minorEastAsia" w:hint="eastAsia"/>
                <w:sz w:val="22"/>
              </w:rPr>
              <w:t xml:space="preserve">  </w:t>
            </w:r>
            <w:r>
              <w:rPr>
                <w:rFonts w:eastAsiaTheme="minorEastAsia"/>
                <w:sz w:val="22"/>
              </w:rPr>
              <w:t xml:space="preserve"> </w:t>
            </w:r>
            <w:r>
              <w:rPr>
                <w:rFonts w:eastAsiaTheme="minorEastAsia" w:hint="eastAsia"/>
                <w:bCs/>
                <w:iCs/>
                <w:color w:val="000000"/>
                <w:sz w:val="22"/>
              </w:rPr>
              <w:t>☑</w:t>
            </w:r>
            <w:r>
              <w:rPr>
                <w:rFonts w:eastAsiaTheme="minorEastAsia"/>
                <w:sz w:val="22"/>
              </w:rPr>
              <w:t>分析师会议</w:t>
            </w:r>
          </w:p>
          <w:p w14:paraId="6B5BDB17" w14:textId="77777777" w:rsidR="001D5831" w:rsidRDefault="00580EC2">
            <w:pPr>
              <w:spacing w:line="360" w:lineRule="auto"/>
              <w:rPr>
                <w:rFonts w:eastAsiaTheme="minorEastAsia"/>
                <w:bCs/>
                <w:iCs/>
                <w:color w:val="000000"/>
                <w:sz w:val="22"/>
              </w:rPr>
            </w:pPr>
            <w:r>
              <w:rPr>
                <w:rFonts w:eastAsiaTheme="minorEastAsia" w:hint="eastAsia"/>
                <w:bCs/>
                <w:iCs/>
                <w:color w:val="000000"/>
                <w:sz w:val="22"/>
              </w:rPr>
              <w:t>□媒体采访</w:t>
            </w:r>
            <w:r>
              <w:rPr>
                <w:rFonts w:eastAsiaTheme="minorEastAsia" w:hint="eastAsia"/>
                <w:bCs/>
                <w:iCs/>
                <w:color w:val="000000"/>
                <w:sz w:val="22"/>
              </w:rPr>
              <w:t xml:space="preserve">            </w:t>
            </w:r>
            <w:r>
              <w:rPr>
                <w:rFonts w:eastAsiaTheme="minorEastAsia" w:hint="eastAsia"/>
                <w:bCs/>
                <w:iCs/>
                <w:color w:val="000000"/>
                <w:sz w:val="22"/>
              </w:rPr>
              <w:t>□业绩说明会</w:t>
            </w:r>
          </w:p>
          <w:p w14:paraId="0042B3D9" w14:textId="77777777" w:rsidR="001D5831" w:rsidRDefault="00580EC2">
            <w:pPr>
              <w:spacing w:line="360" w:lineRule="auto"/>
              <w:rPr>
                <w:rFonts w:eastAsiaTheme="minorEastAsia"/>
                <w:bCs/>
                <w:iCs/>
                <w:color w:val="000000"/>
                <w:sz w:val="22"/>
              </w:rPr>
            </w:pPr>
            <w:r>
              <w:rPr>
                <w:rFonts w:eastAsiaTheme="minorEastAsia" w:hint="eastAsia"/>
                <w:bCs/>
                <w:iCs/>
                <w:color w:val="000000"/>
                <w:sz w:val="22"/>
              </w:rPr>
              <w:t>□</w:t>
            </w:r>
            <w:r>
              <w:rPr>
                <w:rFonts w:eastAsiaTheme="minorEastAsia"/>
                <w:sz w:val="22"/>
              </w:rPr>
              <w:t>新闻发布会</w:t>
            </w:r>
            <w:r>
              <w:rPr>
                <w:rFonts w:eastAsiaTheme="minorEastAsia"/>
                <w:sz w:val="22"/>
              </w:rPr>
              <w:t xml:space="preserve">          </w:t>
            </w:r>
            <w:r>
              <w:rPr>
                <w:rFonts w:eastAsiaTheme="minorEastAsia" w:hint="eastAsia"/>
                <w:bCs/>
                <w:iCs/>
                <w:color w:val="000000"/>
                <w:sz w:val="22"/>
              </w:rPr>
              <w:t>☑</w:t>
            </w:r>
            <w:r>
              <w:rPr>
                <w:rFonts w:eastAsiaTheme="minorEastAsia"/>
                <w:sz w:val="22"/>
              </w:rPr>
              <w:t>路演活动</w:t>
            </w:r>
          </w:p>
          <w:p w14:paraId="016317F3" w14:textId="77777777" w:rsidR="001D5831" w:rsidRDefault="00580EC2">
            <w:pPr>
              <w:tabs>
                <w:tab w:val="left" w:pos="3045"/>
                <w:tab w:val="center" w:pos="3199"/>
              </w:tabs>
              <w:spacing w:line="360" w:lineRule="auto"/>
              <w:rPr>
                <w:rFonts w:eastAsiaTheme="minorEastAsia"/>
                <w:bCs/>
                <w:iCs/>
                <w:color w:val="000000"/>
                <w:sz w:val="22"/>
              </w:rPr>
            </w:pPr>
            <w:r>
              <w:rPr>
                <w:rFonts w:eastAsiaTheme="minorEastAsia" w:hint="eastAsia"/>
                <w:bCs/>
                <w:iCs/>
                <w:color w:val="000000"/>
                <w:sz w:val="22"/>
              </w:rPr>
              <w:t>□</w:t>
            </w:r>
            <w:r>
              <w:rPr>
                <w:rFonts w:eastAsiaTheme="minorEastAsia"/>
                <w:sz w:val="22"/>
              </w:rPr>
              <w:t>现场参观</w:t>
            </w:r>
            <w:r>
              <w:rPr>
                <w:rFonts w:eastAsiaTheme="minorEastAsia"/>
                <w:bCs/>
                <w:iCs/>
                <w:color w:val="000000"/>
                <w:sz w:val="22"/>
              </w:rPr>
              <w:tab/>
            </w:r>
          </w:p>
          <w:p w14:paraId="0795FF3A" w14:textId="77777777" w:rsidR="001D5831" w:rsidRDefault="00580EC2">
            <w:pPr>
              <w:tabs>
                <w:tab w:val="center" w:pos="3199"/>
              </w:tabs>
              <w:spacing w:line="360" w:lineRule="auto"/>
              <w:rPr>
                <w:rFonts w:eastAsiaTheme="minorEastAsia"/>
                <w:bCs/>
                <w:iCs/>
                <w:color w:val="000000"/>
                <w:sz w:val="22"/>
              </w:rPr>
            </w:pPr>
            <w:r>
              <w:rPr>
                <w:rFonts w:eastAsiaTheme="minorEastAsia" w:hint="eastAsia"/>
                <w:bCs/>
                <w:iCs/>
                <w:color w:val="000000"/>
                <w:sz w:val="22"/>
              </w:rPr>
              <w:t>☑</w:t>
            </w:r>
            <w:r>
              <w:rPr>
                <w:rFonts w:eastAsiaTheme="minorEastAsia"/>
                <w:sz w:val="22"/>
              </w:rPr>
              <w:t>其他</w:t>
            </w:r>
            <w:r>
              <w:rPr>
                <w:rFonts w:eastAsiaTheme="minorEastAsia"/>
                <w:sz w:val="22"/>
              </w:rPr>
              <w:t xml:space="preserve"> </w:t>
            </w:r>
            <w:r>
              <w:rPr>
                <w:rFonts w:eastAsiaTheme="minorEastAsia"/>
                <w:sz w:val="22"/>
              </w:rPr>
              <w:t>（电话会议）</w:t>
            </w:r>
          </w:p>
        </w:tc>
      </w:tr>
      <w:tr w:rsidR="001D5831" w14:paraId="75AA8227" w14:textId="77777777">
        <w:trPr>
          <w:trHeight w:val="3355"/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A0A33" w14:textId="77777777" w:rsidR="001D5831" w:rsidRDefault="00580EC2">
            <w:pPr>
              <w:spacing w:line="360" w:lineRule="auto"/>
              <w:rPr>
                <w:rFonts w:eastAsiaTheme="minorEastAsia"/>
                <w:bCs/>
                <w:iCs/>
                <w:color w:val="000000"/>
                <w:sz w:val="22"/>
              </w:rPr>
            </w:pPr>
            <w:r>
              <w:rPr>
                <w:rFonts w:eastAsiaTheme="minorEastAsia"/>
                <w:bCs/>
                <w:iCs/>
                <w:color w:val="000000"/>
                <w:sz w:val="22"/>
              </w:rPr>
              <w:t>参与单位名称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EA98D" w14:textId="77777777" w:rsidR="001D5831" w:rsidRDefault="00580EC2">
            <w:pPr>
              <w:spacing w:line="400" w:lineRule="exact"/>
              <w:rPr>
                <w:bCs/>
                <w:iCs/>
                <w:color w:val="000000"/>
                <w:sz w:val="22"/>
              </w:rPr>
            </w:pPr>
            <w:r>
              <w:rPr>
                <w:bCs/>
                <w:iCs/>
                <w:color w:val="000000"/>
                <w:sz w:val="22"/>
              </w:rPr>
              <w:t>嘉实基金、</w:t>
            </w:r>
            <w:proofErr w:type="gramStart"/>
            <w:r>
              <w:rPr>
                <w:bCs/>
                <w:iCs/>
                <w:color w:val="000000"/>
                <w:sz w:val="22"/>
              </w:rPr>
              <w:t>钦沐资产</w:t>
            </w:r>
            <w:proofErr w:type="gramEnd"/>
            <w:r>
              <w:rPr>
                <w:bCs/>
                <w:iCs/>
                <w:color w:val="000000"/>
                <w:sz w:val="22"/>
              </w:rPr>
              <w:t>、</w:t>
            </w:r>
            <w:proofErr w:type="gramStart"/>
            <w:r>
              <w:rPr>
                <w:bCs/>
                <w:iCs/>
                <w:color w:val="000000"/>
                <w:sz w:val="22"/>
              </w:rPr>
              <w:t>六禾</w:t>
            </w:r>
            <w:proofErr w:type="gramEnd"/>
            <w:r>
              <w:rPr>
                <w:bCs/>
                <w:iCs/>
                <w:color w:val="000000"/>
                <w:sz w:val="22"/>
              </w:rPr>
              <w:t>致谦、</w:t>
            </w:r>
            <w:proofErr w:type="gramStart"/>
            <w:r>
              <w:rPr>
                <w:bCs/>
                <w:iCs/>
                <w:color w:val="000000"/>
                <w:sz w:val="22"/>
              </w:rPr>
              <w:t>羿鹏基</w:t>
            </w:r>
            <w:proofErr w:type="gramEnd"/>
            <w:r>
              <w:rPr>
                <w:bCs/>
                <w:iCs/>
                <w:color w:val="000000"/>
                <w:sz w:val="22"/>
              </w:rPr>
              <w:t>金、弘洛基金、</w:t>
            </w:r>
            <w:r>
              <w:rPr>
                <w:bCs/>
                <w:iCs/>
                <w:color w:val="000000"/>
                <w:sz w:val="22"/>
              </w:rPr>
              <w:t>UG Investment</w:t>
            </w:r>
            <w:r>
              <w:rPr>
                <w:bCs/>
                <w:iCs/>
                <w:color w:val="000000"/>
                <w:sz w:val="22"/>
              </w:rPr>
              <w:t>、渤海人寿、伍峰基金、</w:t>
            </w:r>
            <w:proofErr w:type="gramStart"/>
            <w:r>
              <w:rPr>
                <w:bCs/>
                <w:iCs/>
                <w:color w:val="000000"/>
                <w:sz w:val="22"/>
              </w:rPr>
              <w:t>熵简基</w:t>
            </w:r>
            <w:proofErr w:type="gramEnd"/>
            <w:r>
              <w:rPr>
                <w:bCs/>
                <w:iCs/>
                <w:color w:val="000000"/>
                <w:sz w:val="22"/>
              </w:rPr>
              <w:t>金、高信百诺、国华兴益、鸿运私募、益和</w:t>
            </w:r>
            <w:proofErr w:type="gramStart"/>
            <w:r>
              <w:rPr>
                <w:bCs/>
                <w:iCs/>
                <w:color w:val="000000"/>
                <w:sz w:val="22"/>
              </w:rPr>
              <w:t>源</w:t>
            </w:r>
            <w:proofErr w:type="gramEnd"/>
            <w:r>
              <w:rPr>
                <w:bCs/>
                <w:iCs/>
                <w:color w:val="000000"/>
                <w:sz w:val="22"/>
              </w:rPr>
              <w:t>、江信基金、尚诚资产、敦成基金、明汯投资、</w:t>
            </w:r>
            <w:r>
              <w:rPr>
                <w:bCs/>
                <w:iCs/>
                <w:color w:val="000000"/>
                <w:sz w:val="22"/>
              </w:rPr>
              <w:t>Topaz</w:t>
            </w:r>
            <w:r>
              <w:rPr>
                <w:bCs/>
                <w:iCs/>
                <w:color w:val="000000"/>
                <w:sz w:val="22"/>
              </w:rPr>
              <w:t>家办、长江资管、施罗德、象舆行、</w:t>
            </w:r>
            <w:proofErr w:type="gramStart"/>
            <w:r>
              <w:rPr>
                <w:bCs/>
                <w:iCs/>
                <w:color w:val="000000"/>
                <w:sz w:val="22"/>
              </w:rPr>
              <w:t>玖石投</w:t>
            </w:r>
            <w:proofErr w:type="gramEnd"/>
            <w:r>
              <w:rPr>
                <w:bCs/>
                <w:iCs/>
                <w:color w:val="000000"/>
                <w:sz w:val="22"/>
              </w:rPr>
              <w:t>资、长见投资、富达国际、嘉世私募、</w:t>
            </w:r>
            <w:proofErr w:type="gramStart"/>
            <w:r>
              <w:rPr>
                <w:bCs/>
                <w:iCs/>
                <w:color w:val="000000"/>
                <w:sz w:val="22"/>
              </w:rPr>
              <w:t>坤易投</w:t>
            </w:r>
            <w:proofErr w:type="gramEnd"/>
            <w:r>
              <w:rPr>
                <w:bCs/>
                <w:iCs/>
                <w:color w:val="000000"/>
                <w:sz w:val="22"/>
              </w:rPr>
              <w:t>资、</w:t>
            </w:r>
            <w:r>
              <w:rPr>
                <w:bCs/>
                <w:iCs/>
                <w:color w:val="000000"/>
                <w:sz w:val="22"/>
              </w:rPr>
              <w:t>IGWT</w:t>
            </w:r>
            <w:r>
              <w:rPr>
                <w:bCs/>
                <w:iCs/>
                <w:color w:val="000000"/>
                <w:sz w:val="22"/>
              </w:rPr>
              <w:t>、华夏基金、</w:t>
            </w:r>
            <w:proofErr w:type="gramStart"/>
            <w:r>
              <w:rPr>
                <w:bCs/>
                <w:iCs/>
                <w:color w:val="000000"/>
                <w:sz w:val="22"/>
              </w:rPr>
              <w:t>国投瑞</w:t>
            </w:r>
            <w:proofErr w:type="gramEnd"/>
            <w:r>
              <w:rPr>
                <w:bCs/>
                <w:iCs/>
                <w:color w:val="000000"/>
                <w:sz w:val="22"/>
              </w:rPr>
              <w:t>银、巨杉资产、申万菱信、环懿私募、元昊投资、康橙投资、寰鼎投资、睿郡、泰康基金、安信基金、齐济合创、</w:t>
            </w:r>
            <w:r>
              <w:rPr>
                <w:bCs/>
                <w:iCs/>
                <w:color w:val="000000"/>
                <w:sz w:val="22"/>
              </w:rPr>
              <w:t>Point72</w:t>
            </w:r>
            <w:r>
              <w:rPr>
                <w:bCs/>
                <w:iCs/>
                <w:color w:val="000000"/>
                <w:sz w:val="22"/>
              </w:rPr>
              <w:t>、华璞投资、博时基金、南方基金、圆合金控、广发基金、瑞圣源、</w:t>
            </w:r>
            <w:proofErr w:type="gramStart"/>
            <w:r>
              <w:rPr>
                <w:bCs/>
                <w:iCs/>
                <w:color w:val="000000"/>
                <w:sz w:val="22"/>
              </w:rPr>
              <w:t>兴证全</w:t>
            </w:r>
            <w:proofErr w:type="gramEnd"/>
            <w:r>
              <w:rPr>
                <w:bCs/>
                <w:iCs/>
                <w:color w:val="000000"/>
                <w:sz w:val="22"/>
              </w:rPr>
              <w:t>球、伯兄资产、</w:t>
            </w:r>
            <w:proofErr w:type="gramStart"/>
            <w:r>
              <w:rPr>
                <w:bCs/>
                <w:iCs/>
                <w:color w:val="000000"/>
                <w:sz w:val="22"/>
              </w:rPr>
              <w:t>泉果基</w:t>
            </w:r>
            <w:proofErr w:type="gramEnd"/>
            <w:r>
              <w:rPr>
                <w:bCs/>
                <w:iCs/>
                <w:color w:val="000000"/>
                <w:sz w:val="22"/>
              </w:rPr>
              <w:t>金、长盛基金、喜世润、禹田资本、羊角私募、宁泉资产、</w:t>
            </w:r>
            <w:proofErr w:type="gramStart"/>
            <w:r>
              <w:rPr>
                <w:bCs/>
                <w:iCs/>
                <w:color w:val="000000"/>
                <w:sz w:val="22"/>
              </w:rPr>
              <w:t>渝汇投</w:t>
            </w:r>
            <w:proofErr w:type="gramEnd"/>
            <w:r>
              <w:rPr>
                <w:bCs/>
                <w:iCs/>
                <w:color w:val="000000"/>
                <w:sz w:val="22"/>
              </w:rPr>
              <w:t>资、</w:t>
            </w:r>
            <w:proofErr w:type="gramStart"/>
            <w:r>
              <w:rPr>
                <w:bCs/>
                <w:iCs/>
                <w:color w:val="000000"/>
                <w:sz w:val="22"/>
              </w:rPr>
              <w:t>泽铭投</w:t>
            </w:r>
            <w:proofErr w:type="gramEnd"/>
            <w:r>
              <w:rPr>
                <w:bCs/>
                <w:iCs/>
                <w:color w:val="000000"/>
                <w:sz w:val="22"/>
              </w:rPr>
              <w:t>资、大湾区发展基金、道仁资产、国泰海</w:t>
            </w:r>
            <w:proofErr w:type="gramStart"/>
            <w:r>
              <w:rPr>
                <w:bCs/>
                <w:iCs/>
                <w:color w:val="000000"/>
                <w:sz w:val="22"/>
              </w:rPr>
              <w:t>通资管、寰</w:t>
            </w:r>
            <w:proofErr w:type="gramEnd"/>
            <w:r>
              <w:rPr>
                <w:bCs/>
                <w:iCs/>
                <w:color w:val="000000"/>
                <w:sz w:val="22"/>
              </w:rPr>
              <w:t>宸私募、开源证券、</w:t>
            </w:r>
            <w:proofErr w:type="gramStart"/>
            <w:r>
              <w:rPr>
                <w:bCs/>
                <w:iCs/>
                <w:color w:val="000000"/>
                <w:sz w:val="22"/>
              </w:rPr>
              <w:t>泓德基</w:t>
            </w:r>
            <w:proofErr w:type="gramEnd"/>
            <w:r>
              <w:rPr>
                <w:bCs/>
                <w:iCs/>
                <w:color w:val="000000"/>
                <w:sz w:val="22"/>
              </w:rPr>
              <w:t>金、招商证券、银华基金、重阳投资、富国基金、中信建投、国泰海通、</w:t>
            </w:r>
            <w:proofErr w:type="gramStart"/>
            <w:r>
              <w:rPr>
                <w:bCs/>
                <w:iCs/>
                <w:color w:val="000000"/>
                <w:sz w:val="22"/>
              </w:rPr>
              <w:t>工银瑞</w:t>
            </w:r>
            <w:proofErr w:type="gramEnd"/>
            <w:r>
              <w:rPr>
                <w:bCs/>
                <w:iCs/>
                <w:color w:val="000000"/>
                <w:sz w:val="22"/>
              </w:rPr>
              <w:t>信、中信证券、</w:t>
            </w:r>
            <w:r>
              <w:rPr>
                <w:bCs/>
                <w:iCs/>
                <w:color w:val="000000"/>
                <w:sz w:val="22"/>
              </w:rPr>
              <w:t>Keystone Investor</w:t>
            </w:r>
            <w:r>
              <w:rPr>
                <w:bCs/>
                <w:iCs/>
                <w:color w:val="000000"/>
                <w:sz w:val="22"/>
              </w:rPr>
              <w:t>、国信证券、西部证券、摩根基金、东方红、</w:t>
            </w:r>
            <w:proofErr w:type="gramStart"/>
            <w:r>
              <w:rPr>
                <w:bCs/>
                <w:iCs/>
                <w:color w:val="000000"/>
                <w:sz w:val="22"/>
              </w:rPr>
              <w:t>汇添</w:t>
            </w:r>
            <w:proofErr w:type="gramEnd"/>
            <w:r>
              <w:rPr>
                <w:bCs/>
                <w:iCs/>
                <w:color w:val="000000"/>
                <w:sz w:val="22"/>
              </w:rPr>
              <w:t>富、华泰资产、华安基金、高瓴投资、</w:t>
            </w:r>
            <w:r>
              <w:rPr>
                <w:bCs/>
                <w:iCs/>
                <w:color w:val="000000"/>
                <w:sz w:val="22"/>
              </w:rPr>
              <w:t>UBS</w:t>
            </w:r>
            <w:r>
              <w:rPr>
                <w:bCs/>
                <w:iCs/>
                <w:color w:val="000000"/>
                <w:sz w:val="22"/>
              </w:rPr>
              <w:t>、华福证券、</w:t>
            </w:r>
            <w:proofErr w:type="gramStart"/>
            <w:r>
              <w:rPr>
                <w:bCs/>
                <w:iCs/>
                <w:color w:val="000000"/>
                <w:sz w:val="22"/>
              </w:rPr>
              <w:t>中信保</w:t>
            </w:r>
            <w:proofErr w:type="gramEnd"/>
            <w:r>
              <w:rPr>
                <w:bCs/>
                <w:iCs/>
                <w:color w:val="000000"/>
                <w:sz w:val="22"/>
              </w:rPr>
              <w:t>诚、中信自营、</w:t>
            </w:r>
            <w:proofErr w:type="gramStart"/>
            <w:r>
              <w:rPr>
                <w:bCs/>
                <w:iCs/>
                <w:color w:val="000000"/>
                <w:sz w:val="22"/>
              </w:rPr>
              <w:t>盘京投</w:t>
            </w:r>
            <w:proofErr w:type="gramEnd"/>
            <w:r>
              <w:rPr>
                <w:bCs/>
                <w:iCs/>
                <w:color w:val="000000"/>
                <w:sz w:val="22"/>
              </w:rPr>
              <w:t>资、人保养老、华夏久盈、源峰基金、煌德投资、中</w:t>
            </w:r>
            <w:proofErr w:type="gramStart"/>
            <w:r>
              <w:rPr>
                <w:bCs/>
                <w:iCs/>
                <w:color w:val="000000"/>
                <w:sz w:val="22"/>
              </w:rPr>
              <w:t>信建投基</w:t>
            </w:r>
            <w:proofErr w:type="gramEnd"/>
            <w:r>
              <w:rPr>
                <w:bCs/>
                <w:iCs/>
                <w:color w:val="000000"/>
                <w:sz w:val="22"/>
              </w:rPr>
              <w:t>金、国联基金、平安基金、泰康资产、新华资产、方正富邦基金、建信基金、华商基金、财通证券、易方达基金、鹏华基金、信达澳亚基金、融通基金、大成基金、建信养老、景顺长城、前海开源、宝盈基金、明河投资、仁桥资产、中金公司、东吴证券、淡水泉、华西证券、国盛证券、太平资产、财通资管、汇丰晋信、永赢基金、人保资产、兴全基金、平安</w:t>
            </w:r>
            <w:r>
              <w:rPr>
                <w:rFonts w:hint="eastAsia"/>
                <w:bCs/>
                <w:iCs/>
                <w:color w:val="000000"/>
                <w:sz w:val="22"/>
              </w:rPr>
              <w:t>资管</w:t>
            </w:r>
          </w:p>
        </w:tc>
      </w:tr>
      <w:tr w:rsidR="001D5831" w14:paraId="2333D913" w14:textId="77777777">
        <w:trPr>
          <w:trHeight w:val="548"/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99A44" w14:textId="77777777" w:rsidR="001D5831" w:rsidRDefault="00580EC2">
            <w:pPr>
              <w:spacing w:line="360" w:lineRule="auto"/>
              <w:rPr>
                <w:rFonts w:eastAsiaTheme="minorEastAsia"/>
                <w:bCs/>
                <w:iCs/>
                <w:color w:val="000000"/>
                <w:sz w:val="22"/>
              </w:rPr>
            </w:pPr>
            <w:r>
              <w:rPr>
                <w:rFonts w:eastAsiaTheme="minorEastAsia"/>
                <w:bCs/>
                <w:iCs/>
                <w:color w:val="000000"/>
                <w:sz w:val="22"/>
              </w:rPr>
              <w:lastRenderedPageBreak/>
              <w:t>时间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38338" w14:textId="77777777" w:rsidR="001D5831" w:rsidRDefault="00580EC2">
            <w:pPr>
              <w:spacing w:line="360" w:lineRule="auto"/>
              <w:rPr>
                <w:rFonts w:eastAsiaTheme="minorEastAsia"/>
                <w:bCs/>
                <w:iCs/>
                <w:color w:val="000000"/>
                <w:sz w:val="22"/>
              </w:rPr>
            </w:pPr>
            <w:r>
              <w:rPr>
                <w:rFonts w:eastAsiaTheme="minorEastAsia"/>
                <w:sz w:val="22"/>
              </w:rPr>
              <w:t>2026</w:t>
            </w:r>
            <w:r>
              <w:rPr>
                <w:rFonts w:eastAsiaTheme="minorEastAsia"/>
                <w:sz w:val="22"/>
              </w:rPr>
              <w:t>年</w:t>
            </w:r>
            <w:r>
              <w:rPr>
                <w:rFonts w:eastAsiaTheme="minorEastAsia"/>
                <w:sz w:val="22"/>
              </w:rPr>
              <w:t>7</w:t>
            </w:r>
            <w:r>
              <w:rPr>
                <w:rFonts w:eastAsiaTheme="minorEastAsia"/>
                <w:sz w:val="22"/>
              </w:rPr>
              <w:t>月</w:t>
            </w:r>
            <w:r>
              <w:rPr>
                <w:rFonts w:eastAsiaTheme="minorEastAsia"/>
                <w:sz w:val="22"/>
              </w:rPr>
              <w:t>-8</w:t>
            </w:r>
            <w:r>
              <w:rPr>
                <w:rFonts w:eastAsiaTheme="minorEastAsia"/>
                <w:sz w:val="22"/>
              </w:rPr>
              <w:t>月</w:t>
            </w:r>
          </w:p>
        </w:tc>
      </w:tr>
      <w:tr w:rsidR="001D5831" w14:paraId="63EEE752" w14:textId="77777777">
        <w:trPr>
          <w:trHeight w:val="574"/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41520" w14:textId="77777777" w:rsidR="001D5831" w:rsidRDefault="00580EC2">
            <w:pPr>
              <w:spacing w:line="360" w:lineRule="auto"/>
              <w:rPr>
                <w:rFonts w:eastAsiaTheme="minorEastAsia"/>
                <w:bCs/>
                <w:iCs/>
                <w:color w:val="000000"/>
                <w:sz w:val="22"/>
              </w:rPr>
            </w:pPr>
            <w:r>
              <w:rPr>
                <w:rFonts w:eastAsiaTheme="minorEastAsia"/>
                <w:bCs/>
                <w:iCs/>
                <w:color w:val="000000"/>
                <w:sz w:val="22"/>
              </w:rPr>
              <w:t>地点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AC8E9" w14:textId="77777777" w:rsidR="001D5831" w:rsidRDefault="00580EC2">
            <w:pPr>
              <w:spacing w:line="360" w:lineRule="auto"/>
              <w:rPr>
                <w:rFonts w:eastAsiaTheme="minorEastAsia"/>
                <w:bCs/>
                <w:iCs/>
                <w:color w:val="000000"/>
                <w:sz w:val="22"/>
              </w:rPr>
            </w:pPr>
            <w:r>
              <w:rPr>
                <w:rFonts w:eastAsiaTheme="minorEastAsia"/>
                <w:bCs/>
                <w:iCs/>
                <w:color w:val="000000"/>
                <w:sz w:val="22"/>
              </w:rPr>
              <w:t>线上及线下会议</w:t>
            </w:r>
          </w:p>
        </w:tc>
      </w:tr>
      <w:tr w:rsidR="001D5831" w14:paraId="74313CB9" w14:textId="77777777">
        <w:trPr>
          <w:trHeight w:val="1588"/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155C7" w14:textId="77777777" w:rsidR="001D5831" w:rsidRDefault="00580EC2">
            <w:pPr>
              <w:spacing w:line="360" w:lineRule="auto"/>
              <w:rPr>
                <w:rFonts w:eastAsiaTheme="minorEastAsia"/>
                <w:bCs/>
                <w:iCs/>
                <w:color w:val="000000"/>
                <w:sz w:val="22"/>
              </w:rPr>
            </w:pPr>
            <w:r>
              <w:rPr>
                <w:rFonts w:eastAsiaTheme="minorEastAsia"/>
                <w:bCs/>
                <w:iCs/>
                <w:color w:val="000000"/>
                <w:sz w:val="22"/>
              </w:rPr>
              <w:t>上市公司接待人员姓名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59A1F" w14:textId="77777777" w:rsidR="001D5831" w:rsidRDefault="00580EC2">
            <w:pPr>
              <w:pStyle w:val="TableText"/>
              <w:spacing w:line="520" w:lineRule="exact"/>
              <w:rPr>
                <w:rFonts w:ascii="Times New Roman" w:eastAsiaTheme="minorEastAsia" w:hAnsi="Times New Roman" w:cs="Times New Roman"/>
                <w:sz w:val="22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22"/>
                <w:lang w:eastAsia="zh-CN"/>
              </w:rPr>
              <w:t>董事会秘书</w:t>
            </w:r>
            <w:r>
              <w:rPr>
                <w:rFonts w:ascii="Times New Roman" w:eastAsiaTheme="minorEastAsia" w:hAnsi="Times New Roman" w:cs="Times New Roman"/>
                <w:sz w:val="22"/>
                <w:lang w:eastAsia="zh-CN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2"/>
                <w:lang w:eastAsia="zh-CN"/>
              </w:rPr>
              <w:t>梁映珍、投资者关系</w:t>
            </w:r>
            <w:r>
              <w:rPr>
                <w:rFonts w:ascii="Times New Roman" w:eastAsiaTheme="minorEastAsia" w:hAnsi="Times New Roman" w:cs="Times New Roman"/>
                <w:sz w:val="22"/>
                <w:lang w:eastAsia="zh-CN"/>
              </w:rPr>
              <w:t xml:space="preserve"> </w:t>
            </w:r>
            <w:proofErr w:type="gramStart"/>
            <w:r>
              <w:rPr>
                <w:rFonts w:ascii="Times New Roman" w:eastAsiaTheme="minorEastAsia" w:hAnsi="Times New Roman" w:cs="Times New Roman"/>
                <w:sz w:val="22"/>
                <w:lang w:eastAsia="zh-CN"/>
              </w:rPr>
              <w:t>艾赛斯</w:t>
            </w:r>
            <w:proofErr w:type="gramEnd"/>
          </w:p>
        </w:tc>
      </w:tr>
      <w:tr w:rsidR="001D5831" w14:paraId="16BEFE9C" w14:textId="77777777">
        <w:trPr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0C093" w14:textId="77777777" w:rsidR="001D5831" w:rsidRDefault="00580EC2">
            <w:pPr>
              <w:spacing w:line="360" w:lineRule="auto"/>
              <w:rPr>
                <w:rFonts w:eastAsiaTheme="minorEastAsia"/>
                <w:bCs/>
                <w:iCs/>
                <w:color w:val="000000"/>
                <w:sz w:val="22"/>
              </w:rPr>
            </w:pPr>
            <w:r>
              <w:rPr>
                <w:rFonts w:eastAsiaTheme="minorEastAsia"/>
                <w:bCs/>
                <w:iCs/>
                <w:color w:val="000000"/>
                <w:sz w:val="22"/>
              </w:rPr>
              <w:t>投资者关系活动主要内容介绍</w:t>
            </w:r>
          </w:p>
          <w:p w14:paraId="2676D352" w14:textId="77777777" w:rsidR="001D5831" w:rsidRDefault="001D5831">
            <w:pPr>
              <w:spacing w:line="360" w:lineRule="auto"/>
              <w:rPr>
                <w:rFonts w:eastAsiaTheme="minorEastAsia"/>
                <w:bCs/>
                <w:iCs/>
                <w:color w:val="000000"/>
                <w:sz w:val="22"/>
              </w:rPr>
            </w:pP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01000" w14:textId="77777777" w:rsidR="001D5831" w:rsidRDefault="00580EC2">
            <w:pPr>
              <w:spacing w:line="480" w:lineRule="exact"/>
              <w:rPr>
                <w:rFonts w:eastAsiaTheme="minorEastAsia"/>
                <w:b/>
                <w:bCs/>
                <w:iCs/>
                <w:color w:val="000000" w:themeColor="text1"/>
                <w:sz w:val="22"/>
              </w:rPr>
            </w:pPr>
            <w:r>
              <w:rPr>
                <w:rFonts w:eastAsiaTheme="minorEastAsia" w:hint="eastAsia"/>
                <w:b/>
                <w:bCs/>
                <w:iCs/>
                <w:color w:val="000000" w:themeColor="text1"/>
                <w:sz w:val="22"/>
              </w:rPr>
              <w:t>主要交流的问题：</w:t>
            </w:r>
          </w:p>
          <w:p w14:paraId="10001001" w14:textId="26EDD4F3" w:rsidR="001D5831" w:rsidRDefault="00580EC2">
            <w:pPr>
              <w:spacing w:line="480" w:lineRule="exact"/>
              <w:rPr>
                <w:rFonts w:eastAsiaTheme="minorEastAsia"/>
                <w:b/>
                <w:bCs/>
                <w:iCs/>
                <w:color w:val="000000" w:themeColor="text1"/>
                <w:sz w:val="22"/>
              </w:rPr>
            </w:pPr>
            <w:r>
              <w:rPr>
                <w:rFonts w:eastAsiaTheme="minorEastAsia" w:hint="eastAsia"/>
                <w:b/>
                <w:bCs/>
                <w:iCs/>
                <w:color w:val="000000" w:themeColor="text1"/>
                <w:sz w:val="22"/>
              </w:rPr>
              <w:t>问题</w:t>
            </w:r>
            <w:proofErr w:type="gramStart"/>
            <w:r>
              <w:rPr>
                <w:rFonts w:eastAsiaTheme="minorEastAsia" w:hint="eastAsia"/>
                <w:b/>
                <w:bCs/>
                <w:iCs/>
                <w:color w:val="000000" w:themeColor="text1"/>
                <w:sz w:val="22"/>
              </w:rPr>
              <w:t>一</w:t>
            </w:r>
            <w:proofErr w:type="gramEnd"/>
            <w:r>
              <w:rPr>
                <w:rFonts w:eastAsiaTheme="minorEastAsia" w:hint="eastAsia"/>
                <w:b/>
                <w:bCs/>
                <w:iCs/>
                <w:color w:val="000000" w:themeColor="text1"/>
                <w:sz w:val="22"/>
              </w:rPr>
              <w:t>：公司</w:t>
            </w:r>
            <w:r>
              <w:rPr>
                <w:rFonts w:eastAsiaTheme="minorEastAsia" w:hint="eastAsia"/>
                <w:b/>
                <w:bCs/>
                <w:iCs/>
                <w:color w:val="000000" w:themeColor="text1"/>
                <w:sz w:val="22"/>
              </w:rPr>
              <w:t>2026</w:t>
            </w:r>
            <w:r>
              <w:rPr>
                <w:rFonts w:eastAsiaTheme="minorEastAsia" w:hint="eastAsia"/>
                <w:b/>
                <w:bCs/>
                <w:iCs/>
                <w:color w:val="000000" w:themeColor="text1"/>
                <w:sz w:val="22"/>
              </w:rPr>
              <w:t>年上半年及第二季度经营情况如何？</w:t>
            </w:r>
            <w:r w:rsidR="00FB4B0C">
              <w:rPr>
                <w:rFonts w:eastAsiaTheme="minorEastAsia"/>
                <w:b/>
                <w:bCs/>
                <w:iCs/>
                <w:color w:val="000000" w:themeColor="text1"/>
                <w:sz w:val="22"/>
              </w:rPr>
              <w:t xml:space="preserve"> </w:t>
            </w:r>
          </w:p>
          <w:p w14:paraId="10001002" w14:textId="0D0F250E" w:rsidR="001D5831" w:rsidRDefault="00580EC2">
            <w:pPr>
              <w:spacing w:line="480" w:lineRule="exact"/>
              <w:rPr>
                <w:rFonts w:eastAsiaTheme="minorEastAsia"/>
                <w:iCs/>
                <w:color w:val="000000" w:themeColor="text1"/>
                <w:sz w:val="22"/>
              </w:rPr>
            </w:pP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答：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2026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年上半年，公司实现营业收入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15.46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亿元，同比增长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5.19%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；毛利率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35.28%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，较上年同期下降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1.69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个百分点；归属母公司股东净利润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-0.45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亿元。第二季度实现营业收入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7.89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亿元，同比增长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0.56%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、环比第一季度略有提升；单季毛利率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33.2%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，</w:t>
            </w:r>
            <w:proofErr w:type="gramStart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归母净利润</w:t>
            </w:r>
            <w:proofErr w:type="gramEnd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-0.48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亿元。</w:t>
            </w:r>
          </w:p>
          <w:p w14:paraId="063FA53A" w14:textId="77777777" w:rsidR="001D5831" w:rsidRDefault="001D5831">
            <w:pPr>
              <w:spacing w:line="480" w:lineRule="exact"/>
              <w:rPr>
                <w:rFonts w:eastAsiaTheme="minorEastAsia"/>
                <w:iCs/>
                <w:color w:val="000000" w:themeColor="text1"/>
                <w:sz w:val="22"/>
              </w:rPr>
            </w:pPr>
          </w:p>
          <w:p w14:paraId="4687A6ED" w14:textId="77777777" w:rsidR="001D5831" w:rsidRDefault="00580EC2">
            <w:pPr>
              <w:spacing w:line="480" w:lineRule="exact"/>
              <w:rPr>
                <w:rFonts w:eastAsiaTheme="minorEastAsia"/>
                <w:b/>
                <w:bCs/>
                <w:iCs/>
                <w:color w:val="000000" w:themeColor="text1"/>
                <w:sz w:val="22"/>
              </w:rPr>
            </w:pPr>
            <w:r>
              <w:rPr>
                <w:rFonts w:eastAsiaTheme="minorEastAsia" w:hint="eastAsia"/>
                <w:b/>
                <w:bCs/>
                <w:iCs/>
                <w:color w:val="000000" w:themeColor="text1"/>
                <w:sz w:val="22"/>
              </w:rPr>
              <w:t>问题二：毛利率下滑的原因是什么？</w:t>
            </w:r>
          </w:p>
          <w:p w14:paraId="18F1B69C" w14:textId="77777777" w:rsidR="001D5831" w:rsidRDefault="00580EC2">
            <w:pPr>
              <w:spacing w:line="480" w:lineRule="exact"/>
              <w:rPr>
                <w:rFonts w:eastAsiaTheme="minorEastAsia"/>
                <w:iCs/>
                <w:color w:val="000000" w:themeColor="text1"/>
                <w:sz w:val="22"/>
              </w:rPr>
            </w:pP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答：上半年毛利率同比下降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1.69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个百分点，第二季度毛利率降至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33.2%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，主要受公司晶圆代工、封装测试的成本上升，以及消费、汽车等下游需求偏弱、产品结构阶段性承压影响。公司正积极与主要代工、</w:t>
            </w:r>
            <w:proofErr w:type="gramStart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封测合作</w:t>
            </w:r>
            <w:proofErr w:type="gramEnd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伙伴协同匹配产能，寻求在当下产能紧张的背景</w:t>
            </w:r>
            <w:proofErr w:type="gramStart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下供</w:t>
            </w:r>
            <w:proofErr w:type="gramEnd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应稳定。</w:t>
            </w:r>
          </w:p>
          <w:p w14:paraId="0A751351" w14:textId="77777777" w:rsidR="001D5831" w:rsidRDefault="001D5831">
            <w:pPr>
              <w:spacing w:line="480" w:lineRule="exact"/>
              <w:rPr>
                <w:rFonts w:eastAsiaTheme="minorEastAsia"/>
                <w:iCs/>
                <w:color w:val="000000" w:themeColor="text1"/>
                <w:sz w:val="22"/>
              </w:rPr>
            </w:pPr>
          </w:p>
          <w:p w14:paraId="43A7F96D" w14:textId="77777777" w:rsidR="001D5831" w:rsidRDefault="00580EC2">
            <w:pPr>
              <w:spacing w:line="480" w:lineRule="exact"/>
              <w:rPr>
                <w:rFonts w:eastAsiaTheme="minorEastAsia"/>
                <w:b/>
                <w:bCs/>
                <w:iCs/>
                <w:color w:val="000000" w:themeColor="text1"/>
                <w:sz w:val="22"/>
              </w:rPr>
            </w:pPr>
            <w:r>
              <w:rPr>
                <w:rFonts w:eastAsiaTheme="minorEastAsia" w:hint="eastAsia"/>
                <w:b/>
                <w:bCs/>
                <w:iCs/>
                <w:color w:val="000000" w:themeColor="text1"/>
                <w:sz w:val="22"/>
              </w:rPr>
              <w:t>问题三：公司费用率尤其是研发费用率明显提升，主要投向哪些方向？今年研发投入如何展望？</w:t>
            </w:r>
          </w:p>
          <w:p w14:paraId="75E7FD17" w14:textId="77777777" w:rsidR="001D5831" w:rsidRDefault="00580EC2">
            <w:pPr>
              <w:spacing w:line="480" w:lineRule="exact"/>
              <w:rPr>
                <w:rFonts w:eastAsiaTheme="minorEastAsia"/>
                <w:iCs/>
                <w:color w:val="000000" w:themeColor="text1"/>
                <w:sz w:val="22"/>
              </w:rPr>
            </w:pP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答：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2026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年上半年研发费用约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3.75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亿元，研发费用率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24.24%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，较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2025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年同期提升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5.03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个百分点；第二季度研发费用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1.96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亿元、费用率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24.83%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，均为历史单季较高水平。截至上半年，研发人员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885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人、占比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68.5%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，累计专利（含申请）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786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项、核心技术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40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项。研发方向聚焦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AI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电源、智能汽车电子、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AI</w:t>
            </w:r>
            <w:proofErr w:type="gramStart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端侧及</w:t>
            </w:r>
            <w:proofErr w:type="gramEnd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工业智能化。销售费用率提升主要因海外新客户突破及运营、销售规模扩大。预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lastRenderedPageBreak/>
              <w:t>计全年研发费用率较去年显著提高。</w:t>
            </w:r>
          </w:p>
          <w:p w14:paraId="6F601A9E" w14:textId="77777777" w:rsidR="001D5831" w:rsidRDefault="001D5831">
            <w:pPr>
              <w:spacing w:line="480" w:lineRule="exact"/>
              <w:rPr>
                <w:rFonts w:eastAsiaTheme="minorEastAsia"/>
                <w:iCs/>
                <w:color w:val="000000" w:themeColor="text1"/>
                <w:sz w:val="22"/>
              </w:rPr>
            </w:pPr>
          </w:p>
          <w:p w14:paraId="10001005" w14:textId="7A1D7CED" w:rsidR="001D5831" w:rsidRDefault="00580EC2">
            <w:pPr>
              <w:spacing w:line="480" w:lineRule="exact"/>
              <w:rPr>
                <w:rFonts w:eastAsiaTheme="minorEastAsia"/>
                <w:b/>
                <w:bCs/>
                <w:iCs/>
                <w:color w:val="000000" w:themeColor="text1"/>
                <w:sz w:val="22"/>
              </w:rPr>
            </w:pPr>
            <w:r>
              <w:rPr>
                <w:rFonts w:eastAsiaTheme="minorEastAsia" w:hint="eastAsia"/>
                <w:b/>
                <w:bCs/>
                <w:iCs/>
                <w:color w:val="000000" w:themeColor="text1"/>
                <w:sz w:val="22"/>
              </w:rPr>
              <w:t>问题四：</w:t>
            </w:r>
            <w:r>
              <w:rPr>
                <w:rFonts w:eastAsiaTheme="minorEastAsia" w:hint="eastAsia"/>
                <w:b/>
                <w:bCs/>
                <w:iCs/>
                <w:color w:val="000000" w:themeColor="text1"/>
                <w:sz w:val="22"/>
              </w:rPr>
              <w:t>AI</w:t>
            </w:r>
            <w:r>
              <w:rPr>
                <w:rFonts w:eastAsiaTheme="minorEastAsia" w:hint="eastAsia"/>
                <w:b/>
                <w:bCs/>
                <w:iCs/>
                <w:color w:val="000000" w:themeColor="text1"/>
                <w:sz w:val="22"/>
              </w:rPr>
              <w:t>相关业务目前布局和进展如何？</w:t>
            </w:r>
            <w:r w:rsidR="006D58A3">
              <w:rPr>
                <w:rFonts w:eastAsiaTheme="minorEastAsia"/>
                <w:b/>
                <w:bCs/>
                <w:iCs/>
                <w:color w:val="000000" w:themeColor="text1"/>
                <w:sz w:val="22"/>
              </w:rPr>
              <w:t xml:space="preserve"> </w:t>
            </w:r>
          </w:p>
          <w:p w14:paraId="494C3562" w14:textId="222B2206" w:rsidR="001D5831" w:rsidRDefault="00580EC2">
            <w:pPr>
              <w:spacing w:line="480" w:lineRule="exact"/>
              <w:rPr>
                <w:rFonts w:eastAsiaTheme="minorEastAsia"/>
                <w:iCs/>
                <w:color w:val="000000" w:themeColor="text1"/>
                <w:sz w:val="22"/>
              </w:rPr>
            </w:pP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答：公司正全面推进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AI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相关产品布局，产品聚焦四个方向：一是中高压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AI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电源，围绕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800V HVDC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机柜一次侧及柜内二次侧，部分中压产品已向电源客户批量出货，更多中高压方案将在未来持续推出并导入重点客户；二是低压大电流多相供电，已推出多款四相控制器和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 xml:space="preserve">60A </w:t>
            </w:r>
            <w:proofErr w:type="spellStart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DrMOS</w:t>
            </w:r>
            <w:proofErr w:type="spellEnd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，后续将推出更高电流</w:t>
            </w:r>
            <w:proofErr w:type="spellStart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DrMOS</w:t>
            </w:r>
            <w:proofErr w:type="spellEnd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、更高相位控制器；三是存储电源，围绕新一代</w:t>
            </w:r>
            <w:proofErr w:type="spellStart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cSSD</w:t>
            </w:r>
            <w:proofErr w:type="spellEnd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、</w:t>
            </w:r>
            <w:proofErr w:type="spellStart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eSSD</w:t>
            </w:r>
            <w:proofErr w:type="spellEnd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、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SOCAMM2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、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LPCAMM2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等场景，布局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PMIC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、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DC-DC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及电荷泵等电源方案；四是光通信模拟芯片，</w:t>
            </w:r>
            <w:r w:rsidR="006D58A3">
              <w:rPr>
                <w:rFonts w:eastAsiaTheme="minorEastAsia" w:hint="eastAsia"/>
                <w:iCs/>
                <w:color w:val="000000" w:themeColor="text1"/>
                <w:sz w:val="22"/>
              </w:rPr>
              <w:t>公司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基于</w:t>
            </w:r>
            <w:r w:rsidR="006D58A3">
              <w:rPr>
                <w:rFonts w:eastAsiaTheme="minorEastAsia" w:hint="eastAsia"/>
                <w:iCs/>
                <w:color w:val="000000" w:themeColor="text1"/>
                <w:sz w:val="22"/>
              </w:rPr>
              <w:t>现有</w:t>
            </w:r>
            <w:proofErr w:type="gramStart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根技术</w:t>
            </w:r>
            <w:proofErr w:type="gramEnd"/>
            <w:r w:rsidR="006D58A3">
              <w:rPr>
                <w:rFonts w:eastAsiaTheme="minorEastAsia" w:hint="eastAsia"/>
                <w:iCs/>
                <w:color w:val="000000" w:themeColor="text1"/>
                <w:sz w:val="22"/>
              </w:rPr>
              <w:t>的积累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，正在</w:t>
            </w:r>
            <w:r w:rsidR="006D58A3">
              <w:rPr>
                <w:rFonts w:eastAsiaTheme="minorEastAsia" w:hint="eastAsia"/>
                <w:iCs/>
                <w:color w:val="000000" w:themeColor="text1"/>
                <w:sz w:val="22"/>
              </w:rPr>
              <w:t>研发应用于光模块的通用电源产品。</w:t>
            </w:r>
          </w:p>
          <w:p w14:paraId="18B78A62" w14:textId="77777777" w:rsidR="001D5831" w:rsidRDefault="001D5831">
            <w:pPr>
              <w:spacing w:line="480" w:lineRule="exact"/>
              <w:rPr>
                <w:rFonts w:eastAsiaTheme="minorEastAsia"/>
                <w:iCs/>
                <w:color w:val="000000" w:themeColor="text1"/>
                <w:sz w:val="22"/>
              </w:rPr>
            </w:pPr>
          </w:p>
          <w:p w14:paraId="10001007" w14:textId="41AB3E73" w:rsidR="001D5831" w:rsidRDefault="00580EC2">
            <w:pPr>
              <w:spacing w:line="480" w:lineRule="exact"/>
              <w:rPr>
                <w:rFonts w:eastAsiaTheme="minorEastAsia"/>
                <w:b/>
                <w:bCs/>
                <w:iCs/>
                <w:color w:val="000000" w:themeColor="text1"/>
                <w:sz w:val="22"/>
              </w:rPr>
            </w:pPr>
            <w:r>
              <w:rPr>
                <w:rFonts w:eastAsiaTheme="minorEastAsia" w:hint="eastAsia"/>
                <w:b/>
                <w:bCs/>
                <w:iCs/>
                <w:color w:val="000000" w:themeColor="text1"/>
                <w:sz w:val="22"/>
              </w:rPr>
              <w:t>问题五：汽车和工业业务进展如何？</w:t>
            </w:r>
          </w:p>
          <w:p w14:paraId="10001008" w14:textId="31066EAE" w:rsidR="001D5831" w:rsidRDefault="00580EC2">
            <w:pPr>
              <w:spacing w:line="480" w:lineRule="exact"/>
              <w:rPr>
                <w:rFonts w:eastAsiaTheme="minorEastAsia"/>
                <w:bCs/>
                <w:iCs/>
                <w:color w:val="000000" w:themeColor="text1"/>
                <w:sz w:val="22"/>
              </w:rPr>
            </w:pP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答：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2023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年至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2024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年汽车与工业收入占比均不超过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6%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，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2025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年汽车、工业、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AI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合计占比突破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10%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，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2026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年上半年进一步提升至约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13%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。汽车方面，产品覆盖车身、座舱、</w:t>
            </w:r>
            <w:proofErr w:type="gramStart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智驾等</w:t>
            </w:r>
            <w:proofErr w:type="gramEnd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方向，产品丰富度快速提高。工业方面，聚焦能源管理、机器人、通信、工业智能化</w:t>
            </w:r>
            <w:r w:rsidR="006D58A3">
              <w:rPr>
                <w:rFonts w:eastAsiaTheme="minorEastAsia" w:hint="eastAsia"/>
                <w:iCs/>
                <w:color w:val="000000" w:themeColor="text1"/>
                <w:sz w:val="22"/>
              </w:rPr>
              <w:t>等应用场景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，</w:t>
            </w:r>
            <w:r w:rsidR="006D58A3">
              <w:rPr>
                <w:rFonts w:eastAsiaTheme="minorEastAsia" w:hint="eastAsia"/>
                <w:iCs/>
                <w:color w:val="000000" w:themeColor="text1"/>
                <w:sz w:val="22"/>
              </w:rPr>
              <w:t>正在布局电源、传感等相关产品，同时拓展相关产品的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客户</w:t>
            </w:r>
            <w:r w:rsidR="006D58A3">
              <w:rPr>
                <w:rFonts w:eastAsiaTheme="minorEastAsia" w:hint="eastAsia"/>
                <w:iCs/>
                <w:color w:val="000000" w:themeColor="text1"/>
                <w:sz w:val="22"/>
              </w:rPr>
              <w:t>和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渠道。</w:t>
            </w:r>
          </w:p>
          <w:p w14:paraId="10001009" w14:textId="77777777" w:rsidR="001D5831" w:rsidRDefault="001D5831">
            <w:pPr>
              <w:spacing w:line="480" w:lineRule="exact"/>
              <w:rPr>
                <w:rFonts w:eastAsiaTheme="minorEastAsia"/>
                <w:bCs/>
                <w:iCs/>
                <w:color w:val="000000" w:themeColor="text1"/>
                <w:sz w:val="22"/>
              </w:rPr>
            </w:pPr>
          </w:p>
          <w:p w14:paraId="5D2810D3" w14:textId="77777777" w:rsidR="001D5831" w:rsidRDefault="00580EC2">
            <w:pPr>
              <w:spacing w:line="480" w:lineRule="exact"/>
              <w:rPr>
                <w:rFonts w:eastAsiaTheme="minorEastAsia"/>
                <w:b/>
                <w:bCs/>
                <w:iCs/>
                <w:color w:val="000000" w:themeColor="text1"/>
                <w:sz w:val="22"/>
              </w:rPr>
            </w:pPr>
            <w:r>
              <w:rPr>
                <w:rFonts w:eastAsiaTheme="minorEastAsia" w:hint="eastAsia"/>
                <w:b/>
                <w:bCs/>
                <w:iCs/>
                <w:color w:val="000000" w:themeColor="text1"/>
                <w:sz w:val="22"/>
              </w:rPr>
              <w:t>问题六：消费电子下半年怎么看？海外客户拓展进展如何？</w:t>
            </w:r>
          </w:p>
          <w:p w14:paraId="08026C21" w14:textId="77777777" w:rsidR="001D5831" w:rsidRDefault="00580EC2">
            <w:pPr>
              <w:spacing w:line="480" w:lineRule="exact"/>
              <w:rPr>
                <w:rFonts w:eastAsiaTheme="minorEastAsia"/>
                <w:iCs/>
                <w:color w:val="000000" w:themeColor="text1"/>
                <w:sz w:val="22"/>
              </w:rPr>
            </w:pP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答：公司继续做好品类扩散与客户拓展，并围绕智能手机、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AI PC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、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AI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眼镜、充电宝等推出新的电源类芯片。海外方面，公司已为海外顶级高端消费电子品牌大规模量产出货。同时加大欧洲、日本、北美、韩国等地布局，智能汽车、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AI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端侧、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AI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电源、工业均为海外拓展重心。</w:t>
            </w:r>
          </w:p>
          <w:p w14:paraId="3953462E" w14:textId="77777777" w:rsidR="001D5831" w:rsidRDefault="001D5831">
            <w:pPr>
              <w:spacing w:line="480" w:lineRule="exact"/>
              <w:rPr>
                <w:rFonts w:eastAsiaTheme="minorEastAsia"/>
                <w:iCs/>
                <w:color w:val="000000" w:themeColor="text1"/>
                <w:sz w:val="22"/>
              </w:rPr>
            </w:pPr>
          </w:p>
          <w:p w14:paraId="39BD424F" w14:textId="77777777" w:rsidR="001D5831" w:rsidRDefault="00580EC2">
            <w:pPr>
              <w:spacing w:line="480" w:lineRule="exact"/>
              <w:rPr>
                <w:rFonts w:eastAsiaTheme="minorEastAsia"/>
                <w:b/>
                <w:bCs/>
                <w:iCs/>
                <w:color w:val="000000" w:themeColor="text1"/>
                <w:sz w:val="22"/>
              </w:rPr>
            </w:pPr>
            <w:r>
              <w:rPr>
                <w:rFonts w:eastAsiaTheme="minorEastAsia" w:hint="eastAsia"/>
                <w:b/>
                <w:bCs/>
                <w:iCs/>
                <w:color w:val="000000" w:themeColor="text1"/>
                <w:sz w:val="22"/>
              </w:rPr>
              <w:t>问题七：存货规模持续上升，原因是什么？供应链涨价是否仍在</w:t>
            </w:r>
            <w:r>
              <w:rPr>
                <w:rFonts w:eastAsiaTheme="minorEastAsia" w:hint="eastAsia"/>
                <w:b/>
                <w:bCs/>
                <w:iCs/>
                <w:color w:val="000000" w:themeColor="text1"/>
                <w:sz w:val="22"/>
              </w:rPr>
              <w:lastRenderedPageBreak/>
              <w:t>持续？</w:t>
            </w:r>
          </w:p>
          <w:p w14:paraId="69DD895C" w14:textId="77777777" w:rsidR="001D5831" w:rsidRDefault="00580EC2">
            <w:pPr>
              <w:spacing w:line="480" w:lineRule="exact"/>
              <w:rPr>
                <w:rFonts w:eastAsiaTheme="minorEastAsia"/>
                <w:bCs/>
                <w:iCs/>
                <w:color w:val="000000" w:themeColor="text1"/>
                <w:sz w:val="22"/>
              </w:rPr>
            </w:pP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答：公司结合供应</w:t>
            </w:r>
            <w:proofErr w:type="gramStart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链情况</w:t>
            </w:r>
            <w:proofErr w:type="gramEnd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并为后续业务增长备货，存货规模明显提升，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2026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年第二季度末存货约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11.02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亿元。构成上，原材料、库存商品、委托加工物资</w:t>
            </w:r>
            <w:proofErr w:type="gramStart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占比较</w:t>
            </w:r>
            <w:proofErr w:type="gramEnd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为均衡，与年初相比结构变化不大，属于匹配下半年业务修复预期的主动备货。</w:t>
            </w:r>
            <w:proofErr w:type="gramStart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供应链仍有</w:t>
            </w:r>
            <w:proofErr w:type="gramEnd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部分涨价，对公司成本</w:t>
            </w:r>
            <w:proofErr w:type="gramStart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端形</w:t>
            </w:r>
            <w:proofErr w:type="gramEnd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成压力。公司将继续与主要合作伙伴合理匹配产能、优化成本控制，并与客户协商，保障供应稳定。</w:t>
            </w:r>
          </w:p>
          <w:p w14:paraId="1000100B" w14:textId="77777777" w:rsidR="001D5831" w:rsidRDefault="001D5831">
            <w:pPr>
              <w:spacing w:line="480" w:lineRule="exact"/>
              <w:rPr>
                <w:rFonts w:eastAsiaTheme="minorEastAsia"/>
                <w:bCs/>
                <w:iCs/>
                <w:color w:val="000000" w:themeColor="text1"/>
                <w:sz w:val="22"/>
              </w:rPr>
            </w:pPr>
          </w:p>
          <w:p w14:paraId="478BF74A" w14:textId="77777777" w:rsidR="001D5831" w:rsidRDefault="00580EC2">
            <w:pPr>
              <w:spacing w:line="480" w:lineRule="exact"/>
              <w:rPr>
                <w:rFonts w:eastAsiaTheme="minorEastAsia"/>
                <w:b/>
                <w:bCs/>
                <w:iCs/>
                <w:color w:val="000000" w:themeColor="text1"/>
                <w:sz w:val="22"/>
              </w:rPr>
            </w:pPr>
            <w:r>
              <w:rPr>
                <w:rFonts w:eastAsiaTheme="minorEastAsia" w:hint="eastAsia"/>
                <w:b/>
                <w:bCs/>
                <w:iCs/>
                <w:color w:val="000000" w:themeColor="text1"/>
                <w:sz w:val="22"/>
              </w:rPr>
              <w:t>问题八：结合十年发展节点，公司中长期目标和可转债</w:t>
            </w:r>
            <w:proofErr w:type="gramStart"/>
            <w:r>
              <w:rPr>
                <w:rFonts w:eastAsiaTheme="minorEastAsia" w:hint="eastAsia"/>
                <w:b/>
                <w:bCs/>
                <w:iCs/>
                <w:color w:val="000000" w:themeColor="text1"/>
                <w:sz w:val="22"/>
              </w:rPr>
              <w:t>募投项目</w:t>
            </w:r>
            <w:proofErr w:type="gramEnd"/>
            <w:r>
              <w:rPr>
                <w:rFonts w:eastAsiaTheme="minorEastAsia" w:hint="eastAsia"/>
                <w:b/>
                <w:bCs/>
                <w:iCs/>
                <w:color w:val="000000" w:themeColor="text1"/>
                <w:sz w:val="22"/>
              </w:rPr>
              <w:t>进展如何？</w:t>
            </w:r>
          </w:p>
          <w:p w14:paraId="1003378A" w14:textId="77777777" w:rsidR="001D5831" w:rsidRDefault="00580EC2">
            <w:pPr>
              <w:spacing w:line="480" w:lineRule="exact"/>
              <w:rPr>
                <w:rFonts w:eastAsiaTheme="minorEastAsia"/>
                <w:bCs/>
                <w:iCs/>
                <w:color w:val="000000" w:themeColor="text1"/>
                <w:sz w:val="22"/>
              </w:rPr>
            </w:pP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答：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2026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年是公司自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2016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年启动运营以来的十周年。公司已从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Buck-Boost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起步，逐步覆盖消费电子、高端消费电子、智能汽车、工业，并投身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AI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发展机遇。可转债</w:t>
            </w:r>
            <w:proofErr w:type="gramStart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募投主要</w:t>
            </w:r>
            <w:proofErr w:type="gramEnd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投向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AI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领域电源管理芯片、车载芯片以及工业应用传感器及控制芯片的研发和产业化：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AI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方向将针对大电流场景开发系列电源管理产品，覆盖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PC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、数据中心、边缘智能终端、工业电脑、安防、光伏、储能等；车载方向围绕车身、座舱、</w:t>
            </w:r>
            <w:proofErr w:type="gramStart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智驾布局</w:t>
            </w:r>
            <w:proofErr w:type="gramEnd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多品类芯片；工业方向重点开发多品类传感器及高速高精度数字控制器，并依托自</w:t>
            </w:r>
            <w:proofErr w:type="gramStart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研</w:t>
            </w:r>
            <w:proofErr w:type="gramEnd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工艺平台向工业机器人、智能传感终端等拓展。展望未来几年，公司希望多元化、平台化效果显现，在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AI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全场景持续丰富产品布局，</w:t>
            </w:r>
            <w:proofErr w:type="spellStart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DrMOS</w:t>
            </w:r>
            <w:proofErr w:type="spellEnd"/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为核心的多相电源业务持续推进，远期形成消费、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AI</w:t>
            </w:r>
            <w:r>
              <w:rPr>
                <w:rFonts w:eastAsiaTheme="minorEastAsia" w:hint="eastAsia"/>
                <w:iCs/>
                <w:color w:val="000000" w:themeColor="text1"/>
                <w:sz w:val="22"/>
              </w:rPr>
              <w:t>、汽车、工业相对均衡的产品结构。</w:t>
            </w:r>
          </w:p>
        </w:tc>
      </w:tr>
      <w:tr w:rsidR="001D5831" w14:paraId="7FC4A262" w14:textId="77777777">
        <w:trPr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EF4F3" w14:textId="77777777" w:rsidR="001D5831" w:rsidRDefault="00580EC2">
            <w:pPr>
              <w:spacing w:line="360" w:lineRule="auto"/>
              <w:rPr>
                <w:rFonts w:eastAsiaTheme="minorEastAsia"/>
                <w:bCs/>
                <w:iCs/>
                <w:color w:val="000000"/>
                <w:sz w:val="22"/>
              </w:rPr>
            </w:pPr>
            <w:r>
              <w:rPr>
                <w:rFonts w:eastAsiaTheme="minorEastAsia" w:hint="eastAsia"/>
                <w:bCs/>
                <w:iCs/>
                <w:color w:val="000000"/>
                <w:sz w:val="22"/>
              </w:rPr>
              <w:lastRenderedPageBreak/>
              <w:t xml:space="preserve"> </w:t>
            </w:r>
            <w:r>
              <w:rPr>
                <w:rFonts w:eastAsiaTheme="minorEastAsia" w:hint="eastAsia"/>
                <w:bCs/>
                <w:iCs/>
                <w:color w:val="000000"/>
                <w:sz w:val="22"/>
              </w:rPr>
              <w:t>附</w:t>
            </w:r>
            <w:r>
              <w:rPr>
                <w:rFonts w:eastAsiaTheme="minorEastAsia"/>
                <w:bCs/>
                <w:iCs/>
                <w:color w:val="000000"/>
                <w:sz w:val="22"/>
              </w:rPr>
              <w:t>件清单</w:t>
            </w:r>
          </w:p>
          <w:p w14:paraId="063E53FE" w14:textId="77777777" w:rsidR="001D5831" w:rsidRDefault="00580EC2">
            <w:pPr>
              <w:spacing w:line="360" w:lineRule="auto"/>
              <w:rPr>
                <w:rFonts w:eastAsiaTheme="minorEastAsia"/>
                <w:bCs/>
                <w:iCs/>
                <w:color w:val="000000"/>
                <w:sz w:val="22"/>
              </w:rPr>
            </w:pPr>
            <w:r>
              <w:rPr>
                <w:rFonts w:eastAsiaTheme="minorEastAsia"/>
                <w:bCs/>
                <w:iCs/>
                <w:color w:val="000000"/>
                <w:sz w:val="22"/>
              </w:rPr>
              <w:t>（如有）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7B2C0" w14:textId="77777777" w:rsidR="001D5831" w:rsidRDefault="00580EC2">
            <w:pPr>
              <w:spacing w:line="360" w:lineRule="auto"/>
              <w:rPr>
                <w:rFonts w:eastAsiaTheme="minorEastAsia"/>
                <w:bCs/>
                <w:iCs/>
                <w:color w:val="000000"/>
                <w:sz w:val="22"/>
              </w:rPr>
            </w:pPr>
            <w:r>
              <w:rPr>
                <w:rFonts w:eastAsiaTheme="minorEastAsia"/>
                <w:bCs/>
                <w:iCs/>
                <w:color w:val="000000"/>
                <w:sz w:val="22"/>
              </w:rPr>
              <w:t>无</w:t>
            </w:r>
          </w:p>
        </w:tc>
      </w:tr>
      <w:tr w:rsidR="001D5831" w14:paraId="39CC8AE4" w14:textId="77777777">
        <w:trPr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4B323" w14:textId="77777777" w:rsidR="001D5831" w:rsidRDefault="00580EC2">
            <w:pPr>
              <w:spacing w:line="360" w:lineRule="auto"/>
              <w:rPr>
                <w:rFonts w:eastAsiaTheme="minorEastAsia"/>
                <w:bCs/>
                <w:iCs/>
                <w:color w:val="000000"/>
                <w:sz w:val="22"/>
              </w:rPr>
            </w:pPr>
            <w:r>
              <w:rPr>
                <w:rFonts w:eastAsiaTheme="minorEastAsia"/>
                <w:bCs/>
                <w:iCs/>
                <w:color w:val="000000"/>
                <w:sz w:val="22"/>
              </w:rPr>
              <w:t>日期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38458" w14:textId="6A77E57B" w:rsidR="001D5831" w:rsidRDefault="00580EC2">
            <w:pPr>
              <w:spacing w:line="360" w:lineRule="auto"/>
              <w:jc w:val="left"/>
              <w:rPr>
                <w:rFonts w:eastAsiaTheme="minorEastAsia"/>
                <w:bCs/>
                <w:iCs/>
                <w:color w:val="000000"/>
                <w:sz w:val="22"/>
              </w:rPr>
            </w:pPr>
            <w:r>
              <w:rPr>
                <w:rFonts w:eastAsiaTheme="minorEastAsia"/>
                <w:bCs/>
                <w:iCs/>
                <w:color w:val="000000"/>
                <w:sz w:val="22"/>
              </w:rPr>
              <w:t>2026</w:t>
            </w:r>
            <w:r>
              <w:rPr>
                <w:rFonts w:eastAsiaTheme="minorEastAsia"/>
                <w:bCs/>
                <w:iCs/>
                <w:color w:val="000000"/>
                <w:sz w:val="22"/>
              </w:rPr>
              <w:t>年</w:t>
            </w:r>
            <w:r w:rsidR="00E07A24">
              <w:rPr>
                <w:rFonts w:eastAsiaTheme="minorEastAsia" w:hint="eastAsia"/>
                <w:bCs/>
                <w:iCs/>
                <w:color w:val="000000"/>
                <w:sz w:val="22"/>
              </w:rPr>
              <w:t>9</w:t>
            </w:r>
            <w:r>
              <w:rPr>
                <w:rFonts w:eastAsiaTheme="minorEastAsia"/>
                <w:bCs/>
                <w:iCs/>
                <w:color w:val="000000"/>
                <w:sz w:val="22"/>
              </w:rPr>
              <w:t>月</w:t>
            </w:r>
            <w:r w:rsidR="00C358F4">
              <w:rPr>
                <w:rFonts w:eastAsiaTheme="minorEastAsia" w:hint="eastAsia"/>
                <w:bCs/>
                <w:iCs/>
                <w:color w:val="000000"/>
                <w:sz w:val="22"/>
              </w:rPr>
              <w:t>9</w:t>
            </w:r>
            <w:bookmarkStart w:id="0" w:name="_GoBack"/>
            <w:bookmarkEnd w:id="0"/>
            <w:r w:rsidR="00E07A24">
              <w:rPr>
                <w:rFonts w:eastAsiaTheme="minorEastAsia" w:hint="eastAsia"/>
                <w:bCs/>
                <w:iCs/>
                <w:color w:val="000000"/>
                <w:sz w:val="22"/>
              </w:rPr>
              <w:t>日</w:t>
            </w:r>
          </w:p>
        </w:tc>
      </w:tr>
    </w:tbl>
    <w:p w14:paraId="0BDFA1E2" w14:textId="77777777" w:rsidR="001D5831" w:rsidRDefault="001D5831"/>
    <w:sectPr w:rsidR="001D5831">
      <w:pgSz w:w="11906" w:h="16838"/>
      <w:pgMar w:top="1440" w:right="1800" w:bottom="1440" w:left="1800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DB7EDE" w14:textId="77777777" w:rsidR="00C942F2" w:rsidRDefault="00C942F2" w:rsidP="00E07A24">
      <w:r>
        <w:separator/>
      </w:r>
    </w:p>
  </w:endnote>
  <w:endnote w:type="continuationSeparator" w:id="0">
    <w:p w14:paraId="151041E1" w14:textId="77777777" w:rsidR="00C942F2" w:rsidRDefault="00C942F2" w:rsidP="00E07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D4D62F" w14:textId="77777777" w:rsidR="00C942F2" w:rsidRDefault="00C942F2" w:rsidP="00E07A24">
      <w:r>
        <w:separator/>
      </w:r>
    </w:p>
  </w:footnote>
  <w:footnote w:type="continuationSeparator" w:id="0">
    <w:p w14:paraId="499D5740" w14:textId="77777777" w:rsidR="00C942F2" w:rsidRDefault="00C942F2" w:rsidP="00E07A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2I3Y2IxNzY4NTgxMmNkODc5ZmM5MzJjYWQwYjYwYmQifQ=="/>
  </w:docVars>
  <w:rsids>
    <w:rsidRoot w:val="00DB361F"/>
    <w:rsid w:val="B3D78115"/>
    <w:rsid w:val="BEB711F8"/>
    <w:rsid w:val="BFEF8DD9"/>
    <w:rsid w:val="CB733F29"/>
    <w:rsid w:val="DFFF6999"/>
    <w:rsid w:val="EBEDA260"/>
    <w:rsid w:val="F36F5FF1"/>
    <w:rsid w:val="F3DF8D12"/>
    <w:rsid w:val="F6FFC67F"/>
    <w:rsid w:val="F9D3B3E5"/>
    <w:rsid w:val="000005A0"/>
    <w:rsid w:val="0000207D"/>
    <w:rsid w:val="00003F99"/>
    <w:rsid w:val="00005787"/>
    <w:rsid w:val="00005DB8"/>
    <w:rsid w:val="0001708A"/>
    <w:rsid w:val="000231AB"/>
    <w:rsid w:val="00026A62"/>
    <w:rsid w:val="000320BF"/>
    <w:rsid w:val="00032A5D"/>
    <w:rsid w:val="00040A13"/>
    <w:rsid w:val="000419E7"/>
    <w:rsid w:val="000472EB"/>
    <w:rsid w:val="00047DA4"/>
    <w:rsid w:val="00050098"/>
    <w:rsid w:val="00054C15"/>
    <w:rsid w:val="00055B51"/>
    <w:rsid w:val="00060CBD"/>
    <w:rsid w:val="00061E3C"/>
    <w:rsid w:val="0006601A"/>
    <w:rsid w:val="00067900"/>
    <w:rsid w:val="00071D28"/>
    <w:rsid w:val="000750E0"/>
    <w:rsid w:val="000807FF"/>
    <w:rsid w:val="00082FEC"/>
    <w:rsid w:val="000833F1"/>
    <w:rsid w:val="00083F5D"/>
    <w:rsid w:val="000866C5"/>
    <w:rsid w:val="000934CF"/>
    <w:rsid w:val="00093BD5"/>
    <w:rsid w:val="000942B7"/>
    <w:rsid w:val="00095A69"/>
    <w:rsid w:val="000A0ABE"/>
    <w:rsid w:val="000A344F"/>
    <w:rsid w:val="000A5F1C"/>
    <w:rsid w:val="000B409F"/>
    <w:rsid w:val="000B63E0"/>
    <w:rsid w:val="000C612E"/>
    <w:rsid w:val="000C754D"/>
    <w:rsid w:val="000E30A1"/>
    <w:rsid w:val="000E5184"/>
    <w:rsid w:val="000E548C"/>
    <w:rsid w:val="000E72F4"/>
    <w:rsid w:val="000E7EF6"/>
    <w:rsid w:val="000F102F"/>
    <w:rsid w:val="000F317E"/>
    <w:rsid w:val="000F61D5"/>
    <w:rsid w:val="000F6D23"/>
    <w:rsid w:val="001034D8"/>
    <w:rsid w:val="00103C24"/>
    <w:rsid w:val="001055C0"/>
    <w:rsid w:val="00105B2C"/>
    <w:rsid w:val="00106A7F"/>
    <w:rsid w:val="00107BEB"/>
    <w:rsid w:val="001130D9"/>
    <w:rsid w:val="001207F7"/>
    <w:rsid w:val="00120DD5"/>
    <w:rsid w:val="00122B73"/>
    <w:rsid w:val="00125F87"/>
    <w:rsid w:val="00131563"/>
    <w:rsid w:val="001328B5"/>
    <w:rsid w:val="001417C0"/>
    <w:rsid w:val="0015316E"/>
    <w:rsid w:val="00160089"/>
    <w:rsid w:val="00161BC4"/>
    <w:rsid w:val="00162497"/>
    <w:rsid w:val="001632BD"/>
    <w:rsid w:val="0016785D"/>
    <w:rsid w:val="00167D2E"/>
    <w:rsid w:val="00171179"/>
    <w:rsid w:val="00171322"/>
    <w:rsid w:val="001716D1"/>
    <w:rsid w:val="00173F35"/>
    <w:rsid w:val="00175B1F"/>
    <w:rsid w:val="001804C9"/>
    <w:rsid w:val="00180F20"/>
    <w:rsid w:val="00181B65"/>
    <w:rsid w:val="00182CAF"/>
    <w:rsid w:val="0018761A"/>
    <w:rsid w:val="001A0AEC"/>
    <w:rsid w:val="001A2E1E"/>
    <w:rsid w:val="001A31FD"/>
    <w:rsid w:val="001A58C8"/>
    <w:rsid w:val="001C0BBA"/>
    <w:rsid w:val="001C2045"/>
    <w:rsid w:val="001C37D2"/>
    <w:rsid w:val="001C4166"/>
    <w:rsid w:val="001C4535"/>
    <w:rsid w:val="001C534A"/>
    <w:rsid w:val="001D1729"/>
    <w:rsid w:val="001D3494"/>
    <w:rsid w:val="001D5831"/>
    <w:rsid w:val="001E395E"/>
    <w:rsid w:val="001F3EFA"/>
    <w:rsid w:val="001F427E"/>
    <w:rsid w:val="001F4D68"/>
    <w:rsid w:val="001F66DD"/>
    <w:rsid w:val="002001FC"/>
    <w:rsid w:val="00202944"/>
    <w:rsid w:val="00203AE6"/>
    <w:rsid w:val="00207811"/>
    <w:rsid w:val="0021142A"/>
    <w:rsid w:val="002124B0"/>
    <w:rsid w:val="0021549A"/>
    <w:rsid w:val="00223DEE"/>
    <w:rsid w:val="00224E9A"/>
    <w:rsid w:val="0023292B"/>
    <w:rsid w:val="00232CE1"/>
    <w:rsid w:val="00247F0B"/>
    <w:rsid w:val="002507FA"/>
    <w:rsid w:val="00251BE0"/>
    <w:rsid w:val="002523B2"/>
    <w:rsid w:val="002525EA"/>
    <w:rsid w:val="00253401"/>
    <w:rsid w:val="002614B2"/>
    <w:rsid w:val="00265EB4"/>
    <w:rsid w:val="0026626D"/>
    <w:rsid w:val="002705D3"/>
    <w:rsid w:val="00274349"/>
    <w:rsid w:val="00274AEA"/>
    <w:rsid w:val="002834E4"/>
    <w:rsid w:val="00293E36"/>
    <w:rsid w:val="00294C97"/>
    <w:rsid w:val="00295CED"/>
    <w:rsid w:val="00297ADF"/>
    <w:rsid w:val="002A2C74"/>
    <w:rsid w:val="002A566E"/>
    <w:rsid w:val="002B1024"/>
    <w:rsid w:val="002B6A6E"/>
    <w:rsid w:val="002B6CF3"/>
    <w:rsid w:val="002C0BE7"/>
    <w:rsid w:val="002D03FE"/>
    <w:rsid w:val="002D07FE"/>
    <w:rsid w:val="002D6F89"/>
    <w:rsid w:val="002D7C22"/>
    <w:rsid w:val="002E4FBE"/>
    <w:rsid w:val="002E50CF"/>
    <w:rsid w:val="002E5FF4"/>
    <w:rsid w:val="002E7334"/>
    <w:rsid w:val="002F20D3"/>
    <w:rsid w:val="002F2B97"/>
    <w:rsid w:val="002F3005"/>
    <w:rsid w:val="002F732A"/>
    <w:rsid w:val="002F7742"/>
    <w:rsid w:val="00302907"/>
    <w:rsid w:val="003035EA"/>
    <w:rsid w:val="00303862"/>
    <w:rsid w:val="00311550"/>
    <w:rsid w:val="00315687"/>
    <w:rsid w:val="00334863"/>
    <w:rsid w:val="00334E89"/>
    <w:rsid w:val="00336FA9"/>
    <w:rsid w:val="00342594"/>
    <w:rsid w:val="00343841"/>
    <w:rsid w:val="00344526"/>
    <w:rsid w:val="003526F4"/>
    <w:rsid w:val="003609BA"/>
    <w:rsid w:val="00361618"/>
    <w:rsid w:val="00365C8F"/>
    <w:rsid w:val="00365E74"/>
    <w:rsid w:val="00366EA6"/>
    <w:rsid w:val="003713A4"/>
    <w:rsid w:val="00373BE8"/>
    <w:rsid w:val="003763FA"/>
    <w:rsid w:val="00386E56"/>
    <w:rsid w:val="00387D89"/>
    <w:rsid w:val="00387E05"/>
    <w:rsid w:val="003A67E3"/>
    <w:rsid w:val="003C10DD"/>
    <w:rsid w:val="003C16E0"/>
    <w:rsid w:val="003C44C9"/>
    <w:rsid w:val="003C54F3"/>
    <w:rsid w:val="003C6B6E"/>
    <w:rsid w:val="003D0CB9"/>
    <w:rsid w:val="003D193A"/>
    <w:rsid w:val="003D5008"/>
    <w:rsid w:val="003D6964"/>
    <w:rsid w:val="003E418E"/>
    <w:rsid w:val="003E4CFB"/>
    <w:rsid w:val="003E70FC"/>
    <w:rsid w:val="003F22CB"/>
    <w:rsid w:val="003F74E0"/>
    <w:rsid w:val="00400253"/>
    <w:rsid w:val="00402E08"/>
    <w:rsid w:val="00403882"/>
    <w:rsid w:val="0041104D"/>
    <w:rsid w:val="00411762"/>
    <w:rsid w:val="00412D50"/>
    <w:rsid w:val="00420A05"/>
    <w:rsid w:val="00420BA0"/>
    <w:rsid w:val="00420EE5"/>
    <w:rsid w:val="004212F8"/>
    <w:rsid w:val="00421EE6"/>
    <w:rsid w:val="00421FB0"/>
    <w:rsid w:val="0042481B"/>
    <w:rsid w:val="00424E69"/>
    <w:rsid w:val="0042768B"/>
    <w:rsid w:val="00431577"/>
    <w:rsid w:val="00432057"/>
    <w:rsid w:val="004333C0"/>
    <w:rsid w:val="0043582B"/>
    <w:rsid w:val="00440232"/>
    <w:rsid w:val="004425F0"/>
    <w:rsid w:val="00443176"/>
    <w:rsid w:val="0045369E"/>
    <w:rsid w:val="00454193"/>
    <w:rsid w:val="00455EB8"/>
    <w:rsid w:val="00471200"/>
    <w:rsid w:val="00475245"/>
    <w:rsid w:val="0047555B"/>
    <w:rsid w:val="00476C44"/>
    <w:rsid w:val="00477CC1"/>
    <w:rsid w:val="0048147C"/>
    <w:rsid w:val="00483415"/>
    <w:rsid w:val="00495436"/>
    <w:rsid w:val="0049613A"/>
    <w:rsid w:val="004977A9"/>
    <w:rsid w:val="004A256D"/>
    <w:rsid w:val="004A4935"/>
    <w:rsid w:val="004A7E95"/>
    <w:rsid w:val="004B22B6"/>
    <w:rsid w:val="004B656D"/>
    <w:rsid w:val="004B6EA4"/>
    <w:rsid w:val="004C1609"/>
    <w:rsid w:val="004C4BC5"/>
    <w:rsid w:val="004C64D5"/>
    <w:rsid w:val="004D230A"/>
    <w:rsid w:val="004D618C"/>
    <w:rsid w:val="004D6884"/>
    <w:rsid w:val="004D6A66"/>
    <w:rsid w:val="004E1E92"/>
    <w:rsid w:val="004E678F"/>
    <w:rsid w:val="004E7268"/>
    <w:rsid w:val="004F0253"/>
    <w:rsid w:val="004F050C"/>
    <w:rsid w:val="004F0A89"/>
    <w:rsid w:val="004F27C6"/>
    <w:rsid w:val="004F490D"/>
    <w:rsid w:val="004F61C3"/>
    <w:rsid w:val="004F6A8C"/>
    <w:rsid w:val="004F741B"/>
    <w:rsid w:val="00502190"/>
    <w:rsid w:val="00506E21"/>
    <w:rsid w:val="00507FBF"/>
    <w:rsid w:val="005107E5"/>
    <w:rsid w:val="00524DDA"/>
    <w:rsid w:val="00525068"/>
    <w:rsid w:val="00531DEF"/>
    <w:rsid w:val="0054082B"/>
    <w:rsid w:val="0054281D"/>
    <w:rsid w:val="0054338C"/>
    <w:rsid w:val="00543E50"/>
    <w:rsid w:val="00544C01"/>
    <w:rsid w:val="005538D4"/>
    <w:rsid w:val="0055478B"/>
    <w:rsid w:val="00563858"/>
    <w:rsid w:val="005676FB"/>
    <w:rsid w:val="00572B39"/>
    <w:rsid w:val="005774B7"/>
    <w:rsid w:val="00580EC2"/>
    <w:rsid w:val="00585BFF"/>
    <w:rsid w:val="005928C9"/>
    <w:rsid w:val="0059366B"/>
    <w:rsid w:val="0059383B"/>
    <w:rsid w:val="00596D89"/>
    <w:rsid w:val="005975DC"/>
    <w:rsid w:val="005A1116"/>
    <w:rsid w:val="005A24E9"/>
    <w:rsid w:val="005A3C63"/>
    <w:rsid w:val="005A475C"/>
    <w:rsid w:val="005A58C7"/>
    <w:rsid w:val="005A6F3A"/>
    <w:rsid w:val="005B240E"/>
    <w:rsid w:val="005C1A00"/>
    <w:rsid w:val="005C2750"/>
    <w:rsid w:val="005C645F"/>
    <w:rsid w:val="005C7B6C"/>
    <w:rsid w:val="005D06D2"/>
    <w:rsid w:val="005D164B"/>
    <w:rsid w:val="005D3FC4"/>
    <w:rsid w:val="005D40CA"/>
    <w:rsid w:val="005D5E64"/>
    <w:rsid w:val="005D7DA3"/>
    <w:rsid w:val="005E1752"/>
    <w:rsid w:val="005E42D1"/>
    <w:rsid w:val="005F000D"/>
    <w:rsid w:val="005F3696"/>
    <w:rsid w:val="005F45A0"/>
    <w:rsid w:val="005F66AF"/>
    <w:rsid w:val="005F7F5F"/>
    <w:rsid w:val="00601539"/>
    <w:rsid w:val="00603340"/>
    <w:rsid w:val="006044EF"/>
    <w:rsid w:val="006118B8"/>
    <w:rsid w:val="00615301"/>
    <w:rsid w:val="00616EB3"/>
    <w:rsid w:val="006179C6"/>
    <w:rsid w:val="00617C4D"/>
    <w:rsid w:val="006220F1"/>
    <w:rsid w:val="00626330"/>
    <w:rsid w:val="00630DC4"/>
    <w:rsid w:val="006320E4"/>
    <w:rsid w:val="00636BF4"/>
    <w:rsid w:val="00645AAD"/>
    <w:rsid w:val="00647B49"/>
    <w:rsid w:val="00647EBD"/>
    <w:rsid w:val="006504B7"/>
    <w:rsid w:val="006508FF"/>
    <w:rsid w:val="00652AE8"/>
    <w:rsid w:val="006530B7"/>
    <w:rsid w:val="006605F3"/>
    <w:rsid w:val="006666AB"/>
    <w:rsid w:val="00666E75"/>
    <w:rsid w:val="00671DFB"/>
    <w:rsid w:val="00672869"/>
    <w:rsid w:val="0067308F"/>
    <w:rsid w:val="00674CB0"/>
    <w:rsid w:val="00674D6F"/>
    <w:rsid w:val="00682613"/>
    <w:rsid w:val="00682A39"/>
    <w:rsid w:val="00683676"/>
    <w:rsid w:val="00684439"/>
    <w:rsid w:val="006903D5"/>
    <w:rsid w:val="0069306D"/>
    <w:rsid w:val="00695E64"/>
    <w:rsid w:val="006A08B1"/>
    <w:rsid w:val="006A7188"/>
    <w:rsid w:val="006A78DE"/>
    <w:rsid w:val="006B2A13"/>
    <w:rsid w:val="006B50D7"/>
    <w:rsid w:val="006C2161"/>
    <w:rsid w:val="006C2838"/>
    <w:rsid w:val="006D1A0A"/>
    <w:rsid w:val="006D3D4C"/>
    <w:rsid w:val="006D58A3"/>
    <w:rsid w:val="006D5F46"/>
    <w:rsid w:val="006E2EC6"/>
    <w:rsid w:val="006E61A8"/>
    <w:rsid w:val="006E666D"/>
    <w:rsid w:val="006E77F5"/>
    <w:rsid w:val="006F1C9E"/>
    <w:rsid w:val="006F2FF0"/>
    <w:rsid w:val="00702079"/>
    <w:rsid w:val="00711E17"/>
    <w:rsid w:val="00715E46"/>
    <w:rsid w:val="00720B60"/>
    <w:rsid w:val="00721DEE"/>
    <w:rsid w:val="00723B8F"/>
    <w:rsid w:val="007323DE"/>
    <w:rsid w:val="007363B5"/>
    <w:rsid w:val="0074273E"/>
    <w:rsid w:val="00744027"/>
    <w:rsid w:val="007451ED"/>
    <w:rsid w:val="007462A5"/>
    <w:rsid w:val="00750EAC"/>
    <w:rsid w:val="0075112A"/>
    <w:rsid w:val="00752966"/>
    <w:rsid w:val="00761A73"/>
    <w:rsid w:val="00762726"/>
    <w:rsid w:val="00765A52"/>
    <w:rsid w:val="00766661"/>
    <w:rsid w:val="007667CC"/>
    <w:rsid w:val="00775DC6"/>
    <w:rsid w:val="00775E25"/>
    <w:rsid w:val="00782733"/>
    <w:rsid w:val="00784659"/>
    <w:rsid w:val="00784DAF"/>
    <w:rsid w:val="007915F6"/>
    <w:rsid w:val="00793994"/>
    <w:rsid w:val="00795135"/>
    <w:rsid w:val="0079785A"/>
    <w:rsid w:val="007A1498"/>
    <w:rsid w:val="007A3FF4"/>
    <w:rsid w:val="007A5112"/>
    <w:rsid w:val="007A583C"/>
    <w:rsid w:val="007B4C98"/>
    <w:rsid w:val="007D68EF"/>
    <w:rsid w:val="00800F32"/>
    <w:rsid w:val="00805365"/>
    <w:rsid w:val="00813FDF"/>
    <w:rsid w:val="00813FE6"/>
    <w:rsid w:val="00815635"/>
    <w:rsid w:val="008170B4"/>
    <w:rsid w:val="00821247"/>
    <w:rsid w:val="008218FC"/>
    <w:rsid w:val="0082594F"/>
    <w:rsid w:val="00827582"/>
    <w:rsid w:val="00841FA1"/>
    <w:rsid w:val="00843E97"/>
    <w:rsid w:val="00844F36"/>
    <w:rsid w:val="00845FD6"/>
    <w:rsid w:val="00853045"/>
    <w:rsid w:val="00853C2C"/>
    <w:rsid w:val="008577F6"/>
    <w:rsid w:val="008610FA"/>
    <w:rsid w:val="00862342"/>
    <w:rsid w:val="008743DF"/>
    <w:rsid w:val="008760D9"/>
    <w:rsid w:val="00882EC8"/>
    <w:rsid w:val="0088391D"/>
    <w:rsid w:val="00892278"/>
    <w:rsid w:val="008949FE"/>
    <w:rsid w:val="00895D53"/>
    <w:rsid w:val="008A1ACA"/>
    <w:rsid w:val="008A37DE"/>
    <w:rsid w:val="008A4198"/>
    <w:rsid w:val="008A7F36"/>
    <w:rsid w:val="008B0754"/>
    <w:rsid w:val="008B2B95"/>
    <w:rsid w:val="008B5BCB"/>
    <w:rsid w:val="008C5BA8"/>
    <w:rsid w:val="008C6A40"/>
    <w:rsid w:val="008C7AE8"/>
    <w:rsid w:val="008D2417"/>
    <w:rsid w:val="008D2A38"/>
    <w:rsid w:val="008D48A2"/>
    <w:rsid w:val="008E1595"/>
    <w:rsid w:val="008E29E6"/>
    <w:rsid w:val="008F1DC0"/>
    <w:rsid w:val="008F3AE5"/>
    <w:rsid w:val="008F40B6"/>
    <w:rsid w:val="008F58C2"/>
    <w:rsid w:val="00904AB1"/>
    <w:rsid w:val="00907A9A"/>
    <w:rsid w:val="00910753"/>
    <w:rsid w:val="00915602"/>
    <w:rsid w:val="00915BB7"/>
    <w:rsid w:val="009165A5"/>
    <w:rsid w:val="00916EB1"/>
    <w:rsid w:val="00920E82"/>
    <w:rsid w:val="009242DC"/>
    <w:rsid w:val="00924317"/>
    <w:rsid w:val="00931DC8"/>
    <w:rsid w:val="00932681"/>
    <w:rsid w:val="00935350"/>
    <w:rsid w:val="009366FA"/>
    <w:rsid w:val="009422D6"/>
    <w:rsid w:val="00942F00"/>
    <w:rsid w:val="009444CB"/>
    <w:rsid w:val="0094504F"/>
    <w:rsid w:val="00945625"/>
    <w:rsid w:val="0094770D"/>
    <w:rsid w:val="009552F0"/>
    <w:rsid w:val="0096043D"/>
    <w:rsid w:val="009647A9"/>
    <w:rsid w:val="009664CE"/>
    <w:rsid w:val="009735CB"/>
    <w:rsid w:val="00982251"/>
    <w:rsid w:val="009852CD"/>
    <w:rsid w:val="00986489"/>
    <w:rsid w:val="00990069"/>
    <w:rsid w:val="00993CDF"/>
    <w:rsid w:val="009950F4"/>
    <w:rsid w:val="009967E3"/>
    <w:rsid w:val="009A03A3"/>
    <w:rsid w:val="009A2ACE"/>
    <w:rsid w:val="009A2F75"/>
    <w:rsid w:val="009A3912"/>
    <w:rsid w:val="009A490D"/>
    <w:rsid w:val="009A5771"/>
    <w:rsid w:val="009A7190"/>
    <w:rsid w:val="009B0B11"/>
    <w:rsid w:val="009B5410"/>
    <w:rsid w:val="009B6900"/>
    <w:rsid w:val="009C1DDB"/>
    <w:rsid w:val="009C4D8C"/>
    <w:rsid w:val="009C4DAC"/>
    <w:rsid w:val="009D0643"/>
    <w:rsid w:val="009D3988"/>
    <w:rsid w:val="009E095F"/>
    <w:rsid w:val="009E2E52"/>
    <w:rsid w:val="009E4A55"/>
    <w:rsid w:val="009E743C"/>
    <w:rsid w:val="009F0FB3"/>
    <w:rsid w:val="009F3EFD"/>
    <w:rsid w:val="009F74F4"/>
    <w:rsid w:val="009F7715"/>
    <w:rsid w:val="00A022DE"/>
    <w:rsid w:val="00A04C37"/>
    <w:rsid w:val="00A06043"/>
    <w:rsid w:val="00A064B5"/>
    <w:rsid w:val="00A22CF2"/>
    <w:rsid w:val="00A235E6"/>
    <w:rsid w:val="00A23A2A"/>
    <w:rsid w:val="00A308DB"/>
    <w:rsid w:val="00A40106"/>
    <w:rsid w:val="00A43EF4"/>
    <w:rsid w:val="00A444E7"/>
    <w:rsid w:val="00A45792"/>
    <w:rsid w:val="00A461A1"/>
    <w:rsid w:val="00A50210"/>
    <w:rsid w:val="00A57651"/>
    <w:rsid w:val="00A60BA1"/>
    <w:rsid w:val="00A61589"/>
    <w:rsid w:val="00A6539A"/>
    <w:rsid w:val="00A77783"/>
    <w:rsid w:val="00A80CD4"/>
    <w:rsid w:val="00A82E64"/>
    <w:rsid w:val="00A84CDE"/>
    <w:rsid w:val="00A93FFB"/>
    <w:rsid w:val="00A97E8D"/>
    <w:rsid w:val="00AA09CE"/>
    <w:rsid w:val="00AA4AE1"/>
    <w:rsid w:val="00AA4B17"/>
    <w:rsid w:val="00AA4E23"/>
    <w:rsid w:val="00AB5EB6"/>
    <w:rsid w:val="00AB614A"/>
    <w:rsid w:val="00AB688D"/>
    <w:rsid w:val="00AC4021"/>
    <w:rsid w:val="00AC6DF3"/>
    <w:rsid w:val="00AC716A"/>
    <w:rsid w:val="00AC77DB"/>
    <w:rsid w:val="00AC7C57"/>
    <w:rsid w:val="00AE1BD9"/>
    <w:rsid w:val="00AE2DB2"/>
    <w:rsid w:val="00AE4ED3"/>
    <w:rsid w:val="00AE761E"/>
    <w:rsid w:val="00AF08B1"/>
    <w:rsid w:val="00AF0FBF"/>
    <w:rsid w:val="00AF7A65"/>
    <w:rsid w:val="00B04D5B"/>
    <w:rsid w:val="00B06767"/>
    <w:rsid w:val="00B075FD"/>
    <w:rsid w:val="00B10690"/>
    <w:rsid w:val="00B14EE5"/>
    <w:rsid w:val="00B20AA4"/>
    <w:rsid w:val="00B227B9"/>
    <w:rsid w:val="00B26A5B"/>
    <w:rsid w:val="00B32D7C"/>
    <w:rsid w:val="00B37F9A"/>
    <w:rsid w:val="00B422F5"/>
    <w:rsid w:val="00B45906"/>
    <w:rsid w:val="00B5499D"/>
    <w:rsid w:val="00B56C82"/>
    <w:rsid w:val="00B60DAF"/>
    <w:rsid w:val="00B63D0B"/>
    <w:rsid w:val="00B64662"/>
    <w:rsid w:val="00B65EC8"/>
    <w:rsid w:val="00B6671A"/>
    <w:rsid w:val="00B738F6"/>
    <w:rsid w:val="00B77DAC"/>
    <w:rsid w:val="00B86853"/>
    <w:rsid w:val="00B86A7B"/>
    <w:rsid w:val="00B87C49"/>
    <w:rsid w:val="00B9490D"/>
    <w:rsid w:val="00B9496C"/>
    <w:rsid w:val="00BB0055"/>
    <w:rsid w:val="00BB0292"/>
    <w:rsid w:val="00BB0D68"/>
    <w:rsid w:val="00BB2FC3"/>
    <w:rsid w:val="00BB42D3"/>
    <w:rsid w:val="00BC2F56"/>
    <w:rsid w:val="00BD27E8"/>
    <w:rsid w:val="00BD546F"/>
    <w:rsid w:val="00BD57FF"/>
    <w:rsid w:val="00BF5A38"/>
    <w:rsid w:val="00C01E5E"/>
    <w:rsid w:val="00C029D5"/>
    <w:rsid w:val="00C0549C"/>
    <w:rsid w:val="00C056EA"/>
    <w:rsid w:val="00C0623F"/>
    <w:rsid w:val="00C075D7"/>
    <w:rsid w:val="00C142A9"/>
    <w:rsid w:val="00C17B12"/>
    <w:rsid w:val="00C2056B"/>
    <w:rsid w:val="00C213AF"/>
    <w:rsid w:val="00C23EA4"/>
    <w:rsid w:val="00C358F4"/>
    <w:rsid w:val="00C3677C"/>
    <w:rsid w:val="00C4206F"/>
    <w:rsid w:val="00C43375"/>
    <w:rsid w:val="00C513C2"/>
    <w:rsid w:val="00C5614E"/>
    <w:rsid w:val="00C562CE"/>
    <w:rsid w:val="00C602C5"/>
    <w:rsid w:val="00C62B81"/>
    <w:rsid w:val="00C67928"/>
    <w:rsid w:val="00C710BF"/>
    <w:rsid w:val="00C76774"/>
    <w:rsid w:val="00C81BDC"/>
    <w:rsid w:val="00C8209D"/>
    <w:rsid w:val="00C834FC"/>
    <w:rsid w:val="00C837AF"/>
    <w:rsid w:val="00C854BE"/>
    <w:rsid w:val="00C901A8"/>
    <w:rsid w:val="00C90BA4"/>
    <w:rsid w:val="00C942F2"/>
    <w:rsid w:val="00C963D2"/>
    <w:rsid w:val="00CA081E"/>
    <w:rsid w:val="00CA133B"/>
    <w:rsid w:val="00CA2740"/>
    <w:rsid w:val="00CA4FF1"/>
    <w:rsid w:val="00CA5223"/>
    <w:rsid w:val="00CA5903"/>
    <w:rsid w:val="00CA636F"/>
    <w:rsid w:val="00CA7104"/>
    <w:rsid w:val="00CB47FB"/>
    <w:rsid w:val="00CB7648"/>
    <w:rsid w:val="00CB7CA7"/>
    <w:rsid w:val="00CC200E"/>
    <w:rsid w:val="00CD04AD"/>
    <w:rsid w:val="00CD2A33"/>
    <w:rsid w:val="00CD32CA"/>
    <w:rsid w:val="00CD4283"/>
    <w:rsid w:val="00CD64AC"/>
    <w:rsid w:val="00CD6D67"/>
    <w:rsid w:val="00CE14F6"/>
    <w:rsid w:val="00CE2CE9"/>
    <w:rsid w:val="00CE4133"/>
    <w:rsid w:val="00CE7CD0"/>
    <w:rsid w:val="00CF1F10"/>
    <w:rsid w:val="00D039FA"/>
    <w:rsid w:val="00D043DF"/>
    <w:rsid w:val="00D1206F"/>
    <w:rsid w:val="00D1387A"/>
    <w:rsid w:val="00D14C70"/>
    <w:rsid w:val="00D17E02"/>
    <w:rsid w:val="00D20F5E"/>
    <w:rsid w:val="00D221D4"/>
    <w:rsid w:val="00D22388"/>
    <w:rsid w:val="00D23FC9"/>
    <w:rsid w:val="00D34BFF"/>
    <w:rsid w:val="00D35140"/>
    <w:rsid w:val="00D4177F"/>
    <w:rsid w:val="00D46B8E"/>
    <w:rsid w:val="00D5265F"/>
    <w:rsid w:val="00D54DFB"/>
    <w:rsid w:val="00D56FC8"/>
    <w:rsid w:val="00D6793E"/>
    <w:rsid w:val="00D71A6B"/>
    <w:rsid w:val="00D74523"/>
    <w:rsid w:val="00D74860"/>
    <w:rsid w:val="00D75134"/>
    <w:rsid w:val="00D827DB"/>
    <w:rsid w:val="00D82D04"/>
    <w:rsid w:val="00D85A2B"/>
    <w:rsid w:val="00D874C6"/>
    <w:rsid w:val="00D919A9"/>
    <w:rsid w:val="00D93CF4"/>
    <w:rsid w:val="00DA041C"/>
    <w:rsid w:val="00DA1507"/>
    <w:rsid w:val="00DA4F8C"/>
    <w:rsid w:val="00DA571E"/>
    <w:rsid w:val="00DA5B99"/>
    <w:rsid w:val="00DB361F"/>
    <w:rsid w:val="00DB57E1"/>
    <w:rsid w:val="00DB67E6"/>
    <w:rsid w:val="00DD44A0"/>
    <w:rsid w:val="00DD6112"/>
    <w:rsid w:val="00DE4649"/>
    <w:rsid w:val="00DE70A3"/>
    <w:rsid w:val="00DF1C21"/>
    <w:rsid w:val="00DF7197"/>
    <w:rsid w:val="00E027A6"/>
    <w:rsid w:val="00E03DD4"/>
    <w:rsid w:val="00E064D3"/>
    <w:rsid w:val="00E067ED"/>
    <w:rsid w:val="00E07784"/>
    <w:rsid w:val="00E07A24"/>
    <w:rsid w:val="00E12AFD"/>
    <w:rsid w:val="00E1377C"/>
    <w:rsid w:val="00E15C98"/>
    <w:rsid w:val="00E221BE"/>
    <w:rsid w:val="00E25A41"/>
    <w:rsid w:val="00E339FA"/>
    <w:rsid w:val="00E34142"/>
    <w:rsid w:val="00E40039"/>
    <w:rsid w:val="00E40B71"/>
    <w:rsid w:val="00E41971"/>
    <w:rsid w:val="00E4302E"/>
    <w:rsid w:val="00E44854"/>
    <w:rsid w:val="00E4621C"/>
    <w:rsid w:val="00E46632"/>
    <w:rsid w:val="00E52408"/>
    <w:rsid w:val="00E52443"/>
    <w:rsid w:val="00E53F60"/>
    <w:rsid w:val="00E5478C"/>
    <w:rsid w:val="00E62738"/>
    <w:rsid w:val="00E6317F"/>
    <w:rsid w:val="00E63813"/>
    <w:rsid w:val="00E641C5"/>
    <w:rsid w:val="00E67C73"/>
    <w:rsid w:val="00E705EE"/>
    <w:rsid w:val="00E719DD"/>
    <w:rsid w:val="00E733DE"/>
    <w:rsid w:val="00E74EB6"/>
    <w:rsid w:val="00E80DAA"/>
    <w:rsid w:val="00E8538E"/>
    <w:rsid w:val="00E93166"/>
    <w:rsid w:val="00EA1D74"/>
    <w:rsid w:val="00EA66D0"/>
    <w:rsid w:val="00EA7AD3"/>
    <w:rsid w:val="00EB0584"/>
    <w:rsid w:val="00EB0D2E"/>
    <w:rsid w:val="00EB0F0F"/>
    <w:rsid w:val="00EB113E"/>
    <w:rsid w:val="00EB1962"/>
    <w:rsid w:val="00EB2515"/>
    <w:rsid w:val="00EC0581"/>
    <w:rsid w:val="00EC48F3"/>
    <w:rsid w:val="00ED19D1"/>
    <w:rsid w:val="00ED22FD"/>
    <w:rsid w:val="00ED430E"/>
    <w:rsid w:val="00EE1E13"/>
    <w:rsid w:val="00EE2CA0"/>
    <w:rsid w:val="00EE5D02"/>
    <w:rsid w:val="00EE67C6"/>
    <w:rsid w:val="00EF0B81"/>
    <w:rsid w:val="00EF110D"/>
    <w:rsid w:val="00EF1278"/>
    <w:rsid w:val="00EF2BB9"/>
    <w:rsid w:val="00EF57D0"/>
    <w:rsid w:val="00EF6B08"/>
    <w:rsid w:val="00EF7557"/>
    <w:rsid w:val="00F004EE"/>
    <w:rsid w:val="00F0055B"/>
    <w:rsid w:val="00F03130"/>
    <w:rsid w:val="00F052AC"/>
    <w:rsid w:val="00F14A9A"/>
    <w:rsid w:val="00F16C0E"/>
    <w:rsid w:val="00F22364"/>
    <w:rsid w:val="00F2298D"/>
    <w:rsid w:val="00F25A84"/>
    <w:rsid w:val="00F317A2"/>
    <w:rsid w:val="00F32934"/>
    <w:rsid w:val="00F35624"/>
    <w:rsid w:val="00F35FED"/>
    <w:rsid w:val="00F44967"/>
    <w:rsid w:val="00F44971"/>
    <w:rsid w:val="00F45800"/>
    <w:rsid w:val="00F46F9B"/>
    <w:rsid w:val="00F514E1"/>
    <w:rsid w:val="00F541E7"/>
    <w:rsid w:val="00F55EE8"/>
    <w:rsid w:val="00F5631E"/>
    <w:rsid w:val="00F60D1B"/>
    <w:rsid w:val="00F655DD"/>
    <w:rsid w:val="00F661D5"/>
    <w:rsid w:val="00F67385"/>
    <w:rsid w:val="00F67B17"/>
    <w:rsid w:val="00F70539"/>
    <w:rsid w:val="00F73414"/>
    <w:rsid w:val="00F7648C"/>
    <w:rsid w:val="00F80097"/>
    <w:rsid w:val="00F8130E"/>
    <w:rsid w:val="00F84267"/>
    <w:rsid w:val="00F9171B"/>
    <w:rsid w:val="00F91EE1"/>
    <w:rsid w:val="00F93077"/>
    <w:rsid w:val="00F968C8"/>
    <w:rsid w:val="00FA16D1"/>
    <w:rsid w:val="00FA6BD4"/>
    <w:rsid w:val="00FA6DFF"/>
    <w:rsid w:val="00FA6E99"/>
    <w:rsid w:val="00FB0C94"/>
    <w:rsid w:val="00FB22C7"/>
    <w:rsid w:val="00FB3BA4"/>
    <w:rsid w:val="00FB4511"/>
    <w:rsid w:val="00FB4B0C"/>
    <w:rsid w:val="00FB6558"/>
    <w:rsid w:val="00FB672F"/>
    <w:rsid w:val="00FD102E"/>
    <w:rsid w:val="00FD2A13"/>
    <w:rsid w:val="00FD6E21"/>
    <w:rsid w:val="00FE0936"/>
    <w:rsid w:val="00FE1B43"/>
    <w:rsid w:val="00FE3ADE"/>
    <w:rsid w:val="00FE616B"/>
    <w:rsid w:val="00FF2359"/>
    <w:rsid w:val="00FF5540"/>
    <w:rsid w:val="00FF740D"/>
    <w:rsid w:val="030148E2"/>
    <w:rsid w:val="07372051"/>
    <w:rsid w:val="0BF1EDDC"/>
    <w:rsid w:val="0BFA7178"/>
    <w:rsid w:val="0C013541"/>
    <w:rsid w:val="1A397B11"/>
    <w:rsid w:val="1AEB2ADF"/>
    <w:rsid w:val="1B845309"/>
    <w:rsid w:val="1C9A4EF8"/>
    <w:rsid w:val="1EE16FC1"/>
    <w:rsid w:val="2C9C632F"/>
    <w:rsid w:val="2CF1033B"/>
    <w:rsid w:val="2DE71976"/>
    <w:rsid w:val="32CD2A10"/>
    <w:rsid w:val="347BF668"/>
    <w:rsid w:val="36E83F1F"/>
    <w:rsid w:val="37F00807"/>
    <w:rsid w:val="3B992858"/>
    <w:rsid w:val="3CDF4571"/>
    <w:rsid w:val="3E0076DA"/>
    <w:rsid w:val="3FFF0CEF"/>
    <w:rsid w:val="407A652F"/>
    <w:rsid w:val="41214F7E"/>
    <w:rsid w:val="437B5CA9"/>
    <w:rsid w:val="47975C19"/>
    <w:rsid w:val="4D7D0EEE"/>
    <w:rsid w:val="52E67B90"/>
    <w:rsid w:val="56D33816"/>
    <w:rsid w:val="5733B4C2"/>
    <w:rsid w:val="576FC61A"/>
    <w:rsid w:val="591946E0"/>
    <w:rsid w:val="5AD3266C"/>
    <w:rsid w:val="5E6F583E"/>
    <w:rsid w:val="5F7A755A"/>
    <w:rsid w:val="65B732B6"/>
    <w:rsid w:val="67900A37"/>
    <w:rsid w:val="6B311141"/>
    <w:rsid w:val="6D4B2536"/>
    <w:rsid w:val="6D721794"/>
    <w:rsid w:val="6EBFEB33"/>
    <w:rsid w:val="6EE23920"/>
    <w:rsid w:val="721B697B"/>
    <w:rsid w:val="73B34AD5"/>
    <w:rsid w:val="74F811F5"/>
    <w:rsid w:val="75B3511C"/>
    <w:rsid w:val="77866F8C"/>
    <w:rsid w:val="7B9C6183"/>
    <w:rsid w:val="7BAB3641"/>
    <w:rsid w:val="7C4B3836"/>
    <w:rsid w:val="7CACBCBD"/>
    <w:rsid w:val="7CD51896"/>
    <w:rsid w:val="7FBE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EB4C54"/>
  <w15:docId w15:val="{4890123B-BB22-4A0B-945D-A67481661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pPr>
      <w:spacing w:beforeAutospacing="1" w:afterAutospacing="1"/>
      <w:jc w:val="left"/>
    </w:pPr>
    <w:rPr>
      <w:kern w:val="0"/>
      <w:sz w:val="24"/>
    </w:rPr>
  </w:style>
  <w:style w:type="paragraph" w:styleId="ac">
    <w:name w:val="annotation subject"/>
    <w:basedOn w:val="a3"/>
    <w:next w:val="a3"/>
    <w:link w:val="ad"/>
    <w:autoRedefine/>
    <w:uiPriority w:val="99"/>
    <w:semiHidden/>
    <w:unhideWhenUsed/>
    <w:qFormat/>
    <w:rPr>
      <w:b/>
      <w:bCs/>
    </w:rPr>
  </w:style>
  <w:style w:type="character" w:styleId="ae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autoRedefine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文字 字符"/>
    <w:basedOn w:val="a0"/>
    <w:link w:val="a3"/>
    <w:autoRedefine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ad">
    <w:name w:val="批注主题 字符"/>
    <w:basedOn w:val="a4"/>
    <w:link w:val="ac"/>
    <w:autoRedefine/>
    <w:uiPriority w:val="99"/>
    <w:semiHidden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TableText">
    <w:name w:val="Table Text"/>
    <w:basedOn w:val="a"/>
    <w:autoRedefine/>
    <w:semiHidden/>
    <w:qFormat/>
    <w:rPr>
      <w:rFonts w:ascii="宋体" w:hAnsi="宋体" w:cs="宋体"/>
      <w:sz w:val="24"/>
      <w:lang w:eastAsia="en-US"/>
    </w:rPr>
  </w:style>
  <w:style w:type="table" w:customStyle="1" w:styleId="TableNormal">
    <w:name w:val="Table Normal"/>
    <w:autoRedefine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53657F48-F3E4-4514-BFC5-E3649241E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411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skd004</dc:creator>
  <cp:lastModifiedBy>Yingzhen Liang</cp:lastModifiedBy>
  <cp:revision>175</cp:revision>
  <dcterms:created xsi:type="dcterms:W3CDTF">2025-07-04T19:15:00Z</dcterms:created>
  <dcterms:modified xsi:type="dcterms:W3CDTF">2026-09-09T07:09:00Z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2052-12.1.26050.26050</vt:lpwstr>
  </property>
  <property fmtid="{D5CDD505-2E9C-101B-9397-08002B2CF9AE}" pid="3" name="ICV">
    <vt:lpwstr>AB9840B96CF64832B610B2479A0E5ADB_13</vt:lpwstr>
  </property>
</Properties>
</file>