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27B7AF">
      <w:pPr>
        <w:spacing w:before="156" w:beforeLines="50" w:after="156" w:afterLines="50" w:line="400" w:lineRule="exact"/>
        <w:rPr>
          <w:bCs/>
          <w:iCs/>
          <w:color w:val="000000"/>
          <w:sz w:val="24"/>
        </w:rPr>
      </w:pPr>
      <w:r>
        <w:rPr>
          <w:rFonts w:hAnsi="宋体"/>
          <w:b/>
          <w:bCs w:val="0"/>
          <w:iCs/>
          <w:color w:val="000000"/>
          <w:sz w:val="24"/>
        </w:rPr>
        <w:t>证券代码：</w:t>
      </w:r>
      <w:r>
        <w:rPr>
          <w:b/>
          <w:bCs w:val="0"/>
          <w:color w:val="000000"/>
          <w:sz w:val="24"/>
        </w:rPr>
        <w:t>688275</w:t>
      </w:r>
      <w:r>
        <w:rPr>
          <w:rFonts w:hint="eastAsia"/>
          <w:b/>
          <w:bCs w:val="0"/>
          <w:color w:val="000000"/>
          <w:sz w:val="24"/>
        </w:rPr>
        <w:t xml:space="preserve">                                    </w:t>
      </w:r>
      <w:r>
        <w:rPr>
          <w:rFonts w:hAnsi="宋体"/>
          <w:b/>
          <w:bCs w:val="0"/>
          <w:iCs/>
          <w:color w:val="000000"/>
          <w:sz w:val="24"/>
        </w:rPr>
        <w:t>证券简称：</w:t>
      </w:r>
      <w:r>
        <w:rPr>
          <w:b/>
          <w:bCs w:val="0"/>
          <w:color w:val="000000"/>
          <w:sz w:val="24"/>
        </w:rPr>
        <w:t>万润新能</w:t>
      </w:r>
    </w:p>
    <w:p w14:paraId="19B555ED">
      <w:pPr>
        <w:spacing w:before="156" w:beforeLines="50" w:after="156" w:afterLines="50" w:line="400" w:lineRule="exact"/>
        <w:jc w:val="center"/>
        <w:rPr>
          <w:rFonts w:ascii="宋体" w:hAnsi="宋体"/>
          <w:b/>
          <w:bCs/>
          <w:iCs/>
          <w:color w:val="000000"/>
          <w:sz w:val="32"/>
          <w:szCs w:val="32"/>
        </w:rPr>
      </w:pPr>
    </w:p>
    <w:p w14:paraId="759D8E30">
      <w:pPr>
        <w:spacing w:before="156" w:beforeLines="50" w:after="156" w:afterLines="50" w:line="400" w:lineRule="exact"/>
        <w:jc w:val="center"/>
        <w:rPr>
          <w:rFonts w:ascii="宋体" w:hAnsi="宋体"/>
          <w:b/>
          <w:bCs/>
          <w:iCs/>
          <w:color w:val="000000"/>
          <w:sz w:val="32"/>
          <w:szCs w:val="32"/>
        </w:rPr>
      </w:pPr>
      <w:r>
        <w:rPr>
          <w:rFonts w:ascii="宋体" w:hAnsi="宋体"/>
          <w:b/>
          <w:bCs/>
          <w:iCs/>
          <w:color w:val="000000"/>
          <w:sz w:val="32"/>
          <w:szCs w:val="32"/>
        </w:rPr>
        <w:t>湖北万润新能源科技股份有限公司</w:t>
      </w:r>
    </w:p>
    <w:p w14:paraId="68F17CA8">
      <w:pPr>
        <w:spacing w:before="156" w:beforeLines="50" w:after="156" w:afterLines="50" w:line="400" w:lineRule="exact"/>
        <w:jc w:val="center"/>
        <w:rPr>
          <w:rFonts w:ascii="宋体" w:hAnsi="宋体"/>
          <w:b/>
          <w:bCs/>
          <w:iCs/>
          <w:color w:val="000000"/>
          <w:sz w:val="32"/>
          <w:szCs w:val="32"/>
        </w:rPr>
      </w:pPr>
      <w:r>
        <w:rPr>
          <w:rFonts w:hint="eastAsia" w:ascii="宋体" w:hAnsi="宋体"/>
          <w:b/>
          <w:bCs/>
          <w:iCs/>
          <w:color w:val="000000"/>
          <w:sz w:val="32"/>
          <w:szCs w:val="32"/>
        </w:rPr>
        <w:t>投资者关系活动记录表</w:t>
      </w:r>
    </w:p>
    <w:p w14:paraId="598A2CA3">
      <w:pPr>
        <w:spacing w:line="400" w:lineRule="exact"/>
        <w:rPr>
          <w:bCs/>
          <w:iCs/>
          <w:color w:val="000000"/>
          <w:sz w:val="24"/>
        </w:rPr>
      </w:pPr>
    </w:p>
    <w:p w14:paraId="346C1554">
      <w:pPr>
        <w:spacing w:line="400" w:lineRule="exact"/>
        <w:jc w:val="right"/>
        <w:rPr>
          <w:bCs/>
          <w:iCs/>
          <w:color w:val="000000"/>
          <w:sz w:val="24"/>
        </w:rPr>
      </w:pPr>
      <w:r>
        <w:rPr>
          <w:rFonts w:hint="eastAsia"/>
          <w:bCs/>
          <w:iCs/>
          <w:color w:val="000000"/>
          <w:sz w:val="24"/>
        </w:rPr>
        <w:t>编号：2026-02</w:t>
      </w:r>
    </w:p>
    <w:tbl>
      <w:tblPr>
        <w:tblStyle w:val="5"/>
        <w:tblW w:w="87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8"/>
        <w:gridCol w:w="6847"/>
      </w:tblGrid>
      <w:tr w14:paraId="33B558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8DA3DE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投资者关系活动类别</w:t>
            </w:r>
          </w:p>
          <w:p w14:paraId="311BDD91"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</w:p>
        </w:tc>
        <w:tc>
          <w:tcPr>
            <w:tcW w:w="6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74ACA3"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Ansi="宋体"/>
                <w:kern w:val="0"/>
                <w:sz w:val="24"/>
              </w:rPr>
              <w:t>特定对象调研</w:t>
            </w:r>
            <w:r>
              <w:rPr>
                <w:rFonts w:hint="eastAsia" w:hAnsi="宋体"/>
                <w:kern w:val="0"/>
                <w:sz w:val="24"/>
              </w:rPr>
              <w:t xml:space="preserve">   </w:t>
            </w: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Ansi="宋体"/>
                <w:kern w:val="0"/>
                <w:sz w:val="24"/>
              </w:rPr>
              <w:t>分析师会议</w:t>
            </w:r>
          </w:p>
          <w:p w14:paraId="5CF35323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Ansi="宋体"/>
                <w:kern w:val="0"/>
                <w:sz w:val="24"/>
              </w:rPr>
              <w:t>媒体采访</w:t>
            </w:r>
            <w:r>
              <w:rPr>
                <w:rFonts w:hint="eastAsia" w:hAnsi="宋体"/>
                <w:kern w:val="0"/>
                <w:sz w:val="24"/>
              </w:rPr>
              <w:t xml:space="preserve">       </w:t>
            </w: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Ansi="宋体"/>
                <w:kern w:val="0"/>
                <w:sz w:val="24"/>
              </w:rPr>
              <w:t>业绩说明会</w:t>
            </w:r>
          </w:p>
          <w:p w14:paraId="5A8C5D11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Ansi="宋体"/>
                <w:kern w:val="0"/>
                <w:sz w:val="24"/>
              </w:rPr>
              <w:t>新闻发布会</w:t>
            </w:r>
            <w:r>
              <w:rPr>
                <w:rFonts w:hint="eastAsia" w:hAnsi="宋体"/>
                <w:kern w:val="0"/>
                <w:sz w:val="24"/>
              </w:rPr>
              <w:t xml:space="preserve">     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>√</w:t>
            </w:r>
            <w:r>
              <w:rPr>
                <w:rFonts w:hAnsi="宋体"/>
                <w:kern w:val="0"/>
                <w:sz w:val="24"/>
              </w:rPr>
              <w:t>路演活动</w:t>
            </w:r>
          </w:p>
          <w:p w14:paraId="39AA3369">
            <w:pPr>
              <w:tabs>
                <w:tab w:val="center" w:pos="3199"/>
                <w:tab w:val="left" w:pos="3290"/>
              </w:tabs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Ansi="宋体"/>
                <w:kern w:val="0"/>
                <w:sz w:val="24"/>
              </w:rPr>
              <w:t>现场参观</w:t>
            </w:r>
            <w:r>
              <w:rPr>
                <w:bCs/>
                <w:iCs/>
                <w:color w:val="000000"/>
                <w:kern w:val="0"/>
                <w:sz w:val="24"/>
              </w:rPr>
              <w:tab/>
            </w:r>
          </w:p>
          <w:p w14:paraId="78675455">
            <w:pPr>
              <w:tabs>
                <w:tab w:val="center" w:pos="3199"/>
              </w:tabs>
              <w:spacing w:line="420" w:lineRule="exact"/>
              <w:rPr>
                <w:bCs/>
                <w:iCs/>
                <w:color w:val="000000"/>
                <w:sz w:val="24"/>
              </w:rPr>
            </w:pP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Ansi="宋体"/>
                <w:kern w:val="0"/>
                <w:sz w:val="24"/>
              </w:rPr>
              <w:t>其他</w:t>
            </w:r>
            <w:r>
              <w:rPr>
                <w:rFonts w:hint="eastAsia" w:hAnsi="宋体"/>
                <w:kern w:val="0"/>
                <w:sz w:val="24"/>
              </w:rPr>
              <w:t>（电话及线上网络交流）</w:t>
            </w:r>
          </w:p>
        </w:tc>
      </w:tr>
      <w:tr w14:paraId="58EE64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A7AC11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参与单位名称及人员姓名</w:t>
            </w:r>
          </w:p>
        </w:tc>
        <w:tc>
          <w:tcPr>
            <w:tcW w:w="6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7D42AC"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  <w:r>
              <w:rPr>
                <w:rFonts w:hint="eastAsia"/>
                <w:bCs/>
                <w:iCs/>
                <w:color w:val="000000"/>
                <w:sz w:val="24"/>
              </w:rPr>
              <w:t>申万菱信基金、东吴基金、汇丰晋信基金、国泰基金、兴全基金、</w:t>
            </w:r>
            <w:r>
              <w:rPr>
                <w:rFonts w:hint="eastAsia"/>
                <w:sz w:val="24"/>
                <w:szCs w:val="24"/>
              </w:rPr>
              <w:t>富安达基金</w:t>
            </w:r>
            <w:r>
              <w:rPr>
                <w:rFonts w:hint="eastAsia"/>
                <w:sz w:val="24"/>
                <w:szCs w:val="24"/>
                <w:lang w:eastAsia="zh-CN"/>
              </w:rPr>
              <w:t>、</w:t>
            </w:r>
            <w:r>
              <w:rPr>
                <w:bCs/>
                <w:iCs/>
                <w:color w:val="000000"/>
                <w:sz w:val="24"/>
              </w:rPr>
              <w:t>上海明汯投资</w:t>
            </w:r>
            <w:r>
              <w:rPr>
                <w:rFonts w:hint="eastAsia"/>
                <w:bCs/>
                <w:iCs/>
                <w:color w:val="000000"/>
                <w:sz w:val="24"/>
              </w:rPr>
              <w:t>、远信投资、</w:t>
            </w:r>
            <w:r>
              <w:rPr>
                <w:bCs/>
                <w:iCs/>
                <w:color w:val="000000"/>
                <w:sz w:val="24"/>
              </w:rPr>
              <w:t>渊泓投资</w:t>
            </w:r>
            <w:r>
              <w:rPr>
                <w:rFonts w:hint="eastAsia"/>
                <w:bCs/>
                <w:iCs/>
                <w:color w:val="000000"/>
                <w:sz w:val="24"/>
              </w:rPr>
              <w:t>、</w:t>
            </w:r>
            <w:r>
              <w:rPr>
                <w:bCs/>
                <w:iCs/>
                <w:color w:val="000000"/>
                <w:sz w:val="24"/>
              </w:rPr>
              <w:t>厦门泰牛私募</w:t>
            </w:r>
            <w:r>
              <w:rPr>
                <w:rFonts w:hint="eastAsia"/>
                <w:bCs/>
                <w:iCs/>
                <w:color w:val="000000"/>
                <w:sz w:val="24"/>
              </w:rPr>
              <w:t>、中信建投证券、华泰证券、开源证券、申万宏源证券、华创证券、西部证券</w:t>
            </w:r>
          </w:p>
          <w:p w14:paraId="6930F328"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  <w:r>
              <w:rPr>
                <w:rFonts w:hint="eastAsia"/>
                <w:bCs/>
                <w:iCs/>
                <w:color w:val="000000"/>
                <w:sz w:val="24"/>
              </w:rPr>
              <w:t>（以上排名不分先后）</w:t>
            </w:r>
          </w:p>
        </w:tc>
      </w:tr>
      <w:tr w14:paraId="1DDBA2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61EEF8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时间</w:t>
            </w:r>
          </w:p>
        </w:tc>
        <w:tc>
          <w:tcPr>
            <w:tcW w:w="6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E4E954"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  <w:r>
              <w:rPr>
                <w:rFonts w:hint="eastAsia"/>
                <w:bCs/>
                <w:iCs/>
                <w:color w:val="000000"/>
                <w:sz w:val="24"/>
              </w:rPr>
              <w:t>2026年9月3日、9月4日、9月7日、9月8日</w:t>
            </w:r>
          </w:p>
        </w:tc>
      </w:tr>
      <w:tr w14:paraId="4DC0D6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EB96A7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地点</w:t>
            </w:r>
          </w:p>
        </w:tc>
        <w:tc>
          <w:tcPr>
            <w:tcW w:w="6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9F3618"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  <w:r>
              <w:rPr>
                <w:rFonts w:hint="eastAsia"/>
                <w:bCs/>
                <w:iCs/>
                <w:color w:val="000000"/>
                <w:sz w:val="24"/>
              </w:rPr>
              <w:t>上海</w:t>
            </w:r>
          </w:p>
        </w:tc>
      </w:tr>
      <w:tr w14:paraId="7DBCB4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B1771D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上市公司接待人员姓名</w:t>
            </w:r>
          </w:p>
        </w:tc>
        <w:tc>
          <w:tcPr>
            <w:tcW w:w="6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3B4848">
            <w:pPr>
              <w:spacing w:line="420" w:lineRule="exact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资本运营负责人：张乐</w:t>
            </w:r>
          </w:p>
          <w:p w14:paraId="37965463">
            <w:pPr>
              <w:spacing w:line="420" w:lineRule="exact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投资者关系经理：汪玥含</w:t>
            </w:r>
          </w:p>
        </w:tc>
      </w:tr>
      <w:tr w14:paraId="3186F5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916402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投资者关系活动主要内容介绍</w:t>
            </w:r>
          </w:p>
          <w:p w14:paraId="7C4C6E1E"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</w:p>
        </w:tc>
        <w:tc>
          <w:tcPr>
            <w:tcW w:w="6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595B59">
            <w:pPr>
              <w:spacing w:line="460" w:lineRule="exact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一、公司经营情况介绍</w:t>
            </w:r>
          </w:p>
          <w:p w14:paraId="1C1C4991">
            <w:pPr>
              <w:spacing w:line="460" w:lineRule="exact"/>
              <w:ind w:firstLine="480" w:firstLineChars="200"/>
              <w:rPr>
                <w:rFonts w:hint="default" w:ascii="Times New Roman" w:hAnsi="Times New Roman" w:cs="Times New Roman"/>
                <w:bCs/>
                <w:sz w:val="24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</w:rPr>
              <w:t>2026年上半年，在下游动力及储能行业旺盛需求的驱动下，公司产能利用率继续保持高水平运转，产线规模化效应充分释放，核心产品磷酸铁锂在出货量和销售价格方面均有明显提升。</w:t>
            </w:r>
          </w:p>
          <w:p w14:paraId="0DE930E8">
            <w:pPr>
              <w:spacing w:line="460" w:lineRule="exact"/>
              <w:ind w:firstLine="480" w:firstLineChars="200"/>
              <w:rPr>
                <w:rFonts w:ascii="宋体" w:hAnsi="宋体"/>
                <w:bCs/>
                <w:sz w:val="24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</w:rPr>
              <w:t>2026年1-6月，公司累计实现营收124.26亿元，同比增长180.13%，半年度营收规模已经超越2025年全年规模。上半年累计实现出货24.21万吨，同比增长63.22%，实现归属于母公司所有者的净利润6.02亿元</w:t>
            </w:r>
            <w:r>
              <w:rPr>
                <w:rFonts w:hint="eastAsia" w:ascii="宋体" w:hAnsi="宋体"/>
                <w:bCs/>
                <w:sz w:val="24"/>
              </w:rPr>
              <w:t>，同比大幅扭亏为盈。</w:t>
            </w:r>
          </w:p>
          <w:p w14:paraId="69E9A28C">
            <w:pPr>
              <w:spacing w:line="460" w:lineRule="exact"/>
              <w:ind w:firstLine="480" w:firstLineChars="200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报告期内，公司加速产品迭代升级，加强精益管控降本增效，推动上下游协同联动，推进供应链管理升级，公司经营质效得到进一步提升。</w:t>
            </w:r>
          </w:p>
          <w:p w14:paraId="742790CF">
            <w:pPr>
              <w:spacing w:line="460" w:lineRule="exact"/>
              <w:ind w:firstLine="480" w:firstLineChars="200"/>
              <w:rPr>
                <w:rFonts w:ascii="宋体" w:hAnsi="宋体"/>
                <w:bCs/>
                <w:sz w:val="24"/>
              </w:rPr>
            </w:pPr>
          </w:p>
          <w:p w14:paraId="6AF20CFD">
            <w:pPr>
              <w:spacing w:line="460" w:lineRule="exact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二、</w:t>
            </w:r>
            <w:r>
              <w:rPr>
                <w:rFonts w:ascii="宋体" w:hAnsi="宋体"/>
                <w:b/>
                <w:sz w:val="24"/>
              </w:rPr>
              <w:t>问题及回复</w:t>
            </w:r>
          </w:p>
          <w:p w14:paraId="0F781076">
            <w:pPr>
              <w:pStyle w:val="7"/>
              <w:spacing w:line="460" w:lineRule="exact"/>
              <w:ind w:firstLine="0" w:firstLineChars="0"/>
              <w:rPr>
                <w:rFonts w:ascii="宋体" w:hAnsi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Q1：公司目前排产情况如何？公司对于今年全年及明年的出货量情况如何展望？</w:t>
            </w:r>
          </w:p>
          <w:p w14:paraId="54AC814A">
            <w:pPr>
              <w:pStyle w:val="7"/>
              <w:spacing w:line="460" w:lineRule="exact"/>
              <w:ind w:firstLine="480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回答：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2026年1-6月，公司磷酸铁锂产品实现出货24.21万吨，同比增长63.22%</w:t>
            </w:r>
            <w:r>
              <w:rPr>
                <w:rFonts w:hint="eastAsia" w:ascii="宋体" w:hAnsi="宋体"/>
                <w:sz w:val="24"/>
                <w:szCs w:val="24"/>
              </w:rPr>
              <w:t>。三季度以来，因下游客户需求旺盛、战略客户订单放量及新产品持续开拓，公司目前继续保持满产状态。</w:t>
            </w:r>
          </w:p>
          <w:p w14:paraId="054FA251">
            <w:pPr>
              <w:pStyle w:val="7"/>
              <w:spacing w:line="460" w:lineRule="exact"/>
              <w:ind w:firstLine="480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预计行业需求高景气的状态将在今年四季度和明年得到延续。公司今年全年出货量以及明年的实际出货情况请以公司公告为准。</w:t>
            </w:r>
          </w:p>
          <w:p w14:paraId="34E305BB">
            <w:pPr>
              <w:pStyle w:val="7"/>
              <w:spacing w:line="460" w:lineRule="exact"/>
              <w:ind w:firstLine="480"/>
              <w:rPr>
                <w:rFonts w:ascii="宋体" w:hAnsi="宋体"/>
                <w:sz w:val="24"/>
                <w:szCs w:val="24"/>
              </w:rPr>
            </w:pPr>
          </w:p>
          <w:p w14:paraId="655BC674">
            <w:pPr>
              <w:pStyle w:val="7"/>
              <w:spacing w:line="460" w:lineRule="exact"/>
              <w:ind w:firstLine="0" w:firstLineChars="0"/>
              <w:rPr>
                <w:rFonts w:ascii="宋体" w:hAnsi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Q2：上半年原材料价格出现大幅上涨，请问这对公司生产经营的影响如何以及公司如何应对？</w:t>
            </w:r>
          </w:p>
          <w:p w14:paraId="050F129F">
            <w:pPr>
              <w:pStyle w:val="7"/>
              <w:spacing w:line="460" w:lineRule="exact"/>
              <w:ind w:firstLine="480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回答：上半年，磷酸、硫酸亚铁等核心原材料价格出现明显上涨。对此，公司</w:t>
            </w:r>
            <w:r>
              <w:rPr>
                <w:rFonts w:ascii="宋体" w:hAnsi="宋体"/>
                <w:sz w:val="24"/>
                <w:szCs w:val="24"/>
              </w:rPr>
              <w:t>围绕保供稳链、质量提效、成本优化、产业协同等维度推进供应链管理升级</w:t>
            </w:r>
            <w:r>
              <w:rPr>
                <w:rFonts w:hint="eastAsia" w:ascii="宋体" w:hAnsi="宋体"/>
                <w:sz w:val="24"/>
                <w:szCs w:val="24"/>
              </w:rPr>
              <w:t>，以应对原材料成本上涨的压力。一是</w:t>
            </w:r>
            <w:r>
              <w:rPr>
                <w:rFonts w:ascii="宋体" w:hAnsi="宋体"/>
                <w:sz w:val="24"/>
                <w:szCs w:val="24"/>
              </w:rPr>
              <w:t>重点拓展核心原材料多元供应渠道</w:t>
            </w:r>
            <w:r>
              <w:rPr>
                <w:rFonts w:hint="eastAsia" w:ascii="宋体" w:hAnsi="宋体"/>
                <w:sz w:val="24"/>
                <w:szCs w:val="24"/>
              </w:rPr>
              <w:t>，同时加强与核心供应商的战略合作。今年上半年，公司与贵州磷化集团合资设立磷化万润，计划</w:t>
            </w:r>
            <w:r>
              <w:rPr>
                <w:rFonts w:ascii="宋体" w:hAnsi="宋体"/>
                <w:sz w:val="24"/>
                <w:szCs w:val="24"/>
              </w:rPr>
              <w:t>依托双方资源与技术优势</w:t>
            </w:r>
            <w:r>
              <w:rPr>
                <w:rFonts w:hint="eastAsia" w:ascii="宋体" w:hAnsi="宋体"/>
                <w:sz w:val="24"/>
                <w:szCs w:val="24"/>
              </w:rPr>
              <w:t>，以磷化万润为锚点，</w:t>
            </w:r>
            <w:r>
              <w:rPr>
                <w:rFonts w:ascii="宋体" w:hAnsi="宋体"/>
                <w:sz w:val="24"/>
                <w:szCs w:val="24"/>
              </w:rPr>
              <w:t>为磷酸铁锂生产提供充足、稳定且成本可控的上游资源保障</w:t>
            </w:r>
            <w:r>
              <w:rPr>
                <w:rFonts w:hint="eastAsia" w:ascii="宋体" w:hAnsi="宋体"/>
                <w:sz w:val="24"/>
                <w:szCs w:val="24"/>
              </w:rPr>
              <w:t>。二是通过与优质客户推进需求信息共享与联合库存管理，打通客户生产计划向采购端的传导链路，优化采购与库存节奏。三是</w:t>
            </w:r>
            <w:r>
              <w:rPr>
                <w:rFonts w:ascii="宋体" w:hAnsi="宋体"/>
                <w:sz w:val="24"/>
                <w:szCs w:val="24"/>
              </w:rPr>
              <w:t>持续推进工艺优化与精益制造，多维度对冲成本波动。</w:t>
            </w:r>
          </w:p>
          <w:p w14:paraId="6CB4A99C">
            <w:pPr>
              <w:pStyle w:val="7"/>
              <w:spacing w:line="460" w:lineRule="exact"/>
              <w:ind w:firstLine="0" w:firstLineChars="0"/>
              <w:rPr>
                <w:rFonts w:ascii="宋体" w:hAnsi="宋体"/>
                <w:b/>
                <w:bCs/>
                <w:sz w:val="24"/>
                <w:szCs w:val="24"/>
              </w:rPr>
            </w:pPr>
          </w:p>
          <w:p w14:paraId="0DA47F9D">
            <w:pPr>
              <w:pStyle w:val="7"/>
              <w:spacing w:line="460" w:lineRule="exact"/>
              <w:ind w:firstLine="0" w:firstLineChars="0"/>
              <w:rPr>
                <w:rFonts w:ascii="宋体" w:hAnsi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Q3：请问公司新产能建设情况如何？</w:t>
            </w:r>
          </w:p>
          <w:p w14:paraId="4A47E41C">
            <w:pPr>
              <w:pStyle w:val="7"/>
              <w:spacing w:line="460" w:lineRule="exact"/>
              <w:ind w:left="-2" w:leftChars="-1" w:firstLine="48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回答：公司已对外公告相关新产能规划，包括鲁北万润的“</w:t>
            </w:r>
            <w:r>
              <w:rPr>
                <w:rFonts w:hint="default" w:ascii="Times New Roman" w:hAnsi="Times New Roman" w:cs="Times New Roman"/>
                <w:sz w:val="24"/>
              </w:rPr>
              <w:t>12</w:t>
            </w:r>
            <w:r>
              <w:rPr>
                <w:rFonts w:ascii="宋体" w:hAnsi="宋体"/>
                <w:sz w:val="24"/>
              </w:rPr>
              <w:t>万吨/年高压密磷酸铁锂项目</w:t>
            </w:r>
            <w:r>
              <w:rPr>
                <w:rFonts w:hint="eastAsia" w:ascii="宋体" w:hAnsi="宋体"/>
                <w:sz w:val="24"/>
              </w:rPr>
              <w:t>”、宏迈高科的</w:t>
            </w:r>
            <w:r>
              <w:rPr>
                <w:rFonts w:ascii="宋体" w:hAnsi="宋体"/>
                <w:sz w:val="24"/>
              </w:rPr>
              <w:t>“</w:t>
            </w:r>
            <w:r>
              <w:rPr>
                <w:rFonts w:hint="default" w:ascii="Times New Roman" w:hAnsi="Times New Roman" w:cs="Times New Roman"/>
                <w:sz w:val="24"/>
              </w:rPr>
              <w:t>7</w:t>
            </w:r>
            <w:r>
              <w:rPr>
                <w:rFonts w:ascii="宋体" w:hAnsi="宋体"/>
                <w:sz w:val="24"/>
              </w:rPr>
              <w:t>万吨/年高压实密度磷酸铁锂项目”</w:t>
            </w:r>
            <w:r>
              <w:rPr>
                <w:rFonts w:hint="eastAsia" w:ascii="宋体" w:hAnsi="宋体"/>
                <w:sz w:val="24"/>
              </w:rPr>
              <w:t>以及美国新能源正极材料及其产业化研发中心项目规划建设</w:t>
            </w:r>
            <w:r>
              <w:rPr>
                <w:rFonts w:hint="default" w:ascii="Times New Roman" w:hAnsi="Times New Roman" w:cs="Times New Roman"/>
                <w:sz w:val="24"/>
              </w:rPr>
              <w:t>5万吨的磷酸铁锂（一期计划先行建设落地0.9</w:t>
            </w:r>
            <w:r>
              <w:rPr>
                <w:rFonts w:hint="eastAsia" w:ascii="宋体" w:hAnsi="宋体"/>
                <w:sz w:val="24"/>
              </w:rPr>
              <w:t>万吨/年磷酸铁锂产能）。目前以上项目均在按照计划稳步推进。</w:t>
            </w:r>
          </w:p>
          <w:p w14:paraId="755BBF49">
            <w:pPr>
              <w:pStyle w:val="7"/>
              <w:spacing w:line="460" w:lineRule="exact"/>
              <w:ind w:firstLine="0" w:firstLineChars="0"/>
              <w:rPr>
                <w:rFonts w:ascii="宋体" w:hAnsi="宋体"/>
                <w:sz w:val="24"/>
                <w:szCs w:val="24"/>
              </w:rPr>
            </w:pPr>
          </w:p>
          <w:p w14:paraId="7F9C079D">
            <w:pPr>
              <w:pStyle w:val="7"/>
              <w:spacing w:line="460" w:lineRule="exact"/>
              <w:ind w:firstLine="0" w:firstLineChars="0"/>
              <w:rPr>
                <w:rFonts w:ascii="宋体" w:hAnsi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Q4：公司如何看待钠离子电池？</w:t>
            </w:r>
          </w:p>
          <w:p w14:paraId="73644D6B">
            <w:pPr>
              <w:pStyle w:val="7"/>
              <w:spacing w:line="460" w:lineRule="exact"/>
              <w:ind w:left="-2" w:leftChars="-1" w:firstLine="48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回答：钠离子电池具备原材料资源丰富、低温性能较好、安全冗余优等特点。公司一直重视钠离子电池研发工作，在聚阴离子类型化合物、层状氧化物类、普鲁士蓝/白类等不同体系的钠离子电池正极材料方面均有布局。同时，公司也是较早实现钠离子电池正极材料批量出货</w:t>
            </w:r>
            <w:bookmarkStart w:id="0" w:name="_GoBack"/>
            <w:bookmarkEnd w:id="0"/>
            <w:r>
              <w:rPr>
                <w:rFonts w:hint="eastAsia" w:ascii="宋体" w:hAnsi="宋体"/>
                <w:sz w:val="24"/>
              </w:rPr>
              <w:t>的企业，目前部分型号已实现数百吨出货。</w:t>
            </w:r>
          </w:p>
          <w:p w14:paraId="5FEB9E73">
            <w:pPr>
              <w:pStyle w:val="7"/>
              <w:spacing w:line="460" w:lineRule="exact"/>
              <w:ind w:left="-2" w:leftChars="-1" w:firstLine="48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目前，</w:t>
            </w:r>
            <w:r>
              <w:rPr>
                <w:rFonts w:ascii="宋体" w:hAnsi="宋体"/>
                <w:sz w:val="24"/>
              </w:rPr>
              <w:t>公司创新性开发“高反应活性磷酸铁前驱体”，利用“梯度升温”和“晶粒融合”等核心技术，通过诱导烧结过程中充分相变与致密化反应，获得具有高致密度结构的焦磷酸磷酸铁钠正极材料，最终实现其高压实密度与高倍率性能的协同优化。</w:t>
            </w:r>
            <w:r>
              <w:rPr>
                <w:rFonts w:hint="eastAsia" w:ascii="宋体" w:hAnsi="宋体"/>
                <w:sz w:val="24"/>
              </w:rPr>
              <w:t>该产品性能突出，处于行业领先水平。</w:t>
            </w:r>
          </w:p>
          <w:p w14:paraId="602E40E3">
            <w:pPr>
              <w:pStyle w:val="7"/>
              <w:spacing w:line="460" w:lineRule="exact"/>
              <w:ind w:left="-2" w:leftChars="-1" w:firstLine="480"/>
              <w:rPr>
                <w:rFonts w:ascii="宋体" w:hAnsi="宋体"/>
                <w:bCs/>
                <w:iCs/>
                <w:color w:val="000000"/>
                <w:sz w:val="24"/>
              </w:rPr>
            </w:pPr>
          </w:p>
        </w:tc>
      </w:tr>
      <w:tr w14:paraId="5AB209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1D090B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附件清单（如有）</w:t>
            </w:r>
          </w:p>
        </w:tc>
        <w:tc>
          <w:tcPr>
            <w:tcW w:w="6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B30B33"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  <w:r>
              <w:rPr>
                <w:rFonts w:hint="eastAsia"/>
                <w:bCs/>
                <w:iCs/>
                <w:color w:val="000000"/>
                <w:sz w:val="24"/>
              </w:rPr>
              <w:t>无</w:t>
            </w:r>
          </w:p>
        </w:tc>
      </w:tr>
      <w:tr w14:paraId="100FE4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190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D26DBB0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>风险提示</w:t>
            </w:r>
          </w:p>
        </w:tc>
        <w:tc>
          <w:tcPr>
            <w:tcW w:w="6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A4821C"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  <w:r>
              <w:rPr>
                <w:rFonts w:hint="eastAsia"/>
                <w:bCs/>
                <w:iCs/>
                <w:color w:val="000000"/>
                <w:sz w:val="24"/>
              </w:rPr>
              <w:t>以上如涉及对行业发展趋势判断、公司发展规划等相关内容，不能视作公司或公司管理层对行业、公司发展的承诺和保证。敬请广大投资者注意投资风险。</w:t>
            </w:r>
          </w:p>
        </w:tc>
      </w:tr>
      <w:tr w14:paraId="335FE8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90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4DDCAA">
            <w:pPr>
              <w:spacing w:line="420" w:lineRule="exact"/>
              <w:rPr>
                <w:rFonts w:hAnsi="宋体"/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日期</w:t>
            </w:r>
          </w:p>
        </w:tc>
        <w:tc>
          <w:tcPr>
            <w:tcW w:w="6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173BDA"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  <w:r>
              <w:rPr>
                <w:rFonts w:hint="eastAsia"/>
                <w:bCs/>
                <w:iCs/>
                <w:color w:val="000000"/>
                <w:sz w:val="24"/>
              </w:rPr>
              <w:t>2026年9月9日</w:t>
            </w:r>
          </w:p>
        </w:tc>
      </w:tr>
    </w:tbl>
    <w:p w14:paraId="3142B8FF"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EBFC27">
    <w:pPr>
      <w:pStyle w:val="2"/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FA064F">
    <w:pPr>
      <w:pStyle w:val="3"/>
      <w:pBdr>
        <w:bottom w:val="none" w:color="auto" w:sz="0" w:space="0"/>
      </w:pBdr>
      <w:jc w:val="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6D681565"/>
    <w:rsid w:val="77F44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HTML Preformatted"/>
    <w:basedOn w:val="1"/>
    <w:link w:val="14"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/>
      <w:kern w:val="0"/>
      <w:sz w:val="24"/>
    </w:rPr>
  </w:style>
  <w:style w:type="paragraph" w:customStyle="1" w:styleId="7">
    <w:name w:val="_Style 6"/>
    <w:basedOn w:val="1"/>
    <w:qFormat/>
    <w:uiPriority w:val="34"/>
    <w:pPr>
      <w:ind w:firstLine="420" w:firstLineChars="200"/>
    </w:pPr>
    <w:rPr>
      <w:rFonts w:ascii="Calibri" w:hAnsi="Calibri"/>
      <w:szCs w:val="22"/>
    </w:rPr>
  </w:style>
  <w:style w:type="paragraph" w:customStyle="1" w:styleId="8">
    <w:name w:val="Char Char Char"/>
    <w:basedOn w:val="1"/>
    <w:qFormat/>
    <w:uiPriority w:val="0"/>
    <w:rPr>
      <w:szCs w:val="21"/>
    </w:rPr>
  </w:style>
  <w:style w:type="paragraph" w:customStyle="1" w:styleId="9">
    <w:name w:val="Char Char Char Char Char Char Char Char Char Char Char Char Char Char Char Char"/>
    <w:basedOn w:val="1"/>
    <w:qFormat/>
    <w:uiPriority w:val="0"/>
  </w:style>
  <w:style w:type="paragraph" w:customStyle="1" w:styleId="10">
    <w:name w:val="Char Char Char1"/>
    <w:basedOn w:val="1"/>
    <w:qFormat/>
    <w:uiPriority w:val="0"/>
  </w:style>
  <w:style w:type="character" w:customStyle="1" w:styleId="11">
    <w:name w:val="页脚 字符"/>
    <w:basedOn w:val="6"/>
    <w:link w:val="2"/>
    <w:qFormat/>
    <w:uiPriority w:val="0"/>
    <w:rPr>
      <w:kern w:val="2"/>
      <w:sz w:val="18"/>
      <w:szCs w:val="18"/>
    </w:rPr>
  </w:style>
  <w:style w:type="character" w:customStyle="1" w:styleId="12">
    <w:name w:val="页眉 字符"/>
    <w:basedOn w:val="6"/>
    <w:link w:val="3"/>
    <w:qFormat/>
    <w:uiPriority w:val="0"/>
    <w:rPr>
      <w:kern w:val="2"/>
      <w:sz w:val="18"/>
      <w:szCs w:val="18"/>
    </w:rPr>
  </w:style>
  <w:style w:type="paragraph" w:customStyle="1" w:styleId="13">
    <w:name w:val="修订1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14">
    <w:name w:val="HTML 预设格式 字符"/>
    <w:basedOn w:val="6"/>
    <w:link w:val="4"/>
    <w:qFormat/>
    <w:uiPriority w:val="99"/>
    <w:rPr>
      <w:rFonts w:ascii="宋体" w:hAnsi="宋体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3</Pages>
  <Words>1540</Words>
  <Characters>1612</Characters>
  <Lines>12</Lines>
  <Paragraphs>3</Paragraphs>
  <TotalTime>3</TotalTime>
  <ScaleCrop>false</ScaleCrop>
  <LinksUpToDate>false</LinksUpToDate>
  <CharactersWithSpaces>1664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2025-09-29T11:32:00Z</dcterms:created>
  <dc:creator>微软用户</dc:creator>
  <cp:lastModifiedBy>董办</cp:lastModifiedBy>
  <cp:lastPrinted>2024-12-08T17:09:00Z</cp:lastPrinted>
  <dcterms:modified xsi:type="dcterms:W3CDTF">2026-09-09T07:58:59Z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3D9D0DFD21D14D3AAD6592E6172649D5_13</vt:lpwstr>
  </property>
  <property fmtid="{D5CDD505-2E9C-101B-9397-08002B2CF9AE}" pid="4" name="KSOTemplateDocerSaveRecord">
    <vt:lpwstr>eyJoZGlkIjoiYzg0NGNkNzcyMWNiZWJiOGI2NzU1ZjE0MGFjMmEyNmEiLCJ1c2VySWQiOiIyNzM2MjU4ODAifQ==</vt:lpwstr>
  </property>
</Properties>
</file>