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42278" w14:textId="77777777" w:rsidR="00D95727" w:rsidRDefault="00C8757C">
      <w:pPr>
        <w:spacing w:beforeLines="50" w:before="156" w:afterLines="50" w:after="156" w:line="400" w:lineRule="exact"/>
        <w:rPr>
          <w:rFonts w:eastAsiaTheme="minorEastAsia"/>
          <w:bCs/>
          <w:iCs/>
          <w:sz w:val="24"/>
        </w:rPr>
      </w:pPr>
      <w:r>
        <w:rPr>
          <w:rFonts w:eastAsiaTheme="minorEastAsia" w:hint="eastAsia"/>
          <w:bCs/>
          <w:iCs/>
          <w:sz w:val="24"/>
        </w:rPr>
        <w:t>证券代码：</w:t>
      </w:r>
      <w:r>
        <w:rPr>
          <w:rFonts w:eastAsiaTheme="minorEastAsia" w:hint="eastAsia"/>
          <w:bCs/>
          <w:iCs/>
          <w:sz w:val="24"/>
        </w:rPr>
        <w:t>688139</w:t>
      </w:r>
      <w:r>
        <w:rPr>
          <w:rFonts w:eastAsiaTheme="minorEastAsia"/>
          <w:bCs/>
          <w:iCs/>
          <w:sz w:val="24"/>
        </w:rPr>
        <w:t xml:space="preserve">                                 </w:t>
      </w:r>
      <w:r>
        <w:rPr>
          <w:rFonts w:eastAsiaTheme="minorEastAsia" w:hint="eastAsia"/>
          <w:bCs/>
          <w:iCs/>
          <w:sz w:val="24"/>
        </w:rPr>
        <w:t xml:space="preserve">   </w:t>
      </w:r>
      <w:r>
        <w:rPr>
          <w:rFonts w:eastAsiaTheme="minorEastAsia" w:hint="eastAsia"/>
          <w:bCs/>
          <w:iCs/>
          <w:sz w:val="24"/>
        </w:rPr>
        <w:t>证券简称：海尔生物</w:t>
      </w:r>
    </w:p>
    <w:p w14:paraId="6EBB0698" w14:textId="77777777" w:rsidR="00D95727" w:rsidRDefault="00C8757C">
      <w:pPr>
        <w:spacing w:beforeLines="50" w:before="156" w:afterLines="50" w:after="156" w:line="400" w:lineRule="exact"/>
        <w:jc w:val="center"/>
        <w:rPr>
          <w:rFonts w:eastAsiaTheme="minorEastAsia"/>
          <w:b/>
          <w:bCs/>
          <w:iCs/>
          <w:sz w:val="30"/>
          <w:szCs w:val="30"/>
        </w:rPr>
      </w:pPr>
      <w:r>
        <w:rPr>
          <w:rFonts w:eastAsiaTheme="minorEastAsia" w:hint="eastAsia"/>
          <w:b/>
          <w:bCs/>
          <w:iCs/>
          <w:sz w:val="30"/>
          <w:szCs w:val="30"/>
        </w:rPr>
        <w:t>青岛海尔生物医疗股份有限公司</w:t>
      </w:r>
    </w:p>
    <w:p w14:paraId="17F8ED7B" w14:textId="77777777" w:rsidR="00D95727" w:rsidRDefault="00C8757C">
      <w:pPr>
        <w:spacing w:beforeLines="50" w:before="156" w:afterLines="50" w:after="156" w:line="400" w:lineRule="exact"/>
        <w:jc w:val="center"/>
        <w:rPr>
          <w:rFonts w:eastAsiaTheme="minorEastAsia"/>
          <w:b/>
          <w:bCs/>
          <w:iCs/>
          <w:sz w:val="30"/>
          <w:szCs w:val="30"/>
        </w:rPr>
      </w:pPr>
      <w:r>
        <w:rPr>
          <w:rFonts w:eastAsiaTheme="minorEastAsia" w:hint="eastAsia"/>
          <w:b/>
          <w:bCs/>
          <w:iCs/>
          <w:sz w:val="30"/>
          <w:szCs w:val="30"/>
        </w:rPr>
        <w:t>投资者关系活动记录表</w:t>
      </w:r>
    </w:p>
    <w:p w14:paraId="43BB4FB1" w14:textId="77777777" w:rsidR="00D95727" w:rsidRDefault="00C8757C">
      <w:pPr>
        <w:spacing w:line="400" w:lineRule="exact"/>
        <w:rPr>
          <w:rFonts w:eastAsiaTheme="minorEastAsia"/>
          <w:bCs/>
          <w:iCs/>
          <w:sz w:val="24"/>
          <w:szCs w:val="24"/>
        </w:rPr>
      </w:pPr>
      <w:r>
        <w:rPr>
          <w:rFonts w:eastAsiaTheme="minorEastAsia"/>
          <w:bCs/>
          <w:iCs/>
          <w:sz w:val="24"/>
          <w:szCs w:val="24"/>
        </w:rPr>
        <w:t xml:space="preserve">                                                    </w:t>
      </w:r>
      <w:r>
        <w:rPr>
          <w:rFonts w:eastAsiaTheme="minorEastAsia" w:hint="eastAsia"/>
          <w:bCs/>
          <w:iCs/>
          <w:sz w:val="24"/>
          <w:szCs w:val="24"/>
        </w:rPr>
        <w:t xml:space="preserve">  </w:t>
      </w:r>
      <w:r>
        <w:rPr>
          <w:rFonts w:eastAsiaTheme="minorEastAsia"/>
          <w:bCs/>
          <w:iCs/>
          <w:sz w:val="24"/>
          <w:szCs w:val="24"/>
        </w:rPr>
        <w:t xml:space="preserve">  </w:t>
      </w:r>
      <w:r>
        <w:rPr>
          <w:rFonts w:eastAsiaTheme="minorEastAsia" w:hint="eastAsia"/>
          <w:bCs/>
          <w:iCs/>
          <w:sz w:val="24"/>
          <w:szCs w:val="24"/>
        </w:rPr>
        <w:t>编号：</w:t>
      </w:r>
      <w:r>
        <w:rPr>
          <w:rFonts w:eastAsiaTheme="minorEastAsia"/>
          <w:bCs/>
          <w:iCs/>
          <w:sz w:val="24"/>
          <w:szCs w:val="24"/>
        </w:rPr>
        <w:t>2026-0</w:t>
      </w:r>
      <w:r>
        <w:rPr>
          <w:rFonts w:eastAsiaTheme="minorEastAsia" w:hint="eastAsia"/>
          <w:bCs/>
          <w:iCs/>
          <w:sz w:val="24"/>
          <w:szCs w:val="24"/>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614"/>
      </w:tblGrid>
      <w:tr w:rsidR="00D95727" w14:paraId="1C6485D1" w14:textId="77777777">
        <w:trPr>
          <w:trHeight w:val="90"/>
        </w:trPr>
        <w:tc>
          <w:tcPr>
            <w:tcW w:w="1908" w:type="dxa"/>
            <w:tcBorders>
              <w:top w:val="single" w:sz="4" w:space="0" w:color="auto"/>
              <w:left w:val="single" w:sz="4" w:space="0" w:color="auto"/>
              <w:bottom w:val="single" w:sz="4" w:space="0" w:color="auto"/>
              <w:right w:val="single" w:sz="4" w:space="0" w:color="auto"/>
            </w:tcBorders>
          </w:tcPr>
          <w:p w14:paraId="03ED0223" w14:textId="77777777" w:rsidR="00D95727" w:rsidRDefault="00C8757C">
            <w:pPr>
              <w:spacing w:line="360" w:lineRule="auto"/>
              <w:rPr>
                <w:rFonts w:eastAsiaTheme="minorEastAsia"/>
                <w:b/>
                <w:bCs/>
                <w:iCs/>
                <w:sz w:val="24"/>
                <w:szCs w:val="24"/>
              </w:rPr>
            </w:pPr>
            <w:r>
              <w:rPr>
                <w:rFonts w:eastAsiaTheme="minorEastAsia" w:hint="eastAsia"/>
                <w:b/>
                <w:bCs/>
                <w:iCs/>
                <w:sz w:val="24"/>
                <w:szCs w:val="24"/>
              </w:rPr>
              <w:t>投资者关系活动类别</w:t>
            </w:r>
          </w:p>
          <w:p w14:paraId="36779B1C" w14:textId="77777777" w:rsidR="00D95727" w:rsidRDefault="00D95727">
            <w:pPr>
              <w:spacing w:line="360" w:lineRule="auto"/>
              <w:rPr>
                <w:rFonts w:eastAsiaTheme="minorEastAsia"/>
                <w:b/>
                <w:bCs/>
                <w:iCs/>
                <w:sz w:val="24"/>
                <w:szCs w:val="24"/>
              </w:rPr>
            </w:pPr>
          </w:p>
        </w:tc>
        <w:tc>
          <w:tcPr>
            <w:tcW w:w="6614" w:type="dxa"/>
            <w:tcBorders>
              <w:top w:val="single" w:sz="4" w:space="0" w:color="auto"/>
              <w:left w:val="single" w:sz="4" w:space="0" w:color="auto"/>
              <w:bottom w:val="single" w:sz="4" w:space="0" w:color="auto"/>
              <w:right w:val="single" w:sz="4" w:space="0" w:color="auto"/>
            </w:tcBorders>
          </w:tcPr>
          <w:p w14:paraId="258642F6" w14:textId="77777777" w:rsidR="00D95727" w:rsidRDefault="00C8757C">
            <w:pPr>
              <w:spacing w:line="360" w:lineRule="auto"/>
              <w:rPr>
                <w:rFonts w:eastAsiaTheme="minorEastAsia"/>
                <w:bCs/>
                <w:iCs/>
                <w:sz w:val="24"/>
                <w:szCs w:val="24"/>
              </w:rPr>
            </w:pPr>
            <w:r>
              <w:rPr>
                <w:rFonts w:eastAsiaTheme="minorEastAsia" w:hint="eastAsia"/>
                <w:bCs/>
                <w:iCs/>
                <w:sz w:val="24"/>
                <w:szCs w:val="24"/>
              </w:rPr>
              <w:sym w:font="Wingdings 2" w:char="0052"/>
            </w:r>
            <w:r>
              <w:rPr>
                <w:rFonts w:eastAsiaTheme="minorEastAsia" w:hint="eastAsia"/>
                <w:sz w:val="24"/>
                <w:szCs w:val="24"/>
              </w:rPr>
              <w:t>特定对象调研</w:t>
            </w:r>
            <w:r>
              <w:rPr>
                <w:rFonts w:eastAsiaTheme="minorEastAsia" w:hint="eastAsia"/>
                <w:sz w:val="24"/>
                <w:szCs w:val="24"/>
              </w:rPr>
              <w:t xml:space="preserve">       </w:t>
            </w:r>
            <w:r>
              <w:rPr>
                <w:rFonts w:eastAsiaTheme="minorEastAsia" w:hint="eastAsia"/>
                <w:bCs/>
                <w:iCs/>
                <w:sz w:val="24"/>
                <w:szCs w:val="24"/>
              </w:rPr>
              <w:t>□</w:t>
            </w:r>
            <w:r>
              <w:rPr>
                <w:rFonts w:eastAsiaTheme="minorEastAsia" w:hint="eastAsia"/>
                <w:sz w:val="24"/>
                <w:szCs w:val="24"/>
              </w:rPr>
              <w:t>分析师会议</w:t>
            </w:r>
          </w:p>
          <w:p w14:paraId="2AC39D47" w14:textId="77777777" w:rsidR="00D95727" w:rsidRDefault="00C8757C">
            <w:pPr>
              <w:spacing w:line="360" w:lineRule="auto"/>
              <w:rPr>
                <w:rFonts w:eastAsiaTheme="minorEastAsia"/>
                <w:bCs/>
                <w:iCs/>
                <w:sz w:val="24"/>
                <w:szCs w:val="24"/>
              </w:rPr>
            </w:pPr>
            <w:r>
              <w:rPr>
                <w:rFonts w:eastAsiaTheme="minorEastAsia" w:hint="eastAsia"/>
                <w:bCs/>
                <w:iCs/>
                <w:sz w:val="24"/>
                <w:szCs w:val="24"/>
              </w:rPr>
              <w:t>□</w:t>
            </w:r>
            <w:r>
              <w:rPr>
                <w:rFonts w:eastAsiaTheme="minorEastAsia" w:hint="eastAsia"/>
                <w:sz w:val="24"/>
                <w:szCs w:val="24"/>
              </w:rPr>
              <w:t>媒体采访</w:t>
            </w:r>
            <w:r>
              <w:rPr>
                <w:rFonts w:eastAsiaTheme="minorEastAsia" w:hint="eastAsia"/>
                <w:sz w:val="24"/>
                <w:szCs w:val="24"/>
              </w:rPr>
              <w:t xml:space="preserve">            </w:t>
            </w:r>
            <w:r>
              <w:rPr>
                <w:rFonts w:eastAsiaTheme="minorEastAsia" w:hint="eastAsia"/>
                <w:bCs/>
                <w:iCs/>
                <w:sz w:val="24"/>
                <w:szCs w:val="24"/>
              </w:rPr>
              <w:t>□</w:t>
            </w:r>
            <w:r>
              <w:rPr>
                <w:rFonts w:eastAsiaTheme="minorEastAsia" w:hint="eastAsia"/>
                <w:sz w:val="24"/>
                <w:szCs w:val="24"/>
              </w:rPr>
              <w:t>业绩说明会</w:t>
            </w:r>
          </w:p>
          <w:p w14:paraId="2D757254" w14:textId="77777777" w:rsidR="00D95727" w:rsidRDefault="00C8757C">
            <w:pPr>
              <w:spacing w:line="360" w:lineRule="auto"/>
              <w:rPr>
                <w:rFonts w:eastAsiaTheme="minorEastAsia"/>
                <w:bCs/>
                <w:iCs/>
                <w:sz w:val="24"/>
                <w:szCs w:val="24"/>
              </w:rPr>
            </w:pPr>
            <w:r>
              <w:rPr>
                <w:rFonts w:eastAsiaTheme="minorEastAsia" w:hint="eastAsia"/>
                <w:bCs/>
                <w:iCs/>
                <w:sz w:val="24"/>
                <w:szCs w:val="24"/>
              </w:rPr>
              <w:t>□</w:t>
            </w:r>
            <w:r>
              <w:rPr>
                <w:rFonts w:eastAsiaTheme="minorEastAsia" w:hint="eastAsia"/>
                <w:sz w:val="24"/>
                <w:szCs w:val="24"/>
              </w:rPr>
              <w:t>新闻发布会</w:t>
            </w:r>
            <w:r>
              <w:rPr>
                <w:rFonts w:eastAsiaTheme="minorEastAsia" w:hint="eastAsia"/>
                <w:sz w:val="24"/>
                <w:szCs w:val="24"/>
              </w:rPr>
              <w:t xml:space="preserve">          </w:t>
            </w:r>
            <w:r>
              <w:rPr>
                <w:rFonts w:eastAsiaTheme="minorEastAsia" w:hint="eastAsia"/>
                <w:bCs/>
                <w:iCs/>
                <w:sz w:val="24"/>
                <w:szCs w:val="24"/>
              </w:rPr>
              <w:t>□</w:t>
            </w:r>
            <w:r>
              <w:rPr>
                <w:rFonts w:eastAsiaTheme="minorEastAsia" w:hint="eastAsia"/>
                <w:sz w:val="24"/>
                <w:szCs w:val="24"/>
              </w:rPr>
              <w:t>路演活动</w:t>
            </w:r>
          </w:p>
          <w:p w14:paraId="0DAFC993" w14:textId="77777777" w:rsidR="00D95727" w:rsidRDefault="00C8757C">
            <w:pPr>
              <w:tabs>
                <w:tab w:val="left" w:pos="3045"/>
                <w:tab w:val="center" w:pos="3199"/>
              </w:tabs>
              <w:spacing w:line="360" w:lineRule="auto"/>
              <w:rPr>
                <w:rFonts w:eastAsiaTheme="minorEastAsia"/>
                <w:bCs/>
                <w:iCs/>
                <w:sz w:val="24"/>
                <w:szCs w:val="24"/>
              </w:rPr>
            </w:pPr>
            <w:r>
              <w:rPr>
                <w:rFonts w:eastAsiaTheme="minorEastAsia" w:hint="eastAsia"/>
                <w:bCs/>
                <w:iCs/>
                <w:sz w:val="24"/>
                <w:szCs w:val="24"/>
              </w:rPr>
              <w:t>□</w:t>
            </w:r>
            <w:r>
              <w:rPr>
                <w:rFonts w:eastAsiaTheme="minorEastAsia" w:hint="eastAsia"/>
                <w:sz w:val="24"/>
                <w:szCs w:val="24"/>
              </w:rPr>
              <w:t>现场参观</w:t>
            </w:r>
            <w:r>
              <w:rPr>
                <w:rFonts w:eastAsiaTheme="minorEastAsia" w:hint="eastAsia"/>
                <w:sz w:val="24"/>
                <w:szCs w:val="24"/>
              </w:rPr>
              <w:t xml:space="preserve">            </w:t>
            </w:r>
            <w:r>
              <w:rPr>
                <w:rFonts w:eastAsiaTheme="minorEastAsia" w:hint="eastAsia"/>
                <w:bCs/>
                <w:iCs/>
                <w:sz w:val="24"/>
                <w:szCs w:val="24"/>
              </w:rPr>
              <w:t>□</w:t>
            </w:r>
            <w:r>
              <w:rPr>
                <w:rFonts w:eastAsiaTheme="minorEastAsia" w:hint="eastAsia"/>
                <w:sz w:val="24"/>
                <w:szCs w:val="24"/>
              </w:rPr>
              <w:t>电话会议</w:t>
            </w:r>
          </w:p>
          <w:p w14:paraId="2BD4C3B3" w14:textId="77777777" w:rsidR="00D95727" w:rsidRDefault="00C8757C">
            <w:pPr>
              <w:tabs>
                <w:tab w:val="center" w:pos="3199"/>
              </w:tabs>
              <w:spacing w:line="360" w:lineRule="auto"/>
              <w:rPr>
                <w:rFonts w:eastAsiaTheme="minorEastAsia"/>
                <w:bCs/>
                <w:iCs/>
                <w:sz w:val="24"/>
                <w:szCs w:val="24"/>
              </w:rPr>
            </w:pPr>
            <w:r>
              <w:rPr>
                <w:rFonts w:eastAsiaTheme="minorEastAsia" w:hint="eastAsia"/>
                <w:bCs/>
                <w:iCs/>
                <w:sz w:val="24"/>
                <w:szCs w:val="24"/>
              </w:rPr>
              <w:t>□</w:t>
            </w:r>
            <w:r>
              <w:rPr>
                <w:rFonts w:eastAsiaTheme="minorEastAsia" w:hint="eastAsia"/>
                <w:sz w:val="24"/>
                <w:szCs w:val="24"/>
              </w:rPr>
              <w:t>其他</w:t>
            </w:r>
            <w:r>
              <w:rPr>
                <w:rFonts w:eastAsiaTheme="minorEastAsia" w:hint="eastAsia"/>
                <w:sz w:val="24"/>
                <w:szCs w:val="24"/>
              </w:rPr>
              <w:t xml:space="preserve"> </w:t>
            </w:r>
            <w:r>
              <w:rPr>
                <w:rFonts w:eastAsiaTheme="minorEastAsia" w:hint="eastAsia"/>
                <w:sz w:val="24"/>
                <w:szCs w:val="24"/>
              </w:rPr>
              <w:t>（</w:t>
            </w:r>
            <w:r>
              <w:rPr>
                <w:rFonts w:eastAsiaTheme="minorEastAsia" w:hint="eastAsia"/>
                <w:sz w:val="24"/>
                <w:szCs w:val="24"/>
                <w:u w:val="single"/>
              </w:rPr>
              <w:t>请文字说明其他活动内容）</w:t>
            </w:r>
          </w:p>
        </w:tc>
      </w:tr>
      <w:tr w:rsidR="00D95727" w14:paraId="58E36435" w14:textId="77777777">
        <w:tc>
          <w:tcPr>
            <w:tcW w:w="1908" w:type="dxa"/>
            <w:tcBorders>
              <w:top w:val="single" w:sz="4" w:space="0" w:color="auto"/>
              <w:left w:val="single" w:sz="4" w:space="0" w:color="auto"/>
              <w:bottom w:val="single" w:sz="4" w:space="0" w:color="auto"/>
              <w:right w:val="single" w:sz="4" w:space="0" w:color="auto"/>
            </w:tcBorders>
          </w:tcPr>
          <w:p w14:paraId="576E69F5" w14:textId="77777777" w:rsidR="00D95727" w:rsidRDefault="00C8757C">
            <w:pPr>
              <w:spacing w:line="360" w:lineRule="auto"/>
              <w:rPr>
                <w:rFonts w:eastAsiaTheme="minorEastAsia"/>
                <w:b/>
                <w:bCs/>
                <w:iCs/>
                <w:sz w:val="24"/>
                <w:szCs w:val="24"/>
              </w:rPr>
            </w:pPr>
            <w:r>
              <w:rPr>
                <w:rFonts w:eastAsiaTheme="minorEastAsia" w:hint="eastAsia"/>
                <w:b/>
                <w:bCs/>
                <w:iCs/>
                <w:sz w:val="24"/>
                <w:szCs w:val="24"/>
              </w:rPr>
              <w:t>参与单位名称</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41E3BD56" w14:textId="77777777" w:rsidR="00D95727" w:rsidRDefault="00C8757C">
            <w:pPr>
              <w:widowControl/>
              <w:jc w:val="left"/>
              <w:rPr>
                <w:rFonts w:ascii="宋体" w:hAnsi="宋体" w:cs="宋体"/>
                <w:kern w:val="0"/>
                <w:sz w:val="24"/>
                <w:szCs w:val="24"/>
              </w:rPr>
            </w:pPr>
            <w:r>
              <w:rPr>
                <w:rFonts w:ascii="宋体" w:hAnsi="宋体" w:cs="宋体" w:hint="eastAsia"/>
                <w:sz w:val="24"/>
                <w:szCs w:val="24"/>
              </w:rPr>
              <w:t>共24家机构，参会机构名单详见附表。</w:t>
            </w:r>
          </w:p>
        </w:tc>
      </w:tr>
      <w:tr w:rsidR="00D95727" w14:paraId="0739CCF2" w14:textId="77777777">
        <w:trPr>
          <w:trHeight w:val="506"/>
        </w:trPr>
        <w:tc>
          <w:tcPr>
            <w:tcW w:w="1908" w:type="dxa"/>
            <w:tcBorders>
              <w:top w:val="single" w:sz="4" w:space="0" w:color="auto"/>
              <w:left w:val="single" w:sz="4" w:space="0" w:color="auto"/>
              <w:bottom w:val="single" w:sz="4" w:space="0" w:color="auto"/>
              <w:right w:val="single" w:sz="4" w:space="0" w:color="auto"/>
            </w:tcBorders>
            <w:vAlign w:val="center"/>
          </w:tcPr>
          <w:p w14:paraId="26882889" w14:textId="77777777" w:rsidR="00D95727" w:rsidRDefault="00C8757C">
            <w:pPr>
              <w:spacing w:line="360" w:lineRule="auto"/>
              <w:rPr>
                <w:rFonts w:eastAsiaTheme="minorEastAsia"/>
                <w:b/>
                <w:bCs/>
                <w:iCs/>
                <w:sz w:val="24"/>
                <w:szCs w:val="24"/>
              </w:rPr>
            </w:pPr>
            <w:r>
              <w:rPr>
                <w:rFonts w:eastAsiaTheme="minorEastAsia" w:hint="eastAsia"/>
                <w:b/>
                <w:bCs/>
                <w:iCs/>
                <w:sz w:val="24"/>
                <w:szCs w:val="24"/>
              </w:rPr>
              <w:t>时间</w:t>
            </w:r>
          </w:p>
        </w:tc>
        <w:tc>
          <w:tcPr>
            <w:tcW w:w="6614" w:type="dxa"/>
            <w:tcBorders>
              <w:top w:val="single" w:sz="4" w:space="0" w:color="auto"/>
              <w:left w:val="single" w:sz="4" w:space="0" w:color="auto"/>
              <w:bottom w:val="single" w:sz="4" w:space="0" w:color="auto"/>
              <w:right w:val="single" w:sz="4" w:space="0" w:color="auto"/>
            </w:tcBorders>
            <w:vAlign w:val="center"/>
          </w:tcPr>
          <w:p w14:paraId="5087DD18" w14:textId="77777777" w:rsidR="00D95727" w:rsidRDefault="00C8757C">
            <w:pPr>
              <w:spacing w:line="360" w:lineRule="auto"/>
              <w:rPr>
                <w:rFonts w:eastAsiaTheme="minorEastAsia"/>
                <w:bCs/>
                <w:iCs/>
                <w:sz w:val="24"/>
                <w:szCs w:val="24"/>
              </w:rPr>
            </w:pPr>
            <w:r>
              <w:rPr>
                <w:rFonts w:eastAsiaTheme="minorEastAsia" w:hint="eastAsia"/>
                <w:bCs/>
                <w:iCs/>
                <w:sz w:val="24"/>
                <w:szCs w:val="24"/>
              </w:rPr>
              <w:t>202</w:t>
            </w:r>
            <w:r>
              <w:rPr>
                <w:rFonts w:eastAsiaTheme="minorEastAsia"/>
                <w:bCs/>
                <w:iCs/>
                <w:sz w:val="24"/>
                <w:szCs w:val="24"/>
              </w:rPr>
              <w:t>6</w:t>
            </w:r>
            <w:r>
              <w:rPr>
                <w:rFonts w:eastAsiaTheme="minorEastAsia" w:hint="eastAsia"/>
                <w:bCs/>
                <w:iCs/>
                <w:sz w:val="24"/>
                <w:szCs w:val="24"/>
              </w:rPr>
              <w:t>年</w:t>
            </w:r>
            <w:r>
              <w:rPr>
                <w:rFonts w:eastAsiaTheme="minorEastAsia" w:hint="eastAsia"/>
                <w:bCs/>
                <w:iCs/>
                <w:sz w:val="24"/>
                <w:szCs w:val="24"/>
              </w:rPr>
              <w:t>9</w:t>
            </w:r>
            <w:r>
              <w:rPr>
                <w:rFonts w:eastAsiaTheme="minorEastAsia" w:hint="eastAsia"/>
                <w:bCs/>
                <w:iCs/>
                <w:sz w:val="24"/>
                <w:szCs w:val="24"/>
              </w:rPr>
              <w:t>月</w:t>
            </w:r>
            <w:r>
              <w:rPr>
                <w:rFonts w:eastAsiaTheme="minorEastAsia" w:hint="eastAsia"/>
                <w:bCs/>
                <w:iCs/>
                <w:sz w:val="24"/>
                <w:szCs w:val="24"/>
              </w:rPr>
              <w:t>9</w:t>
            </w:r>
            <w:r>
              <w:rPr>
                <w:rFonts w:eastAsiaTheme="minorEastAsia" w:hint="eastAsia"/>
                <w:bCs/>
                <w:iCs/>
                <w:sz w:val="24"/>
                <w:szCs w:val="24"/>
              </w:rPr>
              <w:t>日</w:t>
            </w:r>
            <w:r>
              <w:rPr>
                <w:rFonts w:eastAsiaTheme="minorEastAsia" w:hint="eastAsia"/>
                <w:bCs/>
                <w:iCs/>
                <w:sz w:val="24"/>
                <w:szCs w:val="24"/>
              </w:rPr>
              <w:t>-</w:t>
            </w:r>
            <w:r>
              <w:rPr>
                <w:rFonts w:eastAsiaTheme="minorEastAsia"/>
                <w:bCs/>
                <w:iCs/>
                <w:sz w:val="24"/>
                <w:szCs w:val="24"/>
              </w:rPr>
              <w:t xml:space="preserve"> </w:t>
            </w:r>
            <w:r>
              <w:rPr>
                <w:rFonts w:eastAsiaTheme="minorEastAsia" w:hint="eastAsia"/>
                <w:bCs/>
                <w:iCs/>
                <w:sz w:val="24"/>
                <w:szCs w:val="24"/>
              </w:rPr>
              <w:t>9</w:t>
            </w:r>
            <w:r>
              <w:rPr>
                <w:rFonts w:eastAsiaTheme="minorEastAsia" w:hint="eastAsia"/>
                <w:bCs/>
                <w:iCs/>
                <w:sz w:val="24"/>
                <w:szCs w:val="24"/>
              </w:rPr>
              <w:t>月</w:t>
            </w:r>
            <w:r>
              <w:rPr>
                <w:rFonts w:eastAsiaTheme="minorEastAsia" w:hint="eastAsia"/>
                <w:bCs/>
                <w:iCs/>
                <w:sz w:val="24"/>
                <w:szCs w:val="24"/>
              </w:rPr>
              <w:t>10</w:t>
            </w:r>
            <w:r>
              <w:rPr>
                <w:rFonts w:eastAsiaTheme="minorEastAsia" w:hint="eastAsia"/>
                <w:bCs/>
                <w:iCs/>
                <w:sz w:val="24"/>
                <w:szCs w:val="24"/>
              </w:rPr>
              <w:t>日</w:t>
            </w:r>
          </w:p>
        </w:tc>
      </w:tr>
      <w:tr w:rsidR="00D95727" w14:paraId="5CDB4C6F" w14:textId="77777777">
        <w:tc>
          <w:tcPr>
            <w:tcW w:w="1908" w:type="dxa"/>
            <w:tcBorders>
              <w:top w:val="single" w:sz="4" w:space="0" w:color="auto"/>
              <w:left w:val="single" w:sz="4" w:space="0" w:color="auto"/>
              <w:bottom w:val="single" w:sz="4" w:space="0" w:color="auto"/>
              <w:right w:val="single" w:sz="4" w:space="0" w:color="auto"/>
            </w:tcBorders>
            <w:vAlign w:val="center"/>
          </w:tcPr>
          <w:p w14:paraId="4F78109E" w14:textId="77777777" w:rsidR="00D95727" w:rsidRDefault="00C8757C">
            <w:pPr>
              <w:spacing w:line="360" w:lineRule="auto"/>
              <w:rPr>
                <w:rFonts w:eastAsiaTheme="minorEastAsia"/>
                <w:b/>
                <w:bCs/>
                <w:iCs/>
                <w:sz w:val="24"/>
                <w:szCs w:val="24"/>
              </w:rPr>
            </w:pPr>
            <w:r>
              <w:rPr>
                <w:rFonts w:eastAsiaTheme="minorEastAsia" w:hint="eastAsia"/>
                <w:b/>
                <w:bCs/>
                <w:iCs/>
                <w:sz w:val="24"/>
                <w:szCs w:val="24"/>
              </w:rPr>
              <w:t>参会方式</w:t>
            </w:r>
          </w:p>
        </w:tc>
        <w:tc>
          <w:tcPr>
            <w:tcW w:w="6614" w:type="dxa"/>
            <w:tcBorders>
              <w:top w:val="single" w:sz="4" w:space="0" w:color="auto"/>
              <w:left w:val="single" w:sz="4" w:space="0" w:color="auto"/>
              <w:bottom w:val="single" w:sz="4" w:space="0" w:color="auto"/>
              <w:right w:val="single" w:sz="4" w:space="0" w:color="auto"/>
            </w:tcBorders>
            <w:vAlign w:val="center"/>
          </w:tcPr>
          <w:p w14:paraId="4C2259C9" w14:textId="77777777" w:rsidR="00D95727" w:rsidRDefault="00C8757C">
            <w:pPr>
              <w:spacing w:line="360" w:lineRule="auto"/>
              <w:rPr>
                <w:rFonts w:eastAsiaTheme="minorEastAsia"/>
                <w:bCs/>
                <w:iCs/>
                <w:sz w:val="24"/>
                <w:szCs w:val="24"/>
              </w:rPr>
            </w:pPr>
            <w:r>
              <w:rPr>
                <w:rFonts w:eastAsiaTheme="minorEastAsia" w:hint="eastAsia"/>
                <w:bCs/>
                <w:iCs/>
                <w:sz w:val="24"/>
                <w:szCs w:val="24"/>
              </w:rPr>
              <w:t>线上会议、线下会议</w:t>
            </w:r>
          </w:p>
        </w:tc>
      </w:tr>
      <w:tr w:rsidR="00D95727" w14:paraId="38F3AD0C" w14:textId="77777777">
        <w:tc>
          <w:tcPr>
            <w:tcW w:w="1908" w:type="dxa"/>
            <w:tcBorders>
              <w:top w:val="single" w:sz="4" w:space="0" w:color="auto"/>
              <w:left w:val="single" w:sz="4" w:space="0" w:color="auto"/>
              <w:bottom w:val="single" w:sz="4" w:space="0" w:color="auto"/>
              <w:right w:val="single" w:sz="4" w:space="0" w:color="auto"/>
            </w:tcBorders>
          </w:tcPr>
          <w:p w14:paraId="6410250D" w14:textId="77777777" w:rsidR="00D95727" w:rsidRDefault="00C8757C">
            <w:pPr>
              <w:spacing w:line="360" w:lineRule="auto"/>
              <w:rPr>
                <w:rFonts w:eastAsiaTheme="minorEastAsia"/>
                <w:b/>
                <w:bCs/>
                <w:iCs/>
                <w:sz w:val="24"/>
                <w:szCs w:val="24"/>
              </w:rPr>
            </w:pPr>
            <w:r>
              <w:rPr>
                <w:rFonts w:eastAsiaTheme="minorEastAsia" w:hint="eastAsia"/>
                <w:b/>
                <w:bCs/>
                <w:iCs/>
                <w:sz w:val="24"/>
                <w:szCs w:val="24"/>
              </w:rPr>
              <w:t>上市公司接待人员姓名</w:t>
            </w:r>
          </w:p>
        </w:tc>
        <w:tc>
          <w:tcPr>
            <w:tcW w:w="6614" w:type="dxa"/>
            <w:tcBorders>
              <w:top w:val="single" w:sz="4" w:space="0" w:color="auto"/>
              <w:left w:val="single" w:sz="4" w:space="0" w:color="auto"/>
              <w:bottom w:val="single" w:sz="4" w:space="0" w:color="auto"/>
              <w:right w:val="single" w:sz="4" w:space="0" w:color="auto"/>
            </w:tcBorders>
          </w:tcPr>
          <w:p w14:paraId="5A6A3EAF" w14:textId="77777777" w:rsidR="00D95727" w:rsidRDefault="00C8757C">
            <w:pPr>
              <w:spacing w:line="360" w:lineRule="auto"/>
              <w:rPr>
                <w:rFonts w:eastAsiaTheme="minorEastAsia"/>
                <w:bCs/>
                <w:iCs/>
                <w:sz w:val="24"/>
                <w:szCs w:val="24"/>
              </w:rPr>
            </w:pPr>
            <w:r>
              <w:rPr>
                <w:rFonts w:eastAsiaTheme="minorEastAsia" w:hint="eastAsia"/>
                <w:bCs/>
                <w:iCs/>
                <w:sz w:val="24"/>
                <w:szCs w:val="24"/>
              </w:rPr>
              <w:t>联席首席执行官（</w:t>
            </w:r>
            <w:r>
              <w:rPr>
                <w:rFonts w:eastAsiaTheme="minorEastAsia" w:hint="eastAsia"/>
                <w:bCs/>
                <w:iCs/>
                <w:sz w:val="24"/>
                <w:szCs w:val="24"/>
              </w:rPr>
              <w:t>CO-CEO</w:t>
            </w:r>
            <w:r>
              <w:rPr>
                <w:rFonts w:eastAsiaTheme="minorEastAsia" w:hint="eastAsia"/>
                <w:bCs/>
                <w:iCs/>
                <w:sz w:val="24"/>
                <w:szCs w:val="24"/>
              </w:rPr>
              <w:t>）刘钢、首席财务官莫瑞娟、董事会秘书黄艳莉、证券事务代表宋佳峻</w:t>
            </w:r>
          </w:p>
        </w:tc>
      </w:tr>
      <w:tr w:rsidR="00D95727" w14:paraId="39B999D9" w14:textId="77777777">
        <w:trPr>
          <w:trHeight w:val="983"/>
        </w:trPr>
        <w:tc>
          <w:tcPr>
            <w:tcW w:w="1908" w:type="dxa"/>
            <w:tcBorders>
              <w:top w:val="single" w:sz="4" w:space="0" w:color="auto"/>
              <w:left w:val="single" w:sz="4" w:space="0" w:color="auto"/>
              <w:bottom w:val="single" w:sz="4" w:space="0" w:color="auto"/>
              <w:right w:val="single" w:sz="4" w:space="0" w:color="auto"/>
            </w:tcBorders>
            <w:vAlign w:val="center"/>
          </w:tcPr>
          <w:p w14:paraId="4981A274" w14:textId="77777777" w:rsidR="00D95727" w:rsidRDefault="00C8757C">
            <w:pPr>
              <w:spacing w:line="480" w:lineRule="atLeast"/>
              <w:rPr>
                <w:rFonts w:eastAsiaTheme="minorEastAsia"/>
                <w:b/>
                <w:bCs/>
                <w:iCs/>
                <w:sz w:val="24"/>
                <w:szCs w:val="24"/>
              </w:rPr>
            </w:pPr>
            <w:r>
              <w:rPr>
                <w:rFonts w:eastAsiaTheme="minorEastAsia" w:hint="eastAsia"/>
                <w:b/>
                <w:bCs/>
                <w:iCs/>
                <w:sz w:val="24"/>
                <w:szCs w:val="24"/>
              </w:rPr>
              <w:t>投资者关系活动主要内容介绍</w:t>
            </w:r>
          </w:p>
        </w:tc>
        <w:tc>
          <w:tcPr>
            <w:tcW w:w="6614" w:type="dxa"/>
            <w:tcBorders>
              <w:top w:val="single" w:sz="4" w:space="0" w:color="auto"/>
              <w:left w:val="single" w:sz="4" w:space="0" w:color="auto"/>
              <w:bottom w:val="single" w:sz="4" w:space="0" w:color="auto"/>
              <w:right w:val="single" w:sz="4" w:space="0" w:color="auto"/>
            </w:tcBorders>
          </w:tcPr>
          <w:p w14:paraId="670CFFA1" w14:textId="557DC692" w:rsidR="007D54C6" w:rsidRDefault="007D54C6" w:rsidP="007D54C6">
            <w:pPr>
              <w:spacing w:beforeLines="50" w:before="156" w:line="360" w:lineRule="auto"/>
              <w:ind w:firstLineChars="200" w:firstLine="482"/>
              <w:jc w:val="left"/>
              <w:rPr>
                <w:rFonts w:ascii="宋体" w:hAnsi="宋体"/>
                <w:b/>
                <w:sz w:val="24"/>
              </w:rPr>
            </w:pPr>
            <w:r>
              <w:rPr>
                <w:rFonts w:ascii="宋体" w:hAnsi="宋体" w:hint="eastAsia"/>
                <w:b/>
                <w:sz w:val="24"/>
              </w:rPr>
              <w:t>问题</w:t>
            </w:r>
            <w:r w:rsidR="00D62A5D">
              <w:rPr>
                <w:rFonts w:ascii="宋体" w:hAnsi="宋体" w:hint="eastAsia"/>
                <w:b/>
                <w:sz w:val="24"/>
              </w:rPr>
              <w:t>一</w:t>
            </w:r>
            <w:r>
              <w:rPr>
                <w:rFonts w:ascii="宋体" w:hAnsi="宋体" w:hint="eastAsia"/>
                <w:b/>
                <w:sz w:val="24"/>
              </w:rPr>
              <w:t>：很高兴看到公司上半年业绩无论是收入端还是利润端都进入了增长轨道，从中长期来看这种增长是否可以持续？</w:t>
            </w:r>
            <w:r>
              <w:rPr>
                <w:rFonts w:ascii="宋体" w:hAnsi="宋体"/>
                <w:b/>
                <w:sz w:val="24"/>
              </w:rPr>
              <w:t xml:space="preserve"> </w:t>
            </w:r>
          </w:p>
          <w:p w14:paraId="4432373C" w14:textId="67915A53" w:rsidR="00274475" w:rsidRDefault="007D54C6" w:rsidP="002678A1">
            <w:pPr>
              <w:spacing w:beforeLines="50" w:before="156" w:line="360" w:lineRule="auto"/>
              <w:ind w:firstLineChars="200" w:firstLine="482"/>
              <w:jc w:val="left"/>
              <w:rPr>
                <w:rFonts w:ascii="宋体" w:hAnsi="宋体"/>
                <w:bCs/>
                <w:sz w:val="24"/>
              </w:rPr>
            </w:pPr>
            <w:r>
              <w:rPr>
                <w:rFonts w:ascii="宋体" w:hAnsi="宋体" w:hint="eastAsia"/>
                <w:b/>
                <w:sz w:val="24"/>
              </w:rPr>
              <w:t>答：</w:t>
            </w:r>
            <w:r w:rsidR="00F36E09" w:rsidRPr="00F36E09">
              <w:rPr>
                <w:rFonts w:ascii="宋体" w:hAnsi="宋体" w:hint="eastAsia"/>
                <w:bCs/>
                <w:sz w:val="24"/>
              </w:rPr>
              <w:t>今年年初制定战略时，公司已将增长确定为第一要位，管理层将规模增长、进攻突破确立为本年度战略方针。疫情后，海尔生物经历了连续三年的业绩波动和盈利下行周期，这主要是因为过去三年公司集中投入产品研发，并快速推进产业布局。</w:t>
            </w:r>
            <w:r w:rsidR="009F193C" w:rsidRPr="009F193C">
              <w:rPr>
                <w:rFonts w:ascii="宋体" w:hAnsi="宋体" w:hint="eastAsia"/>
                <w:bCs/>
                <w:sz w:val="24"/>
              </w:rPr>
              <w:t>年初公司通过市场研判，确定了全年三大高增长机会——空间广阔的海外市场、加速放量的新兴产业和需求旺盛的制药终端。围绕这三大方向，我们及时对资源配置做出了针对性调整：约一半的市场费用增量投向海外市场，集中研发资源投入海外市场相关的产品研发与认证工作，并在制药端完成了大量新产品的研发与认证布局。整体来看，上述业务的增量表现亮眼，其中中国市场整体业绩实现了超预期增长，充分证明公司</w:t>
            </w:r>
            <w:r w:rsidR="009F193C" w:rsidRPr="009F193C">
              <w:rPr>
                <w:rFonts w:ascii="宋体" w:hAnsi="宋体" w:hint="eastAsia"/>
                <w:bCs/>
                <w:sz w:val="24"/>
              </w:rPr>
              <w:lastRenderedPageBreak/>
              <w:t>精准把握了市场三大机遇。</w:t>
            </w:r>
            <w:r w:rsidR="002678A1">
              <w:rPr>
                <w:rFonts w:ascii="宋体" w:hAnsi="宋体" w:hint="eastAsia"/>
                <w:bCs/>
                <w:sz w:val="24"/>
              </w:rPr>
              <w:t>而</w:t>
            </w:r>
            <w:r w:rsidR="000F2651" w:rsidRPr="000F2651">
              <w:rPr>
                <w:rFonts w:ascii="宋体" w:hAnsi="宋体" w:hint="eastAsia"/>
                <w:bCs/>
                <w:sz w:val="24"/>
              </w:rPr>
              <w:t>公司在半年报中给出的业绩指引，</w:t>
            </w:r>
            <w:r w:rsidR="002678A1">
              <w:rPr>
                <w:rFonts w:ascii="宋体" w:hAnsi="宋体" w:hint="eastAsia"/>
                <w:bCs/>
                <w:sz w:val="24"/>
              </w:rPr>
              <w:t>正是</w:t>
            </w:r>
            <w:r w:rsidR="000F2651" w:rsidRPr="000F2651">
              <w:rPr>
                <w:rFonts w:ascii="宋体" w:hAnsi="宋体" w:hint="eastAsia"/>
                <w:bCs/>
                <w:sz w:val="24"/>
              </w:rPr>
              <w:t>基于我们三大增长引擎的可持续性：</w:t>
            </w:r>
          </w:p>
          <w:p w14:paraId="2E40CD3C" w14:textId="20A2E79B" w:rsidR="00274475" w:rsidRDefault="000F2651" w:rsidP="000F2651">
            <w:pPr>
              <w:spacing w:beforeLines="50" w:before="156" w:line="360" w:lineRule="auto"/>
              <w:ind w:firstLineChars="200" w:firstLine="480"/>
              <w:jc w:val="left"/>
              <w:rPr>
                <w:rFonts w:ascii="宋体" w:hAnsi="宋体"/>
                <w:bCs/>
                <w:sz w:val="24"/>
              </w:rPr>
            </w:pPr>
            <w:r w:rsidRPr="000F2651">
              <w:rPr>
                <w:rFonts w:ascii="宋体" w:hAnsi="宋体" w:hint="eastAsia"/>
                <w:bCs/>
                <w:sz w:val="24"/>
              </w:rPr>
              <w:t>①引擎1：新兴产业步入收获期，全年增长将进一步提速。这一结论主要基于智慧用药、实验室解决方案、血液技术等产业在手订单的支撑。过往业绩披露中，公司业务多划分为存储业务与非存储业务两类。</w:t>
            </w:r>
            <w:r w:rsidR="00401C7A">
              <w:rPr>
                <w:rFonts w:ascii="宋体" w:hAnsi="宋体" w:hint="eastAsia"/>
                <w:bCs/>
                <w:sz w:val="24"/>
              </w:rPr>
              <w:t>公司</w:t>
            </w:r>
            <w:r w:rsidRPr="000F2651">
              <w:rPr>
                <w:rFonts w:ascii="宋体" w:hAnsi="宋体" w:hint="eastAsia"/>
                <w:bCs/>
                <w:sz w:val="24"/>
              </w:rPr>
              <w:t>自本季度起在定期报告中新增四大产业板块的详尽解构，源于四大核心业务、尤其三个新兴产业的全面突破。疫情结束后，在历经前期三年的资源投入和并购投入后相继步入收获期，每个产业均显露出冲击10亿级规模的态势，不仅意味着公司将进入生命科学上游行业的前列，更意味着公司平台化能力的跃迁。</w:t>
            </w:r>
          </w:p>
          <w:p w14:paraId="47A35824" w14:textId="25E1007C" w:rsidR="00274475" w:rsidRDefault="000F2651" w:rsidP="000F2651">
            <w:pPr>
              <w:spacing w:beforeLines="50" w:before="156" w:line="360" w:lineRule="auto"/>
              <w:ind w:firstLineChars="200" w:firstLine="480"/>
              <w:jc w:val="left"/>
              <w:rPr>
                <w:rFonts w:ascii="宋体" w:hAnsi="宋体"/>
                <w:bCs/>
                <w:sz w:val="24"/>
              </w:rPr>
            </w:pPr>
            <w:r w:rsidRPr="000F2651">
              <w:rPr>
                <w:rFonts w:ascii="宋体" w:hAnsi="宋体" w:hint="eastAsia"/>
                <w:bCs/>
                <w:sz w:val="24"/>
              </w:rPr>
              <w:t>②引擎2：上半年海外市场虽有波动但符合此前预期，全年双位数增长的确定性不变，在地化能力将加速转化为业绩。新加坡等海外市场是我司未来制药用户增长的重要战略区域，</w:t>
            </w:r>
            <w:r w:rsidR="00523775">
              <w:rPr>
                <w:rFonts w:ascii="宋体" w:hAnsi="宋体" w:hint="eastAsia"/>
                <w:bCs/>
                <w:sz w:val="24"/>
              </w:rPr>
              <w:t>公司通过上半年的调研也</w:t>
            </w:r>
            <w:r w:rsidRPr="000F2651">
              <w:rPr>
                <w:rFonts w:ascii="宋体" w:hAnsi="宋体" w:hint="eastAsia"/>
                <w:bCs/>
                <w:sz w:val="24"/>
              </w:rPr>
              <w:t>进一步坚定了加大制药领域投入的决心，海外市场整体发展目标保持不变。</w:t>
            </w:r>
          </w:p>
          <w:p w14:paraId="609AF3BF" w14:textId="614D4DE2" w:rsidR="009F193C" w:rsidRDefault="000F2651" w:rsidP="000F2651">
            <w:pPr>
              <w:spacing w:beforeLines="50" w:before="156" w:line="360" w:lineRule="auto"/>
              <w:ind w:firstLineChars="200" w:firstLine="480"/>
              <w:jc w:val="left"/>
              <w:rPr>
                <w:rFonts w:ascii="宋体" w:hAnsi="宋体"/>
                <w:bCs/>
                <w:sz w:val="24"/>
              </w:rPr>
            </w:pPr>
            <w:r w:rsidRPr="000F2651">
              <w:rPr>
                <w:rFonts w:ascii="宋体" w:hAnsi="宋体" w:hint="eastAsia"/>
                <w:bCs/>
                <w:sz w:val="24"/>
              </w:rPr>
              <w:t>③引擎3：制药终端市场全年高增长将持续，也是至少未来3年公司增长的核心动力。</w:t>
            </w:r>
            <w:r w:rsidR="00517C2F">
              <w:rPr>
                <w:rFonts w:ascii="宋体" w:hAnsi="宋体" w:hint="eastAsia"/>
                <w:bCs/>
                <w:sz w:val="24"/>
              </w:rPr>
              <w:t>公司</w:t>
            </w:r>
            <w:r w:rsidRPr="000F2651">
              <w:rPr>
                <w:rFonts w:ascii="宋体" w:hAnsi="宋体" w:hint="eastAsia"/>
                <w:bCs/>
                <w:sz w:val="24"/>
              </w:rPr>
              <w:t>会为这轮产业上行周期做好产品、方案、市场等方面的充分准备，从低温工艺龙头延伸为生物医药新基建服务商。</w:t>
            </w:r>
          </w:p>
          <w:p w14:paraId="27A38FF4" w14:textId="3DA49299" w:rsidR="00D44329" w:rsidRDefault="00D44329" w:rsidP="00D44329">
            <w:pPr>
              <w:spacing w:beforeLines="50" w:before="156" w:line="360" w:lineRule="auto"/>
              <w:ind w:firstLineChars="200" w:firstLine="482"/>
              <w:jc w:val="left"/>
              <w:rPr>
                <w:rFonts w:ascii="宋体" w:hAnsi="宋体"/>
                <w:b/>
                <w:sz w:val="24"/>
              </w:rPr>
            </w:pPr>
            <w:r>
              <w:rPr>
                <w:rFonts w:ascii="宋体" w:hAnsi="宋体" w:hint="eastAsia"/>
                <w:b/>
                <w:sz w:val="24"/>
              </w:rPr>
              <w:t>问题</w:t>
            </w:r>
            <w:r w:rsidR="009F193C">
              <w:rPr>
                <w:rFonts w:ascii="宋体" w:hAnsi="宋体" w:hint="eastAsia"/>
                <w:b/>
                <w:sz w:val="24"/>
              </w:rPr>
              <w:t>二</w:t>
            </w:r>
            <w:r>
              <w:rPr>
                <w:rFonts w:ascii="宋体" w:hAnsi="宋体" w:hint="eastAsia"/>
                <w:b/>
                <w:sz w:val="24"/>
              </w:rPr>
              <w:t>：了解到制药终端市场已成为公司上半年以及未来几年的核心增长动能，请公司介绍下在制药终端都能为用户提供哪些产品方案</w:t>
            </w:r>
            <w:r w:rsidRPr="00C236AC">
              <w:rPr>
                <w:rFonts w:ascii="宋体" w:hAnsi="宋体" w:hint="eastAsia"/>
                <w:b/>
                <w:sz w:val="24"/>
              </w:rPr>
              <w:t>？</w:t>
            </w:r>
            <w:r>
              <w:rPr>
                <w:rFonts w:ascii="宋体" w:hAnsi="宋体" w:hint="eastAsia"/>
                <w:b/>
                <w:sz w:val="24"/>
              </w:rPr>
              <w:t>市场空间有多大？</w:t>
            </w:r>
          </w:p>
          <w:p w14:paraId="551B04F3" w14:textId="6FCA47F4" w:rsidR="00BB5FC8" w:rsidRDefault="00D44329" w:rsidP="000F278E">
            <w:pPr>
              <w:spacing w:beforeLines="50" w:before="156" w:line="360" w:lineRule="auto"/>
              <w:ind w:firstLineChars="200" w:firstLine="482"/>
              <w:jc w:val="left"/>
              <w:rPr>
                <w:rFonts w:ascii="宋体" w:hAnsi="宋体"/>
                <w:bCs/>
                <w:sz w:val="24"/>
              </w:rPr>
            </w:pPr>
            <w:r>
              <w:rPr>
                <w:rFonts w:ascii="宋体" w:hAnsi="宋体"/>
                <w:b/>
                <w:sz w:val="24"/>
              </w:rPr>
              <w:t>答:</w:t>
            </w:r>
            <w:r w:rsidR="005F3802">
              <w:rPr>
                <w:rFonts w:hint="eastAsia"/>
              </w:rPr>
              <w:t xml:space="preserve"> </w:t>
            </w:r>
            <w:r w:rsidR="005F3802" w:rsidRPr="005F3802">
              <w:rPr>
                <w:rFonts w:ascii="宋体" w:hAnsi="宋体" w:hint="eastAsia"/>
                <w:bCs/>
                <w:sz w:val="24"/>
              </w:rPr>
              <w:t>公司上半年制药终端市场表现强劲，国内制药端实现高双位数增长，海外增速更快，对公司整体收入增幅贡献约3个百分点。为支撑市场拓展，公司在制药场景方案层面实施了三项升级</w:t>
            </w:r>
            <w:r w:rsidR="000F278E" w:rsidRPr="000F278E">
              <w:rPr>
                <w:rFonts w:ascii="宋体" w:hAnsi="宋体" w:hint="eastAsia"/>
                <w:bCs/>
                <w:sz w:val="24"/>
              </w:rPr>
              <w:t>：</w:t>
            </w:r>
          </w:p>
          <w:p w14:paraId="41BA21A0" w14:textId="77777777" w:rsidR="006F2189" w:rsidRDefault="006F2189" w:rsidP="000F278E">
            <w:pPr>
              <w:spacing w:beforeLines="50" w:before="156" w:line="360" w:lineRule="auto"/>
              <w:ind w:firstLineChars="200" w:firstLine="480"/>
              <w:jc w:val="left"/>
              <w:rPr>
                <w:rFonts w:ascii="宋体" w:hAnsi="宋体"/>
                <w:bCs/>
                <w:sz w:val="24"/>
              </w:rPr>
            </w:pPr>
            <w:r w:rsidRPr="006F2189">
              <w:rPr>
                <w:rFonts w:ascii="宋体" w:hAnsi="宋体" w:hint="eastAsia"/>
                <w:bCs/>
                <w:sz w:val="24"/>
              </w:rPr>
              <w:lastRenderedPageBreak/>
              <w:t>第一项升级：低温解决方案从科研实验室向GMP工业应用场景延伸。</w:t>
            </w:r>
          </w:p>
          <w:p w14:paraId="106E878C" w14:textId="0F1791AB" w:rsidR="006F2189" w:rsidRDefault="006F2189" w:rsidP="000F278E">
            <w:pPr>
              <w:spacing w:beforeLines="50" w:before="156" w:line="360" w:lineRule="auto"/>
              <w:ind w:firstLineChars="200" w:firstLine="480"/>
              <w:jc w:val="left"/>
              <w:rPr>
                <w:rFonts w:ascii="宋体" w:hAnsi="宋体"/>
                <w:bCs/>
                <w:sz w:val="24"/>
              </w:rPr>
            </w:pPr>
            <w:r w:rsidRPr="006F2189">
              <w:rPr>
                <w:rFonts w:ascii="宋体" w:hAnsi="宋体" w:hint="eastAsia"/>
                <w:bCs/>
                <w:sz w:val="24"/>
              </w:rPr>
              <w:t>公司深耕制药行业多年，其优势领域低温解决方案已逐步实现从科研实验室向GMP工业应用场景的延伸。在生物制药企业GMP体系中，工艺开发实验室与QC实验室同样需要样本GMP管控，且低温工艺作为关键工段，覆盖细胞种子库保藏、抗体原液冷冻存储、细胞药物冷冻存储及产品低温转运等环节。基于此，公司可为药企提供贯通实验室、生产、质控、转运等生物制药全生命周期的GXP一站式温控合规解决方案。</w:t>
            </w:r>
          </w:p>
          <w:p w14:paraId="5A8DC0EF" w14:textId="29D78B6C" w:rsidR="00BB5FC8" w:rsidRDefault="006F2189" w:rsidP="000F278E">
            <w:pPr>
              <w:spacing w:beforeLines="50" w:before="156" w:line="360" w:lineRule="auto"/>
              <w:ind w:firstLineChars="200" w:firstLine="480"/>
              <w:jc w:val="left"/>
              <w:rPr>
                <w:rFonts w:ascii="宋体" w:hAnsi="宋体"/>
                <w:bCs/>
                <w:sz w:val="24"/>
              </w:rPr>
            </w:pPr>
            <w:r w:rsidRPr="006F2189">
              <w:rPr>
                <w:rFonts w:ascii="宋体" w:hAnsi="宋体" w:hint="eastAsia"/>
                <w:bCs/>
                <w:sz w:val="24"/>
              </w:rPr>
              <w:t>进入强监管工业领域壁垒较高，对设备性能、数据完整性、审计追踪及全流程验证要求严苛。公司通过长期技术积累与合规能力建设，近三年已完成10大类、超100个型号产品的21 CFR Part 11白皮书及3Q验证模板，逐步获得工业市场准入。目前已与某头部CXO企业达成战略合作，为其中国及全球多个生产基地长期供货，累计订单超1亿元且持续扩大</w:t>
            </w:r>
            <w:r w:rsidR="000F278E" w:rsidRPr="000F278E">
              <w:rPr>
                <w:rFonts w:ascii="宋体" w:hAnsi="宋体" w:hint="eastAsia"/>
                <w:bCs/>
                <w:sz w:val="24"/>
              </w:rPr>
              <w:t>。</w:t>
            </w:r>
          </w:p>
          <w:p w14:paraId="3161926F" w14:textId="52B24948" w:rsidR="00BB5FC8" w:rsidRDefault="006F2189" w:rsidP="00BB5FC8">
            <w:pPr>
              <w:spacing w:beforeLines="50" w:before="156" w:line="360" w:lineRule="auto"/>
              <w:ind w:firstLineChars="200" w:firstLine="480"/>
              <w:jc w:val="left"/>
              <w:rPr>
                <w:rFonts w:ascii="宋体" w:hAnsi="宋体"/>
                <w:bCs/>
                <w:sz w:val="24"/>
              </w:rPr>
            </w:pPr>
            <w:r w:rsidRPr="006F2189">
              <w:rPr>
                <w:rFonts w:ascii="宋体" w:hAnsi="宋体" w:hint="eastAsia"/>
                <w:bCs/>
                <w:sz w:val="24"/>
              </w:rPr>
              <w:t>蛋白类药物与CGT细胞基因治疗是GMP低温工艺的主要市场，预计国内空间约100亿元，全球近500亿元。切入这一高市场容量、高法规门槛、高用户粘性的增量市场，将为公司低温产业注入长期增长动能</w:t>
            </w:r>
            <w:r w:rsidR="000F278E" w:rsidRPr="000F278E">
              <w:rPr>
                <w:rFonts w:ascii="宋体" w:hAnsi="宋体" w:hint="eastAsia"/>
                <w:bCs/>
                <w:sz w:val="24"/>
              </w:rPr>
              <w:t>。</w:t>
            </w:r>
          </w:p>
          <w:p w14:paraId="7840D0B7" w14:textId="5E98AC0F" w:rsidR="00BB5FC8" w:rsidRDefault="006F2189" w:rsidP="00BB5FC8">
            <w:pPr>
              <w:spacing w:beforeLines="50" w:before="156" w:line="360" w:lineRule="auto"/>
              <w:ind w:firstLineChars="200" w:firstLine="480"/>
              <w:jc w:val="left"/>
              <w:rPr>
                <w:rFonts w:ascii="宋体" w:hAnsi="宋体"/>
                <w:bCs/>
                <w:sz w:val="24"/>
              </w:rPr>
            </w:pPr>
            <w:r w:rsidRPr="006F2189">
              <w:rPr>
                <w:rFonts w:ascii="宋体" w:hAnsi="宋体" w:hint="eastAsia"/>
                <w:bCs/>
                <w:sz w:val="24"/>
              </w:rPr>
              <w:t>第二项升级：以温控合规方案为切入点，向制药工业更多核心环节布局</w:t>
            </w:r>
            <w:r w:rsidR="000F278E" w:rsidRPr="000F278E">
              <w:rPr>
                <w:rFonts w:ascii="宋体" w:hAnsi="宋体" w:hint="eastAsia"/>
                <w:bCs/>
                <w:sz w:val="24"/>
              </w:rPr>
              <w:t>。</w:t>
            </w:r>
          </w:p>
          <w:p w14:paraId="005B0FBB" w14:textId="35C31D84" w:rsidR="00BB5FC8" w:rsidRDefault="006F2189" w:rsidP="00BB5FC8">
            <w:pPr>
              <w:spacing w:beforeLines="50" w:before="156" w:line="360" w:lineRule="auto"/>
              <w:ind w:firstLineChars="200" w:firstLine="480"/>
              <w:jc w:val="left"/>
              <w:rPr>
                <w:rFonts w:ascii="宋体" w:hAnsi="宋体"/>
                <w:bCs/>
                <w:sz w:val="24"/>
              </w:rPr>
            </w:pPr>
            <w:r w:rsidRPr="006F2189">
              <w:rPr>
                <w:rFonts w:ascii="宋体" w:hAnsi="宋体" w:hint="eastAsia"/>
                <w:bCs/>
                <w:sz w:val="24"/>
              </w:rPr>
              <w:t>细胞培养是蛋白类药物生产及CGT制备的核心环节之一。公司已布局多场景、多规模的细胞培养产品与技术，包括二氧化碳培养箱、全自动振荡培养箱、全自动细胞培养工作站及在研的多个系列生物反应器。其中，全自动细胞培养工作站荣获山东省科技进步一等奖，已在上海、海南等地多个CGT企业实现成功应用；生物反应器技术（含一次性生物反应器）已布局</w:t>
            </w:r>
            <w:r w:rsidRPr="006F2189">
              <w:rPr>
                <w:rFonts w:ascii="宋体" w:hAnsi="宋体" w:hint="eastAsia"/>
                <w:bCs/>
                <w:sz w:val="24"/>
              </w:rPr>
              <w:lastRenderedPageBreak/>
              <w:t>小试、中试、大生产三级规模及多个系列研发，核心项目获国家“两重”项目支持，正按计划推进</w:t>
            </w:r>
            <w:r w:rsidR="000F278E" w:rsidRPr="000F278E">
              <w:rPr>
                <w:rFonts w:ascii="宋体" w:hAnsi="宋体" w:hint="eastAsia"/>
                <w:bCs/>
                <w:sz w:val="24"/>
              </w:rPr>
              <w:t>。</w:t>
            </w:r>
          </w:p>
          <w:p w14:paraId="3BD8E052" w14:textId="6B0F5BEF" w:rsidR="00BB5FC8" w:rsidRDefault="006F2189" w:rsidP="006F2189">
            <w:pPr>
              <w:spacing w:beforeLines="50" w:before="156" w:line="360" w:lineRule="auto"/>
              <w:ind w:firstLineChars="200" w:firstLine="480"/>
              <w:jc w:val="left"/>
              <w:rPr>
                <w:rFonts w:ascii="宋体" w:hAnsi="宋体"/>
                <w:bCs/>
                <w:sz w:val="24"/>
              </w:rPr>
            </w:pPr>
            <w:r w:rsidRPr="006F2189">
              <w:rPr>
                <w:rFonts w:ascii="宋体" w:hAnsi="宋体" w:hint="eastAsia"/>
                <w:bCs/>
                <w:sz w:val="24"/>
              </w:rPr>
              <w:t>针对细胞培养批次间差异大、工艺放大难、结果重复性差等行业卡点，公司已启动开发“黄金批次智能配方管理系统”，可快速锁定关键影响因子与黄金批次，并自动生成合规电子批记录。从合作共创案例看，细胞活率大于95%，批次间差异小于4%，有望将IND申报周期缩短60%。目前，从温控合规向综合方案的升级已初步落地，公司在某头部CGT企业实现首批订单近2000万元，后续订单将持续释放</w:t>
            </w:r>
            <w:r w:rsidR="000F278E" w:rsidRPr="000F278E">
              <w:rPr>
                <w:rFonts w:ascii="宋体" w:hAnsi="宋体" w:hint="eastAsia"/>
                <w:bCs/>
                <w:sz w:val="24"/>
              </w:rPr>
              <w:t>。</w:t>
            </w:r>
          </w:p>
          <w:p w14:paraId="69847436" w14:textId="2FD8AF74" w:rsidR="00BB5FC8" w:rsidRDefault="006F2189" w:rsidP="00BB5FC8">
            <w:pPr>
              <w:spacing w:beforeLines="50" w:before="156" w:line="360" w:lineRule="auto"/>
              <w:ind w:firstLineChars="200" w:firstLine="480"/>
              <w:jc w:val="left"/>
              <w:rPr>
                <w:rFonts w:ascii="宋体" w:hAnsi="宋体"/>
                <w:bCs/>
                <w:sz w:val="24"/>
              </w:rPr>
            </w:pPr>
            <w:r w:rsidRPr="006F2189">
              <w:rPr>
                <w:rFonts w:ascii="宋体" w:hAnsi="宋体" w:hint="eastAsia"/>
                <w:bCs/>
                <w:sz w:val="24"/>
              </w:rPr>
              <w:t>第三项升级：从产品供应商向用户项目全生命周期顾问与伙伴转型。</w:t>
            </w:r>
          </w:p>
          <w:p w14:paraId="75547662" w14:textId="1D83887F" w:rsidR="00BB5FC8" w:rsidRDefault="006F2189" w:rsidP="00BB5FC8">
            <w:pPr>
              <w:spacing w:beforeLines="50" w:before="156" w:line="360" w:lineRule="auto"/>
              <w:ind w:firstLineChars="200" w:firstLine="480"/>
              <w:jc w:val="left"/>
              <w:rPr>
                <w:rFonts w:ascii="宋体" w:hAnsi="宋体"/>
                <w:bCs/>
                <w:sz w:val="24"/>
              </w:rPr>
            </w:pPr>
            <w:r w:rsidRPr="006F2189">
              <w:rPr>
                <w:rFonts w:ascii="宋体" w:hAnsi="宋体" w:hint="eastAsia"/>
                <w:bCs/>
                <w:sz w:val="24"/>
              </w:rPr>
              <w:t>公司正从产品提供商转变为早期介入工艺规划的顾问伙伴，前置参与项目顶层设计、产线布局与合规方案规划。国内首个取得GMP证书的商业化细胞药物生产线即为该合作模式的成功实践，公司协助用户顺利通过药监GMP审计。此角色升级有助于增强客户粘性、提升项目赢率，并扩大单项目订单规模</w:t>
            </w:r>
            <w:r w:rsidR="000F278E" w:rsidRPr="000F278E">
              <w:rPr>
                <w:rFonts w:ascii="宋体" w:hAnsi="宋体" w:hint="eastAsia"/>
                <w:bCs/>
                <w:sz w:val="24"/>
              </w:rPr>
              <w:t>。</w:t>
            </w:r>
          </w:p>
          <w:p w14:paraId="762618DD" w14:textId="77777777" w:rsidR="006F2189" w:rsidRDefault="006F2189" w:rsidP="00864E00">
            <w:pPr>
              <w:spacing w:beforeLines="50" w:before="156" w:line="360" w:lineRule="auto"/>
              <w:ind w:firstLineChars="200" w:firstLine="480"/>
              <w:jc w:val="left"/>
              <w:rPr>
                <w:rFonts w:ascii="宋体" w:hAnsi="宋体"/>
                <w:bCs/>
                <w:sz w:val="24"/>
              </w:rPr>
            </w:pPr>
            <w:r w:rsidRPr="006F2189">
              <w:rPr>
                <w:rFonts w:ascii="宋体" w:hAnsi="宋体" w:hint="eastAsia"/>
                <w:bCs/>
                <w:sz w:val="24"/>
              </w:rPr>
              <w:t>综上，公司正稳步推进成为生物医药新基建核心贡献方的战略目标。全年制药端增速将在上半年23%的基础上进一步加快，并有望保持持续高增长态势。</w:t>
            </w:r>
          </w:p>
          <w:p w14:paraId="5C5445DC" w14:textId="7EFFB0E9" w:rsidR="00864E00" w:rsidRDefault="00864E00" w:rsidP="00864E00">
            <w:pPr>
              <w:spacing w:beforeLines="50" w:before="156" w:line="360" w:lineRule="auto"/>
              <w:ind w:firstLineChars="200" w:firstLine="482"/>
              <w:jc w:val="left"/>
              <w:rPr>
                <w:rFonts w:ascii="宋体" w:hAnsi="宋体"/>
                <w:b/>
                <w:sz w:val="24"/>
              </w:rPr>
            </w:pPr>
            <w:r>
              <w:rPr>
                <w:rFonts w:ascii="宋体" w:hAnsi="宋体" w:hint="eastAsia"/>
                <w:b/>
                <w:sz w:val="24"/>
              </w:rPr>
              <w:t>问题</w:t>
            </w:r>
            <w:r w:rsidR="00A80DD4">
              <w:rPr>
                <w:rFonts w:ascii="宋体" w:hAnsi="宋体" w:hint="eastAsia"/>
                <w:b/>
                <w:sz w:val="24"/>
              </w:rPr>
              <w:t>三</w:t>
            </w:r>
            <w:r>
              <w:rPr>
                <w:rFonts w:ascii="宋体" w:hAnsi="宋体" w:hint="eastAsia"/>
                <w:b/>
                <w:sz w:val="24"/>
              </w:rPr>
              <w:t>：</w:t>
            </w:r>
            <w:r w:rsidR="00D44329">
              <w:rPr>
                <w:rFonts w:ascii="宋体" w:hAnsi="宋体" w:hint="eastAsia"/>
                <w:b/>
                <w:sz w:val="24"/>
              </w:rPr>
              <w:t>海外</w:t>
            </w:r>
            <w:r w:rsidR="00421047">
              <w:rPr>
                <w:rFonts w:ascii="宋体" w:hAnsi="宋体" w:hint="eastAsia"/>
                <w:b/>
                <w:sz w:val="24"/>
              </w:rPr>
              <w:t>市场方面</w:t>
            </w:r>
            <w:r w:rsidR="00D44329">
              <w:rPr>
                <w:rFonts w:ascii="宋体" w:hAnsi="宋体" w:hint="eastAsia"/>
                <w:b/>
                <w:sz w:val="24"/>
              </w:rPr>
              <w:t>，</w:t>
            </w:r>
            <w:r w:rsidR="00C236AC" w:rsidRPr="00C236AC">
              <w:rPr>
                <w:rFonts w:ascii="宋体" w:hAnsi="宋体" w:hint="eastAsia"/>
                <w:b/>
                <w:sz w:val="24"/>
              </w:rPr>
              <w:t>公司披露了在英国、新加坡等多个国家的药企用户都推进</w:t>
            </w:r>
            <w:r w:rsidR="007B6F14">
              <w:rPr>
                <w:rFonts w:ascii="宋体" w:hAnsi="宋体" w:hint="eastAsia"/>
                <w:b/>
                <w:sz w:val="24"/>
              </w:rPr>
              <w:t>得</w:t>
            </w:r>
            <w:r w:rsidR="00C236AC" w:rsidRPr="00C236AC">
              <w:rPr>
                <w:rFonts w:ascii="宋体" w:hAnsi="宋体" w:hint="eastAsia"/>
                <w:b/>
                <w:sz w:val="24"/>
              </w:rPr>
              <w:t>很好，请问管理层怎么展望在海外制药用户的进一步发展呢？</w:t>
            </w:r>
          </w:p>
          <w:p w14:paraId="0047069C" w14:textId="13737F55" w:rsidR="00C236AC" w:rsidRDefault="00864E00" w:rsidP="00C236AC">
            <w:pPr>
              <w:spacing w:beforeLines="50" w:before="156" w:line="360" w:lineRule="auto"/>
              <w:ind w:firstLineChars="200" w:firstLine="482"/>
              <w:jc w:val="left"/>
              <w:rPr>
                <w:rFonts w:ascii="宋体" w:hAnsi="宋体"/>
                <w:bCs/>
                <w:sz w:val="24"/>
              </w:rPr>
            </w:pPr>
            <w:r>
              <w:rPr>
                <w:rFonts w:ascii="宋体" w:hAnsi="宋体"/>
                <w:b/>
                <w:sz w:val="24"/>
              </w:rPr>
              <w:t>答:</w:t>
            </w:r>
            <w:r w:rsidR="008A49D7">
              <w:rPr>
                <w:rFonts w:ascii="宋体" w:hAnsi="宋体" w:hint="eastAsia"/>
                <w:bCs/>
                <w:sz w:val="24"/>
              </w:rPr>
              <w:t xml:space="preserve"> </w:t>
            </w:r>
            <w:r w:rsidR="00C236AC" w:rsidRPr="00C236AC">
              <w:rPr>
                <w:rFonts w:ascii="宋体" w:hAnsi="宋体" w:hint="eastAsia"/>
                <w:bCs/>
                <w:sz w:val="24"/>
              </w:rPr>
              <w:t>制药终端市场</w:t>
            </w:r>
            <w:r w:rsidR="008A49D7">
              <w:rPr>
                <w:rFonts w:ascii="宋体" w:hAnsi="宋体" w:hint="eastAsia"/>
                <w:bCs/>
                <w:sz w:val="24"/>
              </w:rPr>
              <w:t>作为</w:t>
            </w:r>
            <w:r w:rsidR="00C236AC" w:rsidRPr="00C236AC">
              <w:rPr>
                <w:rFonts w:ascii="宋体" w:hAnsi="宋体" w:hint="eastAsia"/>
                <w:bCs/>
                <w:sz w:val="24"/>
              </w:rPr>
              <w:t>海外战略布局极其重要的构成，该用户群体的整体增速有望提升至30%以上，若要达成这一目标，</w:t>
            </w:r>
            <w:r w:rsidR="008A49D7">
              <w:rPr>
                <w:rFonts w:ascii="宋体" w:hAnsi="宋体" w:hint="eastAsia"/>
                <w:bCs/>
                <w:sz w:val="24"/>
              </w:rPr>
              <w:t>公司</w:t>
            </w:r>
            <w:r w:rsidR="00C236AC" w:rsidRPr="00C236AC">
              <w:rPr>
                <w:rFonts w:ascii="宋体" w:hAnsi="宋体" w:hint="eastAsia"/>
                <w:bCs/>
                <w:sz w:val="24"/>
              </w:rPr>
              <w:t>仍需持续推进相关业务调整，简单来说是要做到2个“坚定”：</w:t>
            </w:r>
          </w:p>
          <w:p w14:paraId="38D7A39C" w14:textId="6C9F08B9" w:rsidR="002417FD" w:rsidRDefault="00C236AC" w:rsidP="00C236AC">
            <w:pPr>
              <w:spacing w:beforeLines="50" w:before="156" w:line="360" w:lineRule="auto"/>
              <w:ind w:firstLineChars="200" w:firstLine="480"/>
              <w:jc w:val="left"/>
              <w:rPr>
                <w:rFonts w:ascii="宋体" w:hAnsi="宋体"/>
                <w:bCs/>
                <w:sz w:val="24"/>
              </w:rPr>
            </w:pPr>
            <w:r w:rsidRPr="00C236AC">
              <w:rPr>
                <w:rFonts w:ascii="宋体" w:hAnsi="宋体" w:hint="eastAsia"/>
                <w:bCs/>
                <w:sz w:val="24"/>
              </w:rPr>
              <w:lastRenderedPageBreak/>
              <w:t>①坚定产品创新，做差异化的价值共创方</w:t>
            </w:r>
            <w:r w:rsidR="002417FD">
              <w:rPr>
                <w:rFonts w:ascii="宋体" w:hAnsi="宋体" w:hint="eastAsia"/>
                <w:bCs/>
                <w:sz w:val="24"/>
              </w:rPr>
              <w:t>：</w:t>
            </w:r>
            <w:r w:rsidRPr="00C236AC">
              <w:rPr>
                <w:rFonts w:ascii="宋体" w:hAnsi="宋体" w:hint="eastAsia"/>
                <w:bCs/>
                <w:sz w:val="24"/>
              </w:rPr>
              <w:t>历经多年发展，公司产品海外已经形成了差异化优势，尤其是优势低温产品，在绿色和智能方面处于引领地位。绿色方面，我们首创Eco-driver超绿技术能效较行业最高水平提升80%，产品包揽美国“能源之星”排行榜前八，我们会在冻存、冻融等场景方案上持续延展，做制药用户可持续发展的价值伙伴。智能方面，公司更是凭借自动化、数字化的方案优势在手订单千万级并持续放量，后续我们会加快自动化在冻存、QC等场景的应用，以过程数据的贯通，成为制药用户未来新基建升级的可靠底座。</w:t>
            </w:r>
            <w:r w:rsidR="002417FD">
              <w:rPr>
                <w:rFonts w:ascii="宋体" w:hAnsi="宋体" w:hint="eastAsia"/>
                <w:bCs/>
                <w:sz w:val="24"/>
              </w:rPr>
              <w:t xml:space="preserve"> </w:t>
            </w:r>
          </w:p>
          <w:p w14:paraId="0521A180" w14:textId="3E9746C7" w:rsidR="00864E00" w:rsidRDefault="00C236AC" w:rsidP="00C236AC">
            <w:pPr>
              <w:spacing w:beforeLines="50" w:before="156" w:line="360" w:lineRule="auto"/>
              <w:ind w:firstLineChars="200" w:firstLine="480"/>
              <w:jc w:val="left"/>
              <w:rPr>
                <w:rFonts w:ascii="宋体" w:hAnsi="宋体"/>
                <w:bCs/>
                <w:sz w:val="24"/>
              </w:rPr>
            </w:pPr>
            <w:r w:rsidRPr="00C236AC">
              <w:rPr>
                <w:rFonts w:ascii="宋体" w:hAnsi="宋体" w:hint="eastAsia"/>
                <w:bCs/>
                <w:sz w:val="24"/>
              </w:rPr>
              <w:t>②坚定场景创新，进入生物制药用户核心工艺</w:t>
            </w:r>
            <w:r w:rsidR="002417FD">
              <w:rPr>
                <w:rFonts w:ascii="宋体" w:hAnsi="宋体" w:hint="eastAsia"/>
                <w:bCs/>
                <w:sz w:val="24"/>
              </w:rPr>
              <w:t>：</w:t>
            </w:r>
            <w:r w:rsidRPr="00C236AC">
              <w:rPr>
                <w:rFonts w:ascii="宋体" w:hAnsi="宋体" w:hint="eastAsia"/>
                <w:bCs/>
                <w:sz w:val="24"/>
              </w:rPr>
              <w:t>场景定制能力和数智化升级能力一直是海尔生物的核心竞争力，已经在原液冻存、冻融、纯化、研发、QC等核心场景验证。未来将继续做场景创新，成为客户信任的生态战略伙伴，提升单用户价值。</w:t>
            </w:r>
          </w:p>
          <w:p w14:paraId="3021C154" w14:textId="46E233B5" w:rsidR="007B3BB4" w:rsidRDefault="007B3BB4" w:rsidP="007B3BB4">
            <w:pPr>
              <w:spacing w:beforeLines="50" w:before="156" w:line="360" w:lineRule="auto"/>
              <w:ind w:firstLineChars="200" w:firstLine="482"/>
              <w:jc w:val="left"/>
              <w:rPr>
                <w:rFonts w:ascii="宋体" w:hAnsi="宋体"/>
                <w:b/>
                <w:sz w:val="24"/>
              </w:rPr>
            </w:pPr>
            <w:r>
              <w:rPr>
                <w:rFonts w:ascii="宋体" w:hAnsi="宋体" w:hint="eastAsia"/>
                <w:b/>
                <w:sz w:val="24"/>
              </w:rPr>
              <w:t>问题</w:t>
            </w:r>
            <w:r w:rsidR="00A80DD4">
              <w:rPr>
                <w:rFonts w:ascii="宋体" w:hAnsi="宋体" w:hint="eastAsia"/>
                <w:b/>
                <w:sz w:val="24"/>
              </w:rPr>
              <w:t>四</w:t>
            </w:r>
            <w:r>
              <w:rPr>
                <w:rFonts w:ascii="宋体" w:hAnsi="宋体" w:hint="eastAsia"/>
                <w:b/>
                <w:sz w:val="24"/>
              </w:rPr>
              <w:t>：</w:t>
            </w:r>
            <w:r w:rsidR="007C31D6">
              <w:rPr>
                <w:rFonts w:ascii="宋体" w:hAnsi="宋体" w:hint="eastAsia"/>
                <w:b/>
                <w:sz w:val="24"/>
              </w:rPr>
              <w:t>国内市场来看，公司的制药用户上半年景气度如何</w:t>
            </w:r>
            <w:r>
              <w:rPr>
                <w:rFonts w:ascii="宋体" w:hAnsi="宋体" w:hint="eastAsia"/>
                <w:b/>
                <w:sz w:val="24"/>
              </w:rPr>
              <w:t>？</w:t>
            </w:r>
          </w:p>
          <w:p w14:paraId="4DE501F2" w14:textId="7953DE7F" w:rsidR="007C31D6" w:rsidRDefault="007B3BB4" w:rsidP="007B3BB4">
            <w:pPr>
              <w:spacing w:beforeLines="50" w:before="156" w:line="360" w:lineRule="auto"/>
              <w:ind w:firstLineChars="200" w:firstLine="480"/>
              <w:jc w:val="left"/>
              <w:rPr>
                <w:rFonts w:ascii="宋体" w:hAnsi="宋体"/>
                <w:bCs/>
                <w:sz w:val="24"/>
              </w:rPr>
            </w:pPr>
            <w:r w:rsidRPr="003E6352">
              <w:rPr>
                <w:rFonts w:ascii="宋体" w:hAnsi="宋体" w:hint="eastAsia"/>
                <w:bCs/>
                <w:sz w:val="24"/>
              </w:rPr>
              <w:t>答：</w:t>
            </w:r>
            <w:r w:rsidR="007C31D6" w:rsidRPr="007C31D6">
              <w:rPr>
                <w:rFonts w:ascii="宋体" w:hAnsi="宋体" w:hint="eastAsia"/>
                <w:bCs/>
                <w:sz w:val="24"/>
              </w:rPr>
              <w:t>从终端市场的整体情况来看，用户复购开始活跃，新用户增长、装机量同比提升较好，国内市场整体发展趋势积极向好</w:t>
            </w:r>
            <w:r w:rsidR="008F3A42">
              <w:rPr>
                <w:rFonts w:ascii="宋体" w:hAnsi="宋体" w:hint="eastAsia"/>
                <w:bCs/>
                <w:sz w:val="24"/>
              </w:rPr>
              <w:t>。</w:t>
            </w:r>
            <w:r w:rsidR="007C31D6">
              <w:rPr>
                <w:rFonts w:ascii="宋体" w:hAnsi="宋体" w:hint="eastAsia"/>
                <w:bCs/>
                <w:sz w:val="24"/>
              </w:rPr>
              <w:t>其中</w:t>
            </w:r>
            <w:r w:rsidR="008F3A42">
              <w:rPr>
                <w:rFonts w:ascii="宋体" w:hAnsi="宋体" w:hint="eastAsia"/>
                <w:bCs/>
                <w:sz w:val="24"/>
              </w:rPr>
              <w:t>，</w:t>
            </w:r>
            <w:r w:rsidR="007C31D6" w:rsidRPr="007C31D6">
              <w:rPr>
                <w:rFonts w:ascii="宋体" w:hAnsi="宋体" w:hint="eastAsia"/>
                <w:bCs/>
                <w:sz w:val="24"/>
              </w:rPr>
              <w:t>制药端是最景气、也是当前公司最具增长潜力的终端市场，上半年复购老用户约60%，新用户占比40%，创新药用户占比达到70%，驱动国内市场在制药端实现了高双位数增长。</w:t>
            </w:r>
          </w:p>
          <w:p w14:paraId="2DD71A89" w14:textId="01D4DCE0" w:rsidR="007B3BB4" w:rsidRPr="007B3BB4" w:rsidRDefault="007C31D6" w:rsidP="007B3BB4">
            <w:pPr>
              <w:spacing w:beforeLines="50" w:before="156" w:line="360" w:lineRule="auto"/>
              <w:ind w:firstLineChars="200" w:firstLine="480"/>
              <w:jc w:val="left"/>
              <w:rPr>
                <w:rFonts w:ascii="宋体" w:hAnsi="宋体"/>
                <w:bCs/>
                <w:sz w:val="24"/>
              </w:rPr>
            </w:pPr>
            <w:r w:rsidRPr="007C31D6">
              <w:rPr>
                <w:rFonts w:ascii="宋体" w:hAnsi="宋体" w:hint="eastAsia"/>
                <w:bCs/>
                <w:sz w:val="24"/>
              </w:rPr>
              <w:t>25年以来全球创新药一级市场融资额已明显回暖，26年上半年同比增长约60%，上半年中国License-out总金额已达到25年全年的73%、2024年全年的2倍，这也为我们生命科学上游企业创造了内外双向增长的市场空间。例如刚刚提到的头部CXO企业一直是我们的战略合作用户，今年的采购订单大</w:t>
            </w:r>
            <w:r w:rsidRPr="007C31D6">
              <w:rPr>
                <w:rFonts w:ascii="宋体" w:hAnsi="宋体" w:hint="eastAsia"/>
                <w:bCs/>
                <w:sz w:val="24"/>
              </w:rPr>
              <w:lastRenderedPageBreak/>
              <w:t>幅增长。国内市场同步成立了制药渠道的无边界团队，预期会在下半年从应用、技术、效率、合规等方面有进一步的快速的完善，</w:t>
            </w:r>
            <w:r w:rsidR="00257E9C">
              <w:rPr>
                <w:rFonts w:ascii="宋体" w:hAnsi="宋体" w:hint="eastAsia"/>
                <w:bCs/>
                <w:sz w:val="24"/>
              </w:rPr>
              <w:t>公司</w:t>
            </w:r>
            <w:r w:rsidRPr="007C31D6">
              <w:rPr>
                <w:rFonts w:ascii="宋体" w:hAnsi="宋体" w:hint="eastAsia"/>
                <w:bCs/>
                <w:sz w:val="24"/>
              </w:rPr>
              <w:t>会取得比上半年更好的市场效果。</w:t>
            </w:r>
          </w:p>
          <w:p w14:paraId="33E3B511" w14:textId="3232D54E" w:rsidR="00D95727" w:rsidRDefault="00C8757C">
            <w:pPr>
              <w:spacing w:beforeLines="50" w:before="156" w:line="360" w:lineRule="auto"/>
              <w:ind w:firstLineChars="200" w:firstLine="482"/>
              <w:jc w:val="left"/>
              <w:rPr>
                <w:rFonts w:ascii="宋体" w:hAnsi="宋体"/>
                <w:b/>
                <w:sz w:val="24"/>
              </w:rPr>
            </w:pPr>
            <w:r>
              <w:rPr>
                <w:rFonts w:ascii="宋体" w:hAnsi="宋体" w:hint="eastAsia"/>
                <w:b/>
                <w:sz w:val="24"/>
              </w:rPr>
              <w:t>问题</w:t>
            </w:r>
            <w:r w:rsidR="00A80DD4">
              <w:rPr>
                <w:rFonts w:ascii="宋体" w:hAnsi="宋体" w:hint="eastAsia"/>
                <w:b/>
                <w:sz w:val="24"/>
              </w:rPr>
              <w:t>五</w:t>
            </w:r>
            <w:r>
              <w:rPr>
                <w:rFonts w:ascii="宋体" w:hAnsi="宋体" w:hint="eastAsia"/>
                <w:b/>
                <w:sz w:val="24"/>
              </w:rPr>
              <w:t>：</w:t>
            </w:r>
            <w:r w:rsidR="003E6352" w:rsidRPr="003E6352">
              <w:rPr>
                <w:rFonts w:ascii="宋体" w:hAnsi="宋体" w:hint="eastAsia"/>
                <w:b/>
                <w:sz w:val="24"/>
              </w:rPr>
              <w:t>公司能详细介绍一下国内市场准备如何实现在制药端的发展，包括半年报说到的向国内TOP100药企拓展</w:t>
            </w:r>
            <w:r>
              <w:rPr>
                <w:rFonts w:ascii="宋体" w:hAnsi="宋体" w:hint="eastAsia"/>
                <w:b/>
                <w:sz w:val="24"/>
              </w:rPr>
              <w:t>？</w:t>
            </w:r>
          </w:p>
          <w:p w14:paraId="5D14E4D5" w14:textId="5638D666" w:rsidR="008F3A42" w:rsidRDefault="003E6352">
            <w:pPr>
              <w:spacing w:beforeLines="50" w:before="156" w:line="360" w:lineRule="auto"/>
              <w:ind w:firstLineChars="200" w:firstLine="480"/>
              <w:jc w:val="left"/>
              <w:rPr>
                <w:rFonts w:ascii="宋体" w:hAnsi="宋体"/>
                <w:bCs/>
                <w:sz w:val="24"/>
              </w:rPr>
            </w:pPr>
            <w:r w:rsidRPr="003E6352">
              <w:rPr>
                <w:rFonts w:ascii="宋体" w:hAnsi="宋体" w:hint="eastAsia"/>
                <w:bCs/>
                <w:sz w:val="24"/>
              </w:rPr>
              <w:t>答：</w:t>
            </w:r>
            <w:r w:rsidR="00CE1D83" w:rsidRPr="00CE1D83">
              <w:rPr>
                <w:rFonts w:ascii="宋体" w:hAnsi="宋体" w:hint="eastAsia"/>
                <w:bCs/>
                <w:sz w:val="24"/>
              </w:rPr>
              <w:t>针对国内市场业务发展，公司将沿两个方向推进后续业务拓展。总体而言，公司将延续上半年增长势头，确保全年增长不低于20%</w:t>
            </w:r>
            <w:r w:rsidRPr="003E6352">
              <w:rPr>
                <w:rFonts w:ascii="宋体" w:hAnsi="宋体" w:hint="eastAsia"/>
                <w:bCs/>
                <w:sz w:val="24"/>
              </w:rPr>
              <w:t>：</w:t>
            </w:r>
          </w:p>
          <w:p w14:paraId="72FD8F47" w14:textId="31442F02" w:rsidR="00CE1D83" w:rsidRDefault="00CE1D83" w:rsidP="008F3A42">
            <w:pPr>
              <w:spacing w:beforeLines="50" w:before="156" w:line="360" w:lineRule="auto"/>
              <w:ind w:firstLineChars="200" w:firstLine="480"/>
              <w:jc w:val="left"/>
              <w:rPr>
                <w:rFonts w:ascii="宋体" w:hAnsi="宋体"/>
                <w:bCs/>
                <w:sz w:val="24"/>
              </w:rPr>
            </w:pPr>
            <w:r w:rsidRPr="00CE1D83">
              <w:rPr>
                <w:rFonts w:ascii="宋体" w:hAnsi="宋体" w:hint="eastAsia"/>
                <w:bCs/>
                <w:sz w:val="24"/>
              </w:rPr>
              <w:t>方向一：聚焦药企新建机遇，提升机会获取与执行能力。</w:t>
            </w:r>
          </w:p>
          <w:p w14:paraId="0F1129AE" w14:textId="2F9E89FA" w:rsidR="00D95727" w:rsidRDefault="00CE1D83" w:rsidP="008F3A42">
            <w:pPr>
              <w:spacing w:beforeLines="50" w:before="156" w:line="360" w:lineRule="auto"/>
              <w:ind w:firstLineChars="200" w:firstLine="480"/>
              <w:jc w:val="left"/>
              <w:rPr>
                <w:rFonts w:ascii="宋体" w:hAnsi="宋体"/>
                <w:bCs/>
                <w:sz w:val="24"/>
              </w:rPr>
            </w:pPr>
            <w:r w:rsidRPr="00CE1D83">
              <w:rPr>
                <w:rFonts w:ascii="宋体" w:hAnsi="宋体" w:hint="eastAsia"/>
                <w:bCs/>
                <w:sz w:val="24"/>
              </w:rPr>
              <w:t>药企用户准入门槛最高，当前市场成果源于前几年行业低迷期公司扎根用户、直面需求、持续深耕服务，从而在行业上行周期中得以把握用户研发与生产新建机遇。下一步，公司将着力加强三项能力建设</w:t>
            </w:r>
            <w:r w:rsidR="003E6352" w:rsidRPr="003E6352">
              <w:rPr>
                <w:rFonts w:ascii="宋体" w:hAnsi="宋体" w:hint="eastAsia"/>
                <w:bCs/>
                <w:sz w:val="24"/>
              </w:rPr>
              <w:t>：</w:t>
            </w:r>
          </w:p>
          <w:p w14:paraId="33CCDDEA" w14:textId="27603A45" w:rsidR="003E6352" w:rsidRDefault="003E6352">
            <w:pPr>
              <w:spacing w:beforeLines="50" w:before="156" w:line="360" w:lineRule="auto"/>
              <w:ind w:firstLineChars="200" w:firstLine="480"/>
              <w:jc w:val="left"/>
              <w:rPr>
                <w:rFonts w:ascii="宋体" w:hAnsi="宋体"/>
                <w:bCs/>
                <w:sz w:val="24"/>
              </w:rPr>
            </w:pPr>
            <w:r w:rsidRPr="003E6352">
              <w:rPr>
                <w:rFonts w:ascii="宋体" w:hAnsi="宋体" w:hint="eastAsia"/>
                <w:bCs/>
                <w:sz w:val="24"/>
              </w:rPr>
              <w:t>①药工共创能力：</w:t>
            </w:r>
            <w:r w:rsidR="00CE1D83" w:rsidRPr="00CE1D83">
              <w:rPr>
                <w:rFonts w:ascii="宋体" w:hAnsi="宋体" w:hint="eastAsia"/>
                <w:bCs/>
                <w:sz w:val="24"/>
              </w:rPr>
              <w:t>制药用户的验证标准高于国标，对精度、性能、稳定性要求极高，“标准化产品适用所有用户”的模式难以奏效。公司依托模块化研发设计及精益化制造质控能力，可根据用户需求实现大规模定制。以某头部CXO用户为例，公司可在6个月内响应其定制产品需求，并配合完成DQ设计确认，确保产品完全满足定制要求，加速药企研发与生产落地。随着合作药企不断增多，公司将同步提升产品共创能力，更快响应市场需求</w:t>
            </w:r>
            <w:r w:rsidRPr="003E6352">
              <w:rPr>
                <w:rFonts w:ascii="宋体" w:hAnsi="宋体" w:hint="eastAsia"/>
                <w:bCs/>
                <w:sz w:val="24"/>
              </w:rPr>
              <w:t>。</w:t>
            </w:r>
          </w:p>
          <w:p w14:paraId="6419529B" w14:textId="6368D179" w:rsidR="003E6352" w:rsidRDefault="003E6352">
            <w:pPr>
              <w:spacing w:beforeLines="50" w:before="156" w:line="360" w:lineRule="auto"/>
              <w:ind w:firstLineChars="200" w:firstLine="480"/>
              <w:jc w:val="left"/>
              <w:rPr>
                <w:rFonts w:ascii="宋体" w:hAnsi="宋体"/>
                <w:bCs/>
                <w:sz w:val="24"/>
              </w:rPr>
            </w:pPr>
            <w:r w:rsidRPr="003E6352">
              <w:rPr>
                <w:rFonts w:ascii="宋体" w:hAnsi="宋体" w:hint="eastAsia"/>
                <w:bCs/>
                <w:sz w:val="24"/>
              </w:rPr>
              <w:t>②持续服务能力：</w:t>
            </w:r>
            <w:r w:rsidR="00EB7ACD" w:rsidRPr="00EB7ACD">
              <w:rPr>
                <w:rFonts w:ascii="宋体" w:hAnsi="宋体" w:hint="eastAsia"/>
                <w:bCs/>
                <w:sz w:val="24"/>
              </w:rPr>
              <w:t>据统计，公司超低温保存箱在制药行业累计销量已达10万台。基于多年用户体验沉淀，公司已建立制药用户“铁三角”组织，可提供设备全生命周期服务；目前全国29个省份均具备3Q验证服务能力，可实现2小时服务响应，计量校准等定制化服务也已全面开展。后续公司将扩大持续服务的覆盖广度，丰富服务内容，为用户持续创造价值</w:t>
            </w:r>
            <w:r w:rsidRPr="003E6352">
              <w:rPr>
                <w:rFonts w:ascii="宋体" w:hAnsi="宋体" w:hint="eastAsia"/>
                <w:bCs/>
                <w:sz w:val="24"/>
              </w:rPr>
              <w:t>。</w:t>
            </w:r>
          </w:p>
          <w:p w14:paraId="45196ABF" w14:textId="0C324EF3" w:rsidR="003E6352" w:rsidRDefault="003E6352">
            <w:pPr>
              <w:spacing w:beforeLines="50" w:before="156" w:line="360" w:lineRule="auto"/>
              <w:ind w:firstLineChars="200" w:firstLine="480"/>
              <w:jc w:val="left"/>
              <w:rPr>
                <w:rFonts w:ascii="宋体" w:hAnsi="宋体"/>
                <w:bCs/>
                <w:sz w:val="24"/>
              </w:rPr>
            </w:pPr>
            <w:r w:rsidRPr="003E6352">
              <w:rPr>
                <w:rFonts w:ascii="宋体" w:hAnsi="宋体" w:hint="eastAsia"/>
                <w:bCs/>
                <w:sz w:val="24"/>
              </w:rPr>
              <w:lastRenderedPageBreak/>
              <w:t>③拓展头部用户合作，丰富多元化渠道覆盖：</w:t>
            </w:r>
            <w:r w:rsidR="00102CF7" w:rsidRPr="00102CF7">
              <w:rPr>
                <w:rFonts w:ascii="宋体" w:hAnsi="宋体" w:hint="eastAsia"/>
                <w:bCs/>
                <w:sz w:val="24"/>
              </w:rPr>
              <w:t>公司将锚定制药行业TOP100用户，建立总对总战略合作体系，依托药工共创能力开展深度合作，目前已落地20余家战略合作。同时，公司已打通TO B用户线上阳光采购渠道，赋能渠道加速覆盖制药用户。</w:t>
            </w:r>
          </w:p>
          <w:p w14:paraId="32BA3E60" w14:textId="69130AEB" w:rsidR="00102CF7" w:rsidRDefault="00102CF7" w:rsidP="008F3A42">
            <w:pPr>
              <w:spacing w:beforeLines="50" w:before="156" w:line="360" w:lineRule="auto"/>
              <w:ind w:firstLineChars="200" w:firstLine="480"/>
              <w:jc w:val="left"/>
              <w:rPr>
                <w:rFonts w:ascii="宋体" w:hAnsi="宋体"/>
                <w:bCs/>
                <w:sz w:val="24"/>
              </w:rPr>
            </w:pPr>
            <w:r w:rsidRPr="00102CF7">
              <w:rPr>
                <w:rFonts w:ascii="宋体" w:hAnsi="宋体" w:hint="eastAsia"/>
                <w:bCs/>
                <w:sz w:val="24"/>
              </w:rPr>
              <w:t>方向二：锚定细胞治疗等创新疗法市场机会。</w:t>
            </w:r>
          </w:p>
          <w:p w14:paraId="4B651E69" w14:textId="2FE3E810" w:rsidR="003E6352" w:rsidRDefault="00102CF7" w:rsidP="008F3A42">
            <w:pPr>
              <w:spacing w:beforeLines="50" w:before="156" w:line="360" w:lineRule="auto"/>
              <w:ind w:firstLineChars="200" w:firstLine="480"/>
              <w:jc w:val="left"/>
              <w:rPr>
                <w:rFonts w:ascii="宋体" w:hAnsi="宋体"/>
                <w:bCs/>
                <w:sz w:val="24"/>
              </w:rPr>
            </w:pPr>
            <w:r w:rsidRPr="00102CF7">
              <w:rPr>
                <w:rFonts w:ascii="宋体" w:hAnsi="宋体" w:hint="eastAsia"/>
                <w:bCs/>
                <w:sz w:val="24"/>
              </w:rPr>
              <w:t>公司可提供涵盖温控合规、细胞培养等日益综合化的制药工业解决方案。未来，随着818号文、828号文为前沿技术转化开辟合法通道，公司将持续完善制药场景方案，全力抢占双轨制下的市场先机</w:t>
            </w:r>
            <w:r w:rsidR="003E6352" w:rsidRPr="003E6352">
              <w:rPr>
                <w:rFonts w:ascii="宋体" w:hAnsi="宋体" w:hint="eastAsia"/>
                <w:bCs/>
                <w:sz w:val="24"/>
              </w:rPr>
              <w:t>。</w:t>
            </w:r>
          </w:p>
          <w:p w14:paraId="43CAADB6" w14:textId="2877156E" w:rsidR="004A5530" w:rsidRDefault="004A5530" w:rsidP="004A5530">
            <w:pPr>
              <w:spacing w:beforeLines="50" w:before="156" w:line="360" w:lineRule="auto"/>
              <w:ind w:firstLineChars="200" w:firstLine="482"/>
              <w:jc w:val="left"/>
              <w:rPr>
                <w:rFonts w:ascii="宋体" w:hAnsi="宋体"/>
                <w:b/>
                <w:sz w:val="24"/>
              </w:rPr>
            </w:pPr>
            <w:r>
              <w:rPr>
                <w:rFonts w:ascii="宋体" w:hAnsi="宋体" w:hint="eastAsia"/>
                <w:b/>
                <w:sz w:val="24"/>
              </w:rPr>
              <w:t>问题</w:t>
            </w:r>
            <w:r w:rsidR="00A80DD4">
              <w:rPr>
                <w:rFonts w:ascii="宋体" w:hAnsi="宋体" w:hint="eastAsia"/>
                <w:b/>
                <w:sz w:val="24"/>
              </w:rPr>
              <w:t>六</w:t>
            </w:r>
            <w:r>
              <w:rPr>
                <w:rFonts w:ascii="宋体" w:hAnsi="宋体" w:hint="eastAsia"/>
                <w:b/>
                <w:sz w:val="24"/>
              </w:rPr>
              <w:t>：尽管说</w:t>
            </w:r>
            <w:r w:rsidRPr="004A5530">
              <w:rPr>
                <w:rFonts w:ascii="宋体" w:hAnsi="宋体" w:hint="eastAsia"/>
                <w:b/>
                <w:sz w:val="24"/>
              </w:rPr>
              <w:t>汇兑侵蚀了不少</w:t>
            </w:r>
            <w:r>
              <w:rPr>
                <w:rFonts w:ascii="宋体" w:hAnsi="宋体" w:hint="eastAsia"/>
                <w:b/>
                <w:sz w:val="24"/>
              </w:rPr>
              <w:t>公司</w:t>
            </w:r>
            <w:r w:rsidRPr="004A5530">
              <w:rPr>
                <w:rFonts w:ascii="宋体" w:hAnsi="宋体" w:hint="eastAsia"/>
                <w:b/>
                <w:sz w:val="24"/>
              </w:rPr>
              <w:t>利润，但是公司仍然有信心指引“全年利润增幅与收入增幅相当”，这说明经营利润需要有很好的提升，公司采取了什么措施？长期来看，</w:t>
            </w:r>
            <w:r>
              <w:rPr>
                <w:rFonts w:ascii="宋体" w:hAnsi="宋体" w:hint="eastAsia"/>
                <w:b/>
                <w:sz w:val="24"/>
              </w:rPr>
              <w:t>投资者应</w:t>
            </w:r>
            <w:r w:rsidRPr="004A5530">
              <w:rPr>
                <w:rFonts w:ascii="宋体" w:hAnsi="宋体" w:hint="eastAsia"/>
                <w:b/>
                <w:sz w:val="24"/>
              </w:rPr>
              <w:t>该怎么去预期公司利润表现？</w:t>
            </w:r>
          </w:p>
          <w:p w14:paraId="43E8A5EB" w14:textId="77777777" w:rsidR="00D44329" w:rsidRDefault="004A5530" w:rsidP="004A5530">
            <w:pPr>
              <w:spacing w:beforeLines="50" w:before="156" w:line="360" w:lineRule="auto"/>
              <w:ind w:firstLineChars="200" w:firstLine="482"/>
              <w:jc w:val="left"/>
              <w:rPr>
                <w:rFonts w:ascii="宋体" w:hAnsi="宋体"/>
                <w:bCs/>
                <w:sz w:val="24"/>
              </w:rPr>
            </w:pPr>
            <w:r>
              <w:rPr>
                <w:rFonts w:ascii="宋体" w:hAnsi="宋体" w:hint="eastAsia"/>
                <w:b/>
                <w:sz w:val="24"/>
              </w:rPr>
              <w:t>答：</w:t>
            </w:r>
            <w:r w:rsidRPr="004A5530">
              <w:rPr>
                <w:rFonts w:ascii="宋体" w:hAnsi="宋体" w:hint="eastAsia"/>
                <w:bCs/>
                <w:sz w:val="24"/>
              </w:rPr>
              <w:t>虽然从上半年的利润总额看，归母净利润增幅低于收入增幅，但是解构价值链来看，上半年的经营利润和扣非归母净利润均实现双位数增长，增幅大于收入增幅，说明经营质量持续优化，经营策略是有效的。</w:t>
            </w:r>
          </w:p>
          <w:p w14:paraId="7ECDB563" w14:textId="03502798" w:rsidR="00D44329" w:rsidRDefault="004A5530" w:rsidP="004A5530">
            <w:pPr>
              <w:spacing w:beforeLines="50" w:before="156" w:line="360" w:lineRule="auto"/>
              <w:ind w:firstLineChars="200" w:firstLine="480"/>
              <w:jc w:val="left"/>
              <w:rPr>
                <w:rFonts w:ascii="宋体" w:hAnsi="宋体"/>
                <w:bCs/>
                <w:sz w:val="24"/>
              </w:rPr>
            </w:pPr>
            <w:r w:rsidRPr="004A5530">
              <w:rPr>
                <w:rFonts w:ascii="宋体" w:hAnsi="宋体" w:hint="eastAsia"/>
                <w:bCs/>
                <w:sz w:val="24"/>
              </w:rPr>
              <w:t>盈利提升策略主要包括以下方面：①产品结构升级，提升销售毛利率：持续升级产品策略和市场策略，提升产品及方案在终端市场的竞争力；②加速出海，拓展海外高毛利市场，提高核心区域市场的用户覆盖及份额；③内部提质增效，智能体应用于运营全流程管理体系的升级，从商机获取/转化、精益制造、到资金回款闭环，提升整体的运营效率和效益。</w:t>
            </w:r>
          </w:p>
          <w:p w14:paraId="3A47AD1A" w14:textId="7C82FE77" w:rsidR="00D95727" w:rsidRPr="00DB01EC" w:rsidRDefault="004A5530" w:rsidP="00DB01EC">
            <w:pPr>
              <w:spacing w:beforeLines="50" w:before="156" w:line="360" w:lineRule="auto"/>
              <w:ind w:firstLineChars="200" w:firstLine="480"/>
              <w:jc w:val="left"/>
              <w:rPr>
                <w:rFonts w:ascii="宋体" w:hAnsi="宋体"/>
                <w:b/>
                <w:sz w:val="24"/>
              </w:rPr>
            </w:pPr>
            <w:r w:rsidRPr="004A5530">
              <w:rPr>
                <w:rFonts w:ascii="宋体" w:hAnsi="宋体" w:hint="eastAsia"/>
                <w:bCs/>
                <w:sz w:val="24"/>
              </w:rPr>
              <w:t>从结果看策略是行之有效的，将继续推进。预计下半年公司将实现更高的利润增速，经营利润将在规模增长、结构优化、数智化提效等正向拉动下继续提升，尽管预计汇率波动、大宗</w:t>
            </w:r>
            <w:r w:rsidRPr="004A5530">
              <w:rPr>
                <w:rFonts w:ascii="宋体" w:hAnsi="宋体" w:hint="eastAsia"/>
                <w:bCs/>
                <w:sz w:val="24"/>
              </w:rPr>
              <w:lastRenderedPageBreak/>
              <w:t>成本等宏观不利因素仍将对利润产生不利影响，但公司仍有信心将实现全年利润增幅与收入增幅大致相当，且若宏观因素改善的情况下将有进一步上行空间。从一个更加长期的视角，公司预计从今年起盈利能力进入提升通道。</w:t>
            </w:r>
          </w:p>
        </w:tc>
      </w:tr>
      <w:tr w:rsidR="00D95727" w14:paraId="381D7499" w14:textId="77777777">
        <w:tc>
          <w:tcPr>
            <w:tcW w:w="1908" w:type="dxa"/>
            <w:tcBorders>
              <w:top w:val="single" w:sz="4" w:space="0" w:color="auto"/>
              <w:left w:val="single" w:sz="4" w:space="0" w:color="auto"/>
              <w:bottom w:val="single" w:sz="4" w:space="0" w:color="auto"/>
              <w:right w:val="single" w:sz="4" w:space="0" w:color="auto"/>
            </w:tcBorders>
            <w:vAlign w:val="center"/>
          </w:tcPr>
          <w:p w14:paraId="204FDC98" w14:textId="77777777" w:rsidR="00D95727" w:rsidRDefault="00C8757C">
            <w:pPr>
              <w:spacing w:line="480" w:lineRule="atLeast"/>
              <w:rPr>
                <w:rFonts w:eastAsiaTheme="minorEastAsia"/>
                <w:b/>
                <w:bCs/>
                <w:iCs/>
                <w:sz w:val="24"/>
                <w:szCs w:val="24"/>
              </w:rPr>
            </w:pPr>
            <w:r>
              <w:rPr>
                <w:rFonts w:eastAsiaTheme="minorEastAsia" w:hint="eastAsia"/>
                <w:b/>
                <w:bCs/>
                <w:iCs/>
                <w:sz w:val="24"/>
                <w:szCs w:val="24"/>
              </w:rPr>
              <w:lastRenderedPageBreak/>
              <w:t>附件清单</w:t>
            </w:r>
          </w:p>
        </w:tc>
        <w:tc>
          <w:tcPr>
            <w:tcW w:w="6614" w:type="dxa"/>
            <w:tcBorders>
              <w:top w:val="single" w:sz="4" w:space="0" w:color="auto"/>
              <w:left w:val="single" w:sz="4" w:space="0" w:color="auto"/>
              <w:bottom w:val="single" w:sz="4" w:space="0" w:color="auto"/>
              <w:right w:val="single" w:sz="4" w:space="0" w:color="auto"/>
            </w:tcBorders>
          </w:tcPr>
          <w:p w14:paraId="32CE86FD" w14:textId="77777777" w:rsidR="00D95727" w:rsidRDefault="00C8757C">
            <w:pPr>
              <w:spacing w:line="480" w:lineRule="atLeast"/>
              <w:rPr>
                <w:rFonts w:eastAsiaTheme="minorEastAsia"/>
                <w:bCs/>
                <w:iCs/>
                <w:sz w:val="24"/>
                <w:szCs w:val="24"/>
              </w:rPr>
            </w:pPr>
            <w:r>
              <w:rPr>
                <w:rFonts w:eastAsiaTheme="minorEastAsia" w:hint="eastAsia"/>
                <w:bCs/>
                <w:iCs/>
                <w:sz w:val="24"/>
                <w:szCs w:val="24"/>
              </w:rPr>
              <w:t>参会机构名单</w:t>
            </w:r>
          </w:p>
        </w:tc>
      </w:tr>
      <w:tr w:rsidR="00D95727" w14:paraId="2E325C0F" w14:textId="77777777">
        <w:tc>
          <w:tcPr>
            <w:tcW w:w="1908" w:type="dxa"/>
            <w:tcBorders>
              <w:top w:val="single" w:sz="4" w:space="0" w:color="auto"/>
              <w:left w:val="single" w:sz="4" w:space="0" w:color="auto"/>
              <w:bottom w:val="single" w:sz="4" w:space="0" w:color="auto"/>
              <w:right w:val="single" w:sz="4" w:space="0" w:color="auto"/>
            </w:tcBorders>
            <w:vAlign w:val="center"/>
          </w:tcPr>
          <w:p w14:paraId="5D0EDF82" w14:textId="77777777" w:rsidR="00D95727" w:rsidRDefault="00C8757C">
            <w:pPr>
              <w:spacing w:line="480" w:lineRule="atLeast"/>
              <w:rPr>
                <w:rFonts w:eastAsiaTheme="minorEastAsia"/>
                <w:b/>
                <w:bCs/>
                <w:iCs/>
                <w:sz w:val="24"/>
                <w:szCs w:val="24"/>
              </w:rPr>
            </w:pPr>
            <w:r>
              <w:rPr>
                <w:rFonts w:eastAsiaTheme="minorEastAsia" w:hint="eastAsia"/>
                <w:b/>
                <w:bCs/>
                <w:iCs/>
                <w:sz w:val="24"/>
                <w:szCs w:val="24"/>
              </w:rPr>
              <w:t>日期</w:t>
            </w:r>
          </w:p>
        </w:tc>
        <w:tc>
          <w:tcPr>
            <w:tcW w:w="6614" w:type="dxa"/>
            <w:tcBorders>
              <w:top w:val="single" w:sz="4" w:space="0" w:color="auto"/>
              <w:left w:val="single" w:sz="4" w:space="0" w:color="auto"/>
              <w:bottom w:val="single" w:sz="4" w:space="0" w:color="auto"/>
              <w:right w:val="single" w:sz="4" w:space="0" w:color="auto"/>
            </w:tcBorders>
          </w:tcPr>
          <w:p w14:paraId="1EA15479" w14:textId="77777777" w:rsidR="00D95727" w:rsidRDefault="00C8757C">
            <w:pPr>
              <w:spacing w:line="480" w:lineRule="atLeast"/>
              <w:rPr>
                <w:rFonts w:eastAsiaTheme="minorEastAsia"/>
                <w:bCs/>
                <w:iCs/>
                <w:sz w:val="24"/>
                <w:szCs w:val="24"/>
              </w:rPr>
            </w:pPr>
            <w:r>
              <w:rPr>
                <w:rFonts w:eastAsiaTheme="minorEastAsia" w:hint="eastAsia"/>
                <w:bCs/>
                <w:iCs/>
                <w:sz w:val="24"/>
                <w:szCs w:val="24"/>
              </w:rPr>
              <w:t>202</w:t>
            </w:r>
            <w:r>
              <w:rPr>
                <w:rFonts w:eastAsiaTheme="minorEastAsia"/>
                <w:bCs/>
                <w:iCs/>
                <w:sz w:val="24"/>
                <w:szCs w:val="24"/>
              </w:rPr>
              <w:t>6</w:t>
            </w:r>
            <w:r>
              <w:rPr>
                <w:rFonts w:eastAsiaTheme="minorEastAsia" w:hint="eastAsia"/>
                <w:bCs/>
                <w:iCs/>
                <w:sz w:val="24"/>
                <w:szCs w:val="24"/>
              </w:rPr>
              <w:t>年</w:t>
            </w:r>
            <w:r>
              <w:rPr>
                <w:rFonts w:eastAsiaTheme="minorEastAsia" w:hint="eastAsia"/>
                <w:bCs/>
                <w:iCs/>
                <w:sz w:val="24"/>
                <w:szCs w:val="24"/>
              </w:rPr>
              <w:t>9</w:t>
            </w:r>
            <w:r>
              <w:rPr>
                <w:rFonts w:eastAsiaTheme="minorEastAsia" w:hint="eastAsia"/>
                <w:bCs/>
                <w:iCs/>
                <w:sz w:val="24"/>
                <w:szCs w:val="24"/>
              </w:rPr>
              <w:t>月</w:t>
            </w:r>
            <w:r>
              <w:rPr>
                <w:rFonts w:eastAsiaTheme="minorEastAsia" w:hint="eastAsia"/>
                <w:bCs/>
                <w:iCs/>
                <w:sz w:val="24"/>
                <w:szCs w:val="24"/>
              </w:rPr>
              <w:t>10</w:t>
            </w:r>
            <w:r>
              <w:rPr>
                <w:rFonts w:eastAsiaTheme="minorEastAsia" w:hint="eastAsia"/>
                <w:bCs/>
                <w:iCs/>
                <w:sz w:val="24"/>
                <w:szCs w:val="24"/>
              </w:rPr>
              <w:t>日</w:t>
            </w:r>
          </w:p>
        </w:tc>
      </w:tr>
    </w:tbl>
    <w:p w14:paraId="1CF085B1" w14:textId="77777777" w:rsidR="00D95727" w:rsidRDefault="00D95727">
      <w:pPr>
        <w:widowControl/>
        <w:jc w:val="left"/>
        <w:rPr>
          <w:b/>
          <w:sz w:val="24"/>
        </w:rPr>
      </w:pPr>
    </w:p>
    <w:p w14:paraId="46461E33" w14:textId="77777777" w:rsidR="00D95727" w:rsidRDefault="00C8757C">
      <w:pPr>
        <w:widowControl/>
        <w:jc w:val="left"/>
        <w:rPr>
          <w:b/>
          <w:sz w:val="24"/>
        </w:rPr>
      </w:pPr>
      <w:r>
        <w:rPr>
          <w:b/>
          <w:sz w:val="24"/>
        </w:rPr>
        <w:br w:type="page"/>
      </w:r>
    </w:p>
    <w:p w14:paraId="46358EE9" w14:textId="77777777" w:rsidR="00D95727" w:rsidRDefault="00C8757C">
      <w:pPr>
        <w:widowControl/>
        <w:jc w:val="left"/>
        <w:rPr>
          <w:rFonts w:ascii="楷体" w:eastAsia="楷体" w:hAnsi="楷体"/>
          <w:b/>
          <w:sz w:val="24"/>
          <w:szCs w:val="24"/>
        </w:rPr>
      </w:pPr>
      <w:r>
        <w:rPr>
          <w:rFonts w:ascii="楷体" w:eastAsia="楷体" w:hAnsi="楷体" w:hint="eastAsia"/>
          <w:b/>
          <w:sz w:val="24"/>
          <w:szCs w:val="24"/>
        </w:rPr>
        <w:lastRenderedPageBreak/>
        <w:t>附表：参会机构名单（排名不分先后）</w:t>
      </w:r>
    </w:p>
    <w:tbl>
      <w:tblPr>
        <w:tblW w:w="5000" w:type="pct"/>
        <w:tblLook w:val="04A0" w:firstRow="1" w:lastRow="0" w:firstColumn="1" w:lastColumn="0" w:noHBand="0" w:noVBand="1"/>
      </w:tblPr>
      <w:tblGrid>
        <w:gridCol w:w="1007"/>
        <w:gridCol w:w="3150"/>
        <w:gridCol w:w="1006"/>
        <w:gridCol w:w="3365"/>
      </w:tblGrid>
      <w:tr w:rsidR="00D95727" w14:paraId="65B09C07" w14:textId="77777777">
        <w:trPr>
          <w:trHeight w:val="280"/>
        </w:trPr>
        <w:tc>
          <w:tcPr>
            <w:tcW w:w="590" w:type="pct"/>
            <w:tcBorders>
              <w:top w:val="single" w:sz="4" w:space="0" w:color="000000"/>
              <w:left w:val="single" w:sz="4" w:space="0" w:color="000000"/>
              <w:bottom w:val="single" w:sz="4" w:space="0" w:color="000000"/>
              <w:right w:val="single" w:sz="4" w:space="0" w:color="000000"/>
            </w:tcBorders>
            <w:shd w:val="clear" w:color="auto" w:fill="D8D8D8"/>
            <w:noWrap/>
            <w:vAlign w:val="center"/>
          </w:tcPr>
          <w:p w14:paraId="0FB8594A" w14:textId="77777777" w:rsidR="00D95727" w:rsidRDefault="00C8757C">
            <w:pPr>
              <w:widowControl/>
              <w:jc w:val="center"/>
              <w:rPr>
                <w:rFonts w:ascii="楷体" w:eastAsia="楷体" w:hAnsi="楷体" w:cs="宋体"/>
                <w:color w:val="000000"/>
                <w:kern w:val="0"/>
                <w:sz w:val="22"/>
                <w:szCs w:val="22"/>
              </w:rPr>
            </w:pPr>
            <w:r>
              <w:rPr>
                <w:rFonts w:ascii="楷体" w:eastAsia="楷体" w:hAnsi="楷体" w:cs="宋体" w:hint="eastAsia"/>
                <w:color w:val="000000"/>
                <w:kern w:val="0"/>
                <w:sz w:val="22"/>
                <w:szCs w:val="22"/>
              </w:rPr>
              <w:t>序号</w:t>
            </w:r>
          </w:p>
        </w:tc>
        <w:tc>
          <w:tcPr>
            <w:tcW w:w="1847" w:type="pct"/>
            <w:tcBorders>
              <w:top w:val="single" w:sz="4" w:space="0" w:color="000000"/>
              <w:left w:val="nil"/>
              <w:bottom w:val="single" w:sz="4" w:space="0" w:color="000000"/>
              <w:right w:val="single" w:sz="4" w:space="0" w:color="000000"/>
            </w:tcBorders>
            <w:shd w:val="clear" w:color="auto" w:fill="D8D8D8"/>
            <w:noWrap/>
            <w:vAlign w:val="center"/>
          </w:tcPr>
          <w:p w14:paraId="2E461ACA" w14:textId="77777777" w:rsidR="00D95727" w:rsidRDefault="00C8757C">
            <w:pPr>
              <w:widowControl/>
              <w:jc w:val="center"/>
              <w:rPr>
                <w:rFonts w:ascii="楷体" w:eastAsia="楷体" w:hAnsi="楷体" w:cs="宋体"/>
                <w:color w:val="000000"/>
                <w:kern w:val="0"/>
                <w:sz w:val="22"/>
                <w:szCs w:val="22"/>
              </w:rPr>
            </w:pPr>
            <w:r>
              <w:rPr>
                <w:rFonts w:ascii="楷体" w:eastAsia="楷体" w:hAnsi="楷体" w:cs="宋体" w:hint="eastAsia"/>
                <w:color w:val="000000"/>
                <w:kern w:val="0"/>
                <w:sz w:val="22"/>
                <w:szCs w:val="22"/>
              </w:rPr>
              <w:t>机构名称</w:t>
            </w:r>
          </w:p>
        </w:tc>
        <w:tc>
          <w:tcPr>
            <w:tcW w:w="590" w:type="pct"/>
            <w:tcBorders>
              <w:top w:val="single" w:sz="4" w:space="0" w:color="000000"/>
              <w:left w:val="nil"/>
              <w:bottom w:val="single" w:sz="4" w:space="0" w:color="000000"/>
              <w:right w:val="single" w:sz="4" w:space="0" w:color="000000"/>
            </w:tcBorders>
            <w:shd w:val="clear" w:color="auto" w:fill="D8D8D8"/>
            <w:noWrap/>
            <w:vAlign w:val="center"/>
          </w:tcPr>
          <w:p w14:paraId="527E85FB" w14:textId="77777777" w:rsidR="00D95727" w:rsidRDefault="00C8757C">
            <w:pPr>
              <w:widowControl/>
              <w:jc w:val="center"/>
              <w:rPr>
                <w:rFonts w:ascii="楷体" w:eastAsia="楷体" w:hAnsi="楷体" w:cs="宋体"/>
                <w:color w:val="000000"/>
                <w:kern w:val="0"/>
                <w:sz w:val="22"/>
                <w:szCs w:val="22"/>
              </w:rPr>
            </w:pPr>
            <w:r>
              <w:rPr>
                <w:rFonts w:ascii="楷体" w:eastAsia="楷体" w:hAnsi="楷体" w:cs="宋体" w:hint="eastAsia"/>
                <w:color w:val="000000"/>
                <w:kern w:val="0"/>
                <w:sz w:val="22"/>
                <w:szCs w:val="22"/>
              </w:rPr>
              <w:t>序号</w:t>
            </w:r>
          </w:p>
        </w:tc>
        <w:tc>
          <w:tcPr>
            <w:tcW w:w="1973" w:type="pct"/>
            <w:tcBorders>
              <w:top w:val="single" w:sz="4" w:space="0" w:color="000000"/>
              <w:left w:val="nil"/>
              <w:bottom w:val="single" w:sz="4" w:space="0" w:color="000000"/>
              <w:right w:val="single" w:sz="4" w:space="0" w:color="000000"/>
            </w:tcBorders>
            <w:shd w:val="clear" w:color="auto" w:fill="D8D8D8"/>
            <w:noWrap/>
            <w:vAlign w:val="center"/>
          </w:tcPr>
          <w:p w14:paraId="5AE6DCC7" w14:textId="77777777" w:rsidR="00D95727" w:rsidRDefault="00C8757C">
            <w:pPr>
              <w:widowControl/>
              <w:jc w:val="center"/>
              <w:rPr>
                <w:rFonts w:ascii="楷体" w:eastAsia="楷体" w:hAnsi="楷体" w:cs="宋体"/>
                <w:color w:val="000000"/>
                <w:kern w:val="0"/>
                <w:sz w:val="22"/>
                <w:szCs w:val="22"/>
              </w:rPr>
            </w:pPr>
            <w:r>
              <w:rPr>
                <w:rFonts w:ascii="楷体" w:eastAsia="楷体" w:hAnsi="楷体" w:cs="宋体" w:hint="eastAsia"/>
                <w:color w:val="000000"/>
                <w:kern w:val="0"/>
                <w:sz w:val="22"/>
                <w:szCs w:val="22"/>
              </w:rPr>
              <w:t>机构名称</w:t>
            </w:r>
          </w:p>
        </w:tc>
      </w:tr>
      <w:tr w:rsidR="00D95727" w14:paraId="6F735BB0"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435E9B4C"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1</w:t>
            </w:r>
          </w:p>
        </w:tc>
        <w:tc>
          <w:tcPr>
            <w:tcW w:w="3150" w:type="dxa"/>
            <w:tcBorders>
              <w:top w:val="single" w:sz="4" w:space="0" w:color="000000"/>
              <w:left w:val="nil"/>
              <w:bottom w:val="single" w:sz="4" w:space="0" w:color="000000"/>
              <w:right w:val="single" w:sz="4" w:space="0" w:color="000000"/>
            </w:tcBorders>
            <w:noWrap/>
          </w:tcPr>
          <w:p w14:paraId="1F789BE3"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IDG资本</w:t>
            </w:r>
          </w:p>
        </w:tc>
        <w:tc>
          <w:tcPr>
            <w:tcW w:w="1006" w:type="dxa"/>
            <w:tcBorders>
              <w:top w:val="single" w:sz="4" w:space="0" w:color="000000"/>
              <w:left w:val="nil"/>
              <w:bottom w:val="single" w:sz="4" w:space="0" w:color="000000"/>
              <w:right w:val="single" w:sz="4" w:space="0" w:color="000000"/>
            </w:tcBorders>
            <w:noWrap/>
            <w:vAlign w:val="center"/>
          </w:tcPr>
          <w:p w14:paraId="71010ECE"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13</w:t>
            </w:r>
          </w:p>
        </w:tc>
        <w:tc>
          <w:tcPr>
            <w:tcW w:w="3365" w:type="dxa"/>
            <w:tcBorders>
              <w:top w:val="single" w:sz="4" w:space="0" w:color="000000"/>
              <w:left w:val="nil"/>
              <w:bottom w:val="single" w:sz="4" w:space="0" w:color="000000"/>
              <w:right w:val="single" w:sz="4" w:space="0" w:color="000000"/>
            </w:tcBorders>
            <w:noWrap/>
          </w:tcPr>
          <w:p w14:paraId="50A1EFA5"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摩根士丹利</w:t>
            </w:r>
          </w:p>
        </w:tc>
      </w:tr>
      <w:tr w:rsidR="00D95727" w14:paraId="1A16EE6A"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37916B78"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2</w:t>
            </w:r>
          </w:p>
        </w:tc>
        <w:tc>
          <w:tcPr>
            <w:tcW w:w="3150" w:type="dxa"/>
            <w:tcBorders>
              <w:top w:val="single" w:sz="4" w:space="0" w:color="000000"/>
              <w:left w:val="nil"/>
              <w:bottom w:val="single" w:sz="4" w:space="0" w:color="000000"/>
              <w:right w:val="single" w:sz="4" w:space="0" w:color="000000"/>
            </w:tcBorders>
            <w:noWrap/>
          </w:tcPr>
          <w:p w14:paraId="60D4B03C"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Point 72</w:t>
            </w:r>
          </w:p>
        </w:tc>
        <w:tc>
          <w:tcPr>
            <w:tcW w:w="1006" w:type="dxa"/>
            <w:tcBorders>
              <w:top w:val="single" w:sz="4" w:space="0" w:color="000000"/>
              <w:left w:val="nil"/>
              <w:bottom w:val="single" w:sz="4" w:space="0" w:color="000000"/>
              <w:right w:val="single" w:sz="4" w:space="0" w:color="000000"/>
            </w:tcBorders>
            <w:noWrap/>
            <w:vAlign w:val="center"/>
          </w:tcPr>
          <w:p w14:paraId="5A79DF3D"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14</w:t>
            </w:r>
          </w:p>
        </w:tc>
        <w:tc>
          <w:tcPr>
            <w:tcW w:w="3365" w:type="dxa"/>
            <w:tcBorders>
              <w:top w:val="single" w:sz="4" w:space="0" w:color="000000"/>
              <w:left w:val="nil"/>
              <w:bottom w:val="single" w:sz="4" w:space="0" w:color="000000"/>
              <w:right w:val="single" w:sz="4" w:space="0" w:color="000000"/>
            </w:tcBorders>
            <w:noWrap/>
          </w:tcPr>
          <w:p w14:paraId="10760127"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农银汇理</w:t>
            </w:r>
          </w:p>
        </w:tc>
      </w:tr>
      <w:tr w:rsidR="00D95727" w14:paraId="7FDF7555"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7CC529A7"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3</w:t>
            </w:r>
          </w:p>
        </w:tc>
        <w:tc>
          <w:tcPr>
            <w:tcW w:w="3150" w:type="dxa"/>
            <w:tcBorders>
              <w:top w:val="single" w:sz="4" w:space="0" w:color="000000"/>
              <w:left w:val="nil"/>
              <w:bottom w:val="single" w:sz="4" w:space="0" w:color="000000"/>
              <w:right w:val="single" w:sz="4" w:space="0" w:color="000000"/>
            </w:tcBorders>
            <w:noWrap/>
          </w:tcPr>
          <w:p w14:paraId="32DBE102"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博时基金</w:t>
            </w:r>
          </w:p>
        </w:tc>
        <w:tc>
          <w:tcPr>
            <w:tcW w:w="1006" w:type="dxa"/>
            <w:tcBorders>
              <w:top w:val="single" w:sz="4" w:space="0" w:color="000000"/>
              <w:left w:val="nil"/>
              <w:bottom w:val="single" w:sz="4" w:space="0" w:color="000000"/>
              <w:right w:val="single" w:sz="4" w:space="0" w:color="000000"/>
            </w:tcBorders>
            <w:noWrap/>
            <w:vAlign w:val="center"/>
          </w:tcPr>
          <w:p w14:paraId="3853CE96"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15</w:t>
            </w:r>
          </w:p>
        </w:tc>
        <w:tc>
          <w:tcPr>
            <w:tcW w:w="3365" w:type="dxa"/>
            <w:tcBorders>
              <w:top w:val="single" w:sz="4" w:space="0" w:color="000000"/>
              <w:left w:val="nil"/>
              <w:bottom w:val="single" w:sz="4" w:space="0" w:color="000000"/>
              <w:right w:val="single" w:sz="4" w:space="0" w:color="000000"/>
            </w:tcBorders>
            <w:noWrap/>
          </w:tcPr>
          <w:p w14:paraId="02292790"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鹏华基金</w:t>
            </w:r>
          </w:p>
        </w:tc>
      </w:tr>
      <w:tr w:rsidR="00D95727" w14:paraId="3C3CB31A"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3AA53CA9"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4</w:t>
            </w:r>
          </w:p>
        </w:tc>
        <w:tc>
          <w:tcPr>
            <w:tcW w:w="3150" w:type="dxa"/>
            <w:tcBorders>
              <w:top w:val="single" w:sz="4" w:space="0" w:color="000000"/>
              <w:left w:val="nil"/>
              <w:bottom w:val="single" w:sz="4" w:space="0" w:color="000000"/>
              <w:right w:val="single" w:sz="4" w:space="0" w:color="000000"/>
            </w:tcBorders>
            <w:noWrap/>
          </w:tcPr>
          <w:p w14:paraId="7014F6D5"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大成基金</w:t>
            </w:r>
          </w:p>
        </w:tc>
        <w:tc>
          <w:tcPr>
            <w:tcW w:w="1006" w:type="dxa"/>
            <w:tcBorders>
              <w:top w:val="single" w:sz="4" w:space="0" w:color="000000"/>
              <w:left w:val="nil"/>
              <w:bottom w:val="single" w:sz="4" w:space="0" w:color="000000"/>
              <w:right w:val="single" w:sz="4" w:space="0" w:color="000000"/>
            </w:tcBorders>
            <w:noWrap/>
            <w:vAlign w:val="center"/>
          </w:tcPr>
          <w:p w14:paraId="6F4E489B"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16</w:t>
            </w:r>
          </w:p>
        </w:tc>
        <w:tc>
          <w:tcPr>
            <w:tcW w:w="3365" w:type="dxa"/>
            <w:tcBorders>
              <w:top w:val="single" w:sz="4" w:space="0" w:color="000000"/>
              <w:left w:val="nil"/>
              <w:bottom w:val="single" w:sz="4" w:space="0" w:color="000000"/>
              <w:right w:val="single" w:sz="4" w:space="0" w:color="000000"/>
            </w:tcBorders>
            <w:noWrap/>
          </w:tcPr>
          <w:p w14:paraId="29444CA2"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鹏扬基金</w:t>
            </w:r>
          </w:p>
        </w:tc>
      </w:tr>
      <w:tr w:rsidR="00D95727" w14:paraId="289B96BC"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7FAFB486"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5</w:t>
            </w:r>
          </w:p>
        </w:tc>
        <w:tc>
          <w:tcPr>
            <w:tcW w:w="3150" w:type="dxa"/>
            <w:tcBorders>
              <w:top w:val="single" w:sz="4" w:space="0" w:color="000000"/>
              <w:left w:val="nil"/>
              <w:bottom w:val="single" w:sz="4" w:space="0" w:color="000000"/>
              <w:right w:val="single" w:sz="4" w:space="0" w:color="000000"/>
            </w:tcBorders>
            <w:noWrap/>
          </w:tcPr>
          <w:p w14:paraId="12AD6ED8"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德邦基金</w:t>
            </w:r>
          </w:p>
        </w:tc>
        <w:tc>
          <w:tcPr>
            <w:tcW w:w="1006" w:type="dxa"/>
            <w:tcBorders>
              <w:top w:val="single" w:sz="4" w:space="0" w:color="000000"/>
              <w:left w:val="nil"/>
              <w:bottom w:val="single" w:sz="4" w:space="0" w:color="000000"/>
              <w:right w:val="single" w:sz="4" w:space="0" w:color="000000"/>
            </w:tcBorders>
            <w:noWrap/>
            <w:vAlign w:val="center"/>
          </w:tcPr>
          <w:p w14:paraId="2282192E"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17</w:t>
            </w:r>
          </w:p>
        </w:tc>
        <w:tc>
          <w:tcPr>
            <w:tcW w:w="3365" w:type="dxa"/>
            <w:tcBorders>
              <w:top w:val="single" w:sz="4" w:space="0" w:color="000000"/>
              <w:left w:val="nil"/>
              <w:bottom w:val="single" w:sz="4" w:space="0" w:color="000000"/>
              <w:right w:val="single" w:sz="4" w:space="0" w:color="000000"/>
            </w:tcBorders>
            <w:noWrap/>
          </w:tcPr>
          <w:p w14:paraId="740CC2D7"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万家基金</w:t>
            </w:r>
          </w:p>
        </w:tc>
      </w:tr>
      <w:tr w:rsidR="00D95727" w14:paraId="5D5189B8"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73F28209"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6</w:t>
            </w:r>
          </w:p>
        </w:tc>
        <w:tc>
          <w:tcPr>
            <w:tcW w:w="3150" w:type="dxa"/>
            <w:tcBorders>
              <w:top w:val="single" w:sz="4" w:space="0" w:color="000000"/>
              <w:left w:val="nil"/>
              <w:bottom w:val="single" w:sz="4" w:space="0" w:color="000000"/>
              <w:right w:val="single" w:sz="4" w:space="0" w:color="000000"/>
            </w:tcBorders>
            <w:noWrap/>
          </w:tcPr>
          <w:p w14:paraId="39738802"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东方阿尔法</w:t>
            </w:r>
          </w:p>
        </w:tc>
        <w:tc>
          <w:tcPr>
            <w:tcW w:w="1006" w:type="dxa"/>
            <w:tcBorders>
              <w:top w:val="single" w:sz="4" w:space="0" w:color="000000"/>
              <w:left w:val="nil"/>
              <w:bottom w:val="single" w:sz="4" w:space="0" w:color="000000"/>
              <w:right w:val="single" w:sz="4" w:space="0" w:color="000000"/>
            </w:tcBorders>
            <w:noWrap/>
            <w:vAlign w:val="center"/>
          </w:tcPr>
          <w:p w14:paraId="20358E91"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18</w:t>
            </w:r>
          </w:p>
        </w:tc>
        <w:tc>
          <w:tcPr>
            <w:tcW w:w="3365" w:type="dxa"/>
            <w:tcBorders>
              <w:top w:val="single" w:sz="4" w:space="0" w:color="000000"/>
              <w:left w:val="nil"/>
              <w:bottom w:val="single" w:sz="4" w:space="0" w:color="000000"/>
              <w:right w:val="single" w:sz="4" w:space="0" w:color="000000"/>
            </w:tcBorders>
            <w:noWrap/>
          </w:tcPr>
          <w:p w14:paraId="41AB2259"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汐泰基金</w:t>
            </w:r>
          </w:p>
        </w:tc>
      </w:tr>
      <w:tr w:rsidR="00D95727" w14:paraId="06D39E4E"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1C1D4C6F"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7</w:t>
            </w:r>
          </w:p>
        </w:tc>
        <w:tc>
          <w:tcPr>
            <w:tcW w:w="3150" w:type="dxa"/>
            <w:tcBorders>
              <w:top w:val="single" w:sz="4" w:space="0" w:color="000000"/>
              <w:left w:val="nil"/>
              <w:bottom w:val="single" w:sz="4" w:space="0" w:color="000000"/>
              <w:right w:val="single" w:sz="4" w:space="0" w:color="000000"/>
            </w:tcBorders>
            <w:noWrap/>
          </w:tcPr>
          <w:p w14:paraId="2B0A0A14"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东方财富证券</w:t>
            </w:r>
          </w:p>
        </w:tc>
        <w:tc>
          <w:tcPr>
            <w:tcW w:w="1006" w:type="dxa"/>
            <w:tcBorders>
              <w:top w:val="single" w:sz="4" w:space="0" w:color="000000"/>
              <w:left w:val="nil"/>
              <w:bottom w:val="single" w:sz="4" w:space="0" w:color="000000"/>
              <w:right w:val="single" w:sz="4" w:space="0" w:color="000000"/>
            </w:tcBorders>
            <w:noWrap/>
            <w:vAlign w:val="center"/>
          </w:tcPr>
          <w:p w14:paraId="3B316D3E"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19</w:t>
            </w:r>
          </w:p>
        </w:tc>
        <w:tc>
          <w:tcPr>
            <w:tcW w:w="3365" w:type="dxa"/>
            <w:tcBorders>
              <w:top w:val="single" w:sz="4" w:space="0" w:color="000000"/>
              <w:left w:val="nil"/>
              <w:bottom w:val="single" w:sz="4" w:space="0" w:color="000000"/>
              <w:right w:val="single" w:sz="4" w:space="0" w:color="000000"/>
            </w:tcBorders>
            <w:noWrap/>
          </w:tcPr>
          <w:p w14:paraId="7238C467"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兴业证券</w:t>
            </w:r>
          </w:p>
        </w:tc>
      </w:tr>
      <w:tr w:rsidR="00D95727" w14:paraId="78B578A0"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7F6CC59D"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8</w:t>
            </w:r>
          </w:p>
        </w:tc>
        <w:tc>
          <w:tcPr>
            <w:tcW w:w="3150" w:type="dxa"/>
            <w:tcBorders>
              <w:top w:val="single" w:sz="4" w:space="0" w:color="000000"/>
              <w:left w:val="nil"/>
              <w:bottom w:val="single" w:sz="4" w:space="0" w:color="000000"/>
              <w:right w:val="single" w:sz="4" w:space="0" w:color="000000"/>
            </w:tcBorders>
            <w:noWrap/>
          </w:tcPr>
          <w:p w14:paraId="0AE6097B"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东方红</w:t>
            </w:r>
          </w:p>
        </w:tc>
        <w:tc>
          <w:tcPr>
            <w:tcW w:w="1006" w:type="dxa"/>
            <w:tcBorders>
              <w:top w:val="single" w:sz="4" w:space="0" w:color="000000"/>
              <w:left w:val="nil"/>
              <w:bottom w:val="single" w:sz="4" w:space="0" w:color="000000"/>
              <w:right w:val="single" w:sz="4" w:space="0" w:color="000000"/>
            </w:tcBorders>
            <w:noWrap/>
            <w:vAlign w:val="center"/>
          </w:tcPr>
          <w:p w14:paraId="36066776"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20</w:t>
            </w:r>
          </w:p>
        </w:tc>
        <w:tc>
          <w:tcPr>
            <w:tcW w:w="3365" w:type="dxa"/>
            <w:tcBorders>
              <w:top w:val="single" w:sz="4" w:space="0" w:color="000000"/>
              <w:left w:val="nil"/>
              <w:bottom w:val="single" w:sz="4" w:space="0" w:color="000000"/>
              <w:right w:val="single" w:sz="4" w:space="0" w:color="000000"/>
            </w:tcBorders>
            <w:noWrap/>
          </w:tcPr>
          <w:p w14:paraId="2EBBE10D"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兴银理财</w:t>
            </w:r>
          </w:p>
        </w:tc>
      </w:tr>
      <w:tr w:rsidR="00D95727" w14:paraId="140AFE77"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64E18836"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9</w:t>
            </w:r>
          </w:p>
        </w:tc>
        <w:tc>
          <w:tcPr>
            <w:tcW w:w="3150" w:type="dxa"/>
            <w:tcBorders>
              <w:top w:val="single" w:sz="4" w:space="0" w:color="000000"/>
              <w:left w:val="nil"/>
              <w:bottom w:val="single" w:sz="4" w:space="0" w:color="000000"/>
              <w:right w:val="single" w:sz="4" w:space="0" w:color="000000"/>
            </w:tcBorders>
            <w:noWrap/>
          </w:tcPr>
          <w:p w14:paraId="3B3363A6"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广发基金</w:t>
            </w:r>
          </w:p>
        </w:tc>
        <w:tc>
          <w:tcPr>
            <w:tcW w:w="1006" w:type="dxa"/>
            <w:tcBorders>
              <w:top w:val="single" w:sz="4" w:space="0" w:color="000000"/>
              <w:left w:val="nil"/>
              <w:bottom w:val="single" w:sz="4" w:space="0" w:color="000000"/>
              <w:right w:val="single" w:sz="4" w:space="0" w:color="000000"/>
            </w:tcBorders>
            <w:noWrap/>
            <w:vAlign w:val="center"/>
          </w:tcPr>
          <w:p w14:paraId="3D829D97"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21</w:t>
            </w:r>
          </w:p>
        </w:tc>
        <w:tc>
          <w:tcPr>
            <w:tcW w:w="3365" w:type="dxa"/>
            <w:tcBorders>
              <w:top w:val="single" w:sz="4" w:space="0" w:color="000000"/>
              <w:left w:val="nil"/>
              <w:bottom w:val="single" w:sz="4" w:space="0" w:color="000000"/>
              <w:right w:val="single" w:sz="4" w:space="0" w:color="000000"/>
            </w:tcBorders>
            <w:noWrap/>
          </w:tcPr>
          <w:p w14:paraId="56E46BDE"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银河证券</w:t>
            </w:r>
          </w:p>
        </w:tc>
      </w:tr>
      <w:tr w:rsidR="00D95727" w14:paraId="32D7D383"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04D0D468" w14:textId="77777777" w:rsidR="00D95727" w:rsidRDefault="00C8757C">
            <w:pPr>
              <w:widowControl/>
              <w:jc w:val="center"/>
              <w:rPr>
                <w:rFonts w:ascii="楷体" w:eastAsia="楷体" w:hAnsi="楷体" w:cs="宋体"/>
                <w:color w:val="000000"/>
                <w:kern w:val="0"/>
                <w:sz w:val="22"/>
                <w:szCs w:val="22"/>
              </w:rPr>
            </w:pPr>
            <w:r>
              <w:rPr>
                <w:rFonts w:ascii="楷体" w:eastAsia="楷体" w:hAnsi="楷体" w:hint="eastAsia"/>
                <w:color w:val="000000"/>
                <w:sz w:val="22"/>
                <w:szCs w:val="22"/>
              </w:rPr>
              <w:t>10</w:t>
            </w:r>
          </w:p>
        </w:tc>
        <w:tc>
          <w:tcPr>
            <w:tcW w:w="3150" w:type="dxa"/>
            <w:tcBorders>
              <w:top w:val="single" w:sz="4" w:space="0" w:color="000000"/>
              <w:left w:val="nil"/>
              <w:bottom w:val="single" w:sz="4" w:space="0" w:color="000000"/>
              <w:right w:val="single" w:sz="4" w:space="0" w:color="000000"/>
            </w:tcBorders>
            <w:noWrap/>
          </w:tcPr>
          <w:p w14:paraId="5A713D98"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红土创新基金</w:t>
            </w:r>
          </w:p>
        </w:tc>
        <w:tc>
          <w:tcPr>
            <w:tcW w:w="1006" w:type="dxa"/>
            <w:tcBorders>
              <w:top w:val="single" w:sz="4" w:space="0" w:color="000000"/>
              <w:left w:val="nil"/>
              <w:bottom w:val="single" w:sz="4" w:space="0" w:color="000000"/>
              <w:right w:val="single" w:sz="4" w:space="0" w:color="000000"/>
            </w:tcBorders>
            <w:noWrap/>
            <w:vAlign w:val="center"/>
          </w:tcPr>
          <w:p w14:paraId="4554E9AD" w14:textId="77777777" w:rsidR="00D95727" w:rsidRDefault="00C8757C">
            <w:pPr>
              <w:widowControl/>
              <w:jc w:val="center"/>
              <w:textAlignment w:val="center"/>
              <w:rPr>
                <w:rFonts w:ascii="楷体" w:eastAsia="楷体" w:hAnsi="楷体" w:cs="宋体"/>
                <w:color w:val="000000"/>
                <w:kern w:val="0"/>
                <w:sz w:val="22"/>
                <w:szCs w:val="22"/>
              </w:rPr>
            </w:pPr>
            <w:r>
              <w:rPr>
                <w:rFonts w:ascii="楷体" w:eastAsia="楷体" w:hAnsi="楷体" w:cs="楷体" w:hint="eastAsia"/>
                <w:color w:val="000000"/>
                <w:kern w:val="0"/>
                <w:sz w:val="22"/>
                <w:szCs w:val="22"/>
                <w:lang w:bidi="ar"/>
              </w:rPr>
              <w:t>22</w:t>
            </w:r>
          </w:p>
        </w:tc>
        <w:tc>
          <w:tcPr>
            <w:tcW w:w="3365" w:type="dxa"/>
            <w:tcBorders>
              <w:top w:val="single" w:sz="4" w:space="0" w:color="000000"/>
              <w:left w:val="nil"/>
              <w:bottom w:val="single" w:sz="4" w:space="0" w:color="000000"/>
              <w:right w:val="single" w:sz="4" w:space="0" w:color="000000"/>
            </w:tcBorders>
            <w:noWrap/>
          </w:tcPr>
          <w:p w14:paraId="65957C8B" w14:textId="77777777" w:rsidR="00D95727" w:rsidRDefault="00C8757C">
            <w:pPr>
              <w:widowControl/>
              <w:jc w:val="left"/>
              <w:textAlignment w:val="top"/>
              <w:rPr>
                <w:rFonts w:ascii="楷体" w:eastAsia="楷体" w:hAnsi="楷体" w:cs="宋体"/>
                <w:color w:val="000000"/>
                <w:kern w:val="0"/>
                <w:sz w:val="22"/>
                <w:szCs w:val="22"/>
              </w:rPr>
            </w:pPr>
            <w:r>
              <w:rPr>
                <w:rFonts w:ascii="楷体" w:eastAsia="楷体" w:hAnsi="楷体" w:cs="楷体" w:hint="eastAsia"/>
                <w:color w:val="000000"/>
                <w:kern w:val="0"/>
                <w:szCs w:val="21"/>
                <w:lang w:bidi="ar"/>
              </w:rPr>
              <w:t>长城基金</w:t>
            </w:r>
          </w:p>
        </w:tc>
      </w:tr>
      <w:tr w:rsidR="00D95727" w14:paraId="12AB010A"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09F83636" w14:textId="77777777" w:rsidR="00D95727" w:rsidRDefault="00C8757C">
            <w:pPr>
              <w:widowControl/>
              <w:jc w:val="center"/>
              <w:rPr>
                <w:rFonts w:ascii="楷体" w:eastAsia="楷体" w:hAnsi="楷体"/>
                <w:color w:val="000000"/>
                <w:sz w:val="22"/>
                <w:szCs w:val="22"/>
              </w:rPr>
            </w:pPr>
            <w:r>
              <w:rPr>
                <w:rFonts w:ascii="楷体" w:eastAsia="楷体" w:hAnsi="楷体" w:hint="eastAsia"/>
                <w:color w:val="000000"/>
                <w:sz w:val="22"/>
                <w:szCs w:val="22"/>
              </w:rPr>
              <w:t>11</w:t>
            </w:r>
          </w:p>
        </w:tc>
        <w:tc>
          <w:tcPr>
            <w:tcW w:w="3150" w:type="dxa"/>
            <w:tcBorders>
              <w:top w:val="single" w:sz="4" w:space="0" w:color="000000"/>
              <w:left w:val="nil"/>
              <w:bottom w:val="single" w:sz="4" w:space="0" w:color="000000"/>
              <w:right w:val="single" w:sz="4" w:space="0" w:color="000000"/>
            </w:tcBorders>
            <w:noWrap/>
          </w:tcPr>
          <w:p w14:paraId="4FF955A8" w14:textId="77777777" w:rsidR="00D95727" w:rsidRDefault="00C8757C">
            <w:pPr>
              <w:widowControl/>
              <w:jc w:val="left"/>
              <w:textAlignment w:val="top"/>
              <w:rPr>
                <w:rFonts w:ascii="楷体" w:eastAsia="楷体" w:hAnsi="楷体"/>
              </w:rPr>
            </w:pPr>
            <w:r>
              <w:rPr>
                <w:rFonts w:ascii="楷体" w:eastAsia="楷体" w:hAnsi="楷体" w:cs="楷体" w:hint="eastAsia"/>
                <w:color w:val="000000"/>
                <w:kern w:val="0"/>
                <w:szCs w:val="21"/>
                <w:lang w:bidi="ar"/>
              </w:rPr>
              <w:t>汇丰晋信</w:t>
            </w:r>
          </w:p>
        </w:tc>
        <w:tc>
          <w:tcPr>
            <w:tcW w:w="1006" w:type="dxa"/>
            <w:tcBorders>
              <w:top w:val="single" w:sz="4" w:space="0" w:color="000000"/>
              <w:left w:val="nil"/>
              <w:bottom w:val="single" w:sz="4" w:space="0" w:color="000000"/>
              <w:right w:val="single" w:sz="4" w:space="0" w:color="000000"/>
            </w:tcBorders>
            <w:noWrap/>
            <w:vAlign w:val="center"/>
          </w:tcPr>
          <w:p w14:paraId="31EA12B9" w14:textId="77777777" w:rsidR="00D95727" w:rsidRDefault="00C8757C">
            <w:pPr>
              <w:widowControl/>
              <w:jc w:val="center"/>
              <w:textAlignment w:val="center"/>
              <w:rPr>
                <w:rFonts w:ascii="楷体" w:eastAsia="楷体" w:hAnsi="楷体" w:cs="宋体"/>
                <w:color w:val="000000"/>
                <w:sz w:val="22"/>
                <w:szCs w:val="22"/>
              </w:rPr>
            </w:pPr>
            <w:r>
              <w:rPr>
                <w:rFonts w:ascii="楷体" w:eastAsia="楷体" w:hAnsi="楷体" w:cs="楷体" w:hint="eastAsia"/>
                <w:color w:val="000000"/>
                <w:kern w:val="0"/>
                <w:sz w:val="22"/>
                <w:szCs w:val="22"/>
                <w:lang w:bidi="ar"/>
              </w:rPr>
              <w:t>23</w:t>
            </w:r>
          </w:p>
        </w:tc>
        <w:tc>
          <w:tcPr>
            <w:tcW w:w="3365" w:type="dxa"/>
            <w:tcBorders>
              <w:top w:val="single" w:sz="4" w:space="0" w:color="000000"/>
              <w:left w:val="nil"/>
              <w:bottom w:val="single" w:sz="4" w:space="0" w:color="000000"/>
              <w:right w:val="single" w:sz="4" w:space="0" w:color="000000"/>
            </w:tcBorders>
            <w:noWrap/>
          </w:tcPr>
          <w:p w14:paraId="0E8C0D08" w14:textId="77777777" w:rsidR="00D95727" w:rsidRDefault="00C8757C">
            <w:pPr>
              <w:widowControl/>
              <w:jc w:val="left"/>
              <w:textAlignment w:val="top"/>
              <w:rPr>
                <w:rFonts w:ascii="楷体" w:eastAsia="楷体" w:hAnsi="楷体"/>
              </w:rPr>
            </w:pPr>
            <w:r>
              <w:rPr>
                <w:rFonts w:ascii="楷体" w:eastAsia="楷体" w:hAnsi="楷体" w:cs="楷体" w:hint="eastAsia"/>
                <w:color w:val="000000"/>
                <w:kern w:val="0"/>
                <w:szCs w:val="21"/>
                <w:lang w:bidi="ar"/>
              </w:rPr>
              <w:t>中信保诚基金</w:t>
            </w:r>
          </w:p>
        </w:tc>
      </w:tr>
      <w:tr w:rsidR="00D95727" w14:paraId="5A4AA505" w14:textId="77777777">
        <w:trPr>
          <w:trHeight w:val="280"/>
        </w:trPr>
        <w:tc>
          <w:tcPr>
            <w:tcW w:w="590" w:type="pct"/>
            <w:tcBorders>
              <w:top w:val="single" w:sz="4" w:space="0" w:color="000000"/>
              <w:left w:val="single" w:sz="4" w:space="0" w:color="000000"/>
              <w:bottom w:val="single" w:sz="4" w:space="0" w:color="000000"/>
              <w:right w:val="single" w:sz="4" w:space="0" w:color="000000"/>
            </w:tcBorders>
            <w:noWrap/>
            <w:vAlign w:val="center"/>
          </w:tcPr>
          <w:p w14:paraId="5E327472" w14:textId="77777777" w:rsidR="00D95727" w:rsidRDefault="00C8757C">
            <w:pPr>
              <w:widowControl/>
              <w:jc w:val="center"/>
              <w:rPr>
                <w:rFonts w:ascii="楷体" w:eastAsia="楷体" w:hAnsi="楷体"/>
                <w:color w:val="000000"/>
                <w:sz w:val="22"/>
                <w:szCs w:val="22"/>
              </w:rPr>
            </w:pPr>
            <w:r>
              <w:rPr>
                <w:rFonts w:ascii="楷体" w:eastAsia="楷体" w:hAnsi="楷体" w:hint="eastAsia"/>
                <w:color w:val="000000"/>
                <w:sz w:val="22"/>
                <w:szCs w:val="22"/>
              </w:rPr>
              <w:t>12</w:t>
            </w:r>
          </w:p>
        </w:tc>
        <w:tc>
          <w:tcPr>
            <w:tcW w:w="3150" w:type="dxa"/>
            <w:tcBorders>
              <w:top w:val="single" w:sz="4" w:space="0" w:color="000000"/>
              <w:left w:val="nil"/>
              <w:bottom w:val="single" w:sz="4" w:space="0" w:color="000000"/>
              <w:right w:val="single" w:sz="4" w:space="0" w:color="000000"/>
            </w:tcBorders>
            <w:noWrap/>
          </w:tcPr>
          <w:p w14:paraId="6C0840F8" w14:textId="77777777" w:rsidR="00D95727" w:rsidRDefault="00C8757C">
            <w:pPr>
              <w:widowControl/>
              <w:jc w:val="left"/>
              <w:textAlignment w:val="top"/>
              <w:rPr>
                <w:rFonts w:ascii="楷体" w:eastAsia="楷体" w:hAnsi="楷体"/>
              </w:rPr>
            </w:pPr>
            <w:r>
              <w:rPr>
                <w:rFonts w:ascii="楷体" w:eastAsia="楷体" w:hAnsi="楷体" w:cs="楷体" w:hint="eastAsia"/>
                <w:color w:val="000000"/>
                <w:kern w:val="0"/>
                <w:szCs w:val="21"/>
                <w:lang w:bidi="ar"/>
              </w:rPr>
              <w:t>惠升基金</w:t>
            </w:r>
          </w:p>
        </w:tc>
        <w:tc>
          <w:tcPr>
            <w:tcW w:w="1006" w:type="dxa"/>
            <w:tcBorders>
              <w:top w:val="single" w:sz="4" w:space="0" w:color="000000"/>
              <w:left w:val="nil"/>
              <w:bottom w:val="single" w:sz="4" w:space="0" w:color="000000"/>
              <w:right w:val="single" w:sz="4" w:space="0" w:color="000000"/>
            </w:tcBorders>
            <w:noWrap/>
            <w:vAlign w:val="center"/>
          </w:tcPr>
          <w:p w14:paraId="36C589D2" w14:textId="77777777" w:rsidR="00D95727" w:rsidRDefault="00C8757C">
            <w:pPr>
              <w:widowControl/>
              <w:jc w:val="center"/>
              <w:textAlignment w:val="center"/>
              <w:rPr>
                <w:rFonts w:ascii="楷体" w:eastAsia="楷体" w:hAnsi="楷体" w:cs="宋体"/>
                <w:color w:val="000000"/>
                <w:sz w:val="22"/>
                <w:szCs w:val="22"/>
              </w:rPr>
            </w:pPr>
            <w:r>
              <w:rPr>
                <w:rFonts w:ascii="楷体" w:eastAsia="楷体" w:hAnsi="楷体" w:cs="楷体" w:hint="eastAsia"/>
                <w:color w:val="000000"/>
                <w:kern w:val="0"/>
                <w:sz w:val="22"/>
                <w:szCs w:val="22"/>
                <w:lang w:bidi="ar"/>
              </w:rPr>
              <w:t>24</w:t>
            </w:r>
          </w:p>
        </w:tc>
        <w:tc>
          <w:tcPr>
            <w:tcW w:w="3365" w:type="dxa"/>
            <w:tcBorders>
              <w:top w:val="single" w:sz="4" w:space="0" w:color="000000"/>
              <w:left w:val="nil"/>
              <w:bottom w:val="single" w:sz="4" w:space="0" w:color="000000"/>
              <w:right w:val="single" w:sz="4" w:space="0" w:color="000000"/>
            </w:tcBorders>
            <w:noWrap/>
          </w:tcPr>
          <w:p w14:paraId="40E135F8" w14:textId="77777777" w:rsidR="00D95727" w:rsidRDefault="00C8757C">
            <w:pPr>
              <w:widowControl/>
              <w:jc w:val="left"/>
              <w:textAlignment w:val="top"/>
              <w:rPr>
                <w:rFonts w:ascii="楷体" w:eastAsia="楷体" w:hAnsi="楷体"/>
              </w:rPr>
            </w:pPr>
            <w:r>
              <w:rPr>
                <w:rFonts w:ascii="楷体" w:eastAsia="楷体" w:hAnsi="楷体" w:cs="楷体" w:hint="eastAsia"/>
                <w:color w:val="000000"/>
                <w:kern w:val="0"/>
                <w:szCs w:val="21"/>
                <w:lang w:bidi="ar"/>
              </w:rPr>
              <w:t>中信建投证券</w:t>
            </w:r>
          </w:p>
        </w:tc>
      </w:tr>
    </w:tbl>
    <w:p w14:paraId="08255024" w14:textId="77777777" w:rsidR="00D95727" w:rsidRDefault="00D95727">
      <w:pPr>
        <w:widowControl/>
        <w:jc w:val="left"/>
        <w:rPr>
          <w:b/>
          <w:sz w:val="24"/>
        </w:rPr>
      </w:pPr>
    </w:p>
    <w:sectPr w:rsidR="00D95727">
      <w:footerReference w:type="default" r:id="rId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E042B" w14:textId="77777777" w:rsidR="00BA2604" w:rsidRDefault="00BA2604">
      <w:r>
        <w:separator/>
      </w:r>
    </w:p>
  </w:endnote>
  <w:endnote w:type="continuationSeparator" w:id="0">
    <w:p w14:paraId="664B1006" w14:textId="77777777" w:rsidR="00BA2604" w:rsidRDefault="00BA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A7CD" w14:textId="77777777" w:rsidR="00D95727" w:rsidRDefault="00D95727">
    <w:pPr>
      <w:pStyle w:val="a8"/>
    </w:pPr>
  </w:p>
  <w:p w14:paraId="62B21A8B" w14:textId="77777777" w:rsidR="00D95727" w:rsidRDefault="00D9572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E2C42" w14:textId="77777777" w:rsidR="00BA2604" w:rsidRDefault="00BA2604">
      <w:r>
        <w:separator/>
      </w:r>
    </w:p>
  </w:footnote>
  <w:footnote w:type="continuationSeparator" w:id="0">
    <w:p w14:paraId="41311628" w14:textId="77777777" w:rsidR="00BA2604" w:rsidRDefault="00BA26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U4N2UwYmRiYjMzNGZhNWIxNTdlODQxZTRlNzBmN2YifQ=="/>
  </w:docVars>
  <w:rsids>
    <w:rsidRoot w:val="008D5491"/>
    <w:rsid w:val="000047B9"/>
    <w:rsid w:val="0000734D"/>
    <w:rsid w:val="00010D24"/>
    <w:rsid w:val="0001265F"/>
    <w:rsid w:val="000128D0"/>
    <w:rsid w:val="00013934"/>
    <w:rsid w:val="000151E0"/>
    <w:rsid w:val="00016A35"/>
    <w:rsid w:val="00017DAD"/>
    <w:rsid w:val="00020D06"/>
    <w:rsid w:val="00021EC6"/>
    <w:rsid w:val="000228C6"/>
    <w:rsid w:val="00022C29"/>
    <w:rsid w:val="00023EB9"/>
    <w:rsid w:val="0002765E"/>
    <w:rsid w:val="0003029C"/>
    <w:rsid w:val="00031606"/>
    <w:rsid w:val="00035660"/>
    <w:rsid w:val="00035965"/>
    <w:rsid w:val="0003672C"/>
    <w:rsid w:val="00037F57"/>
    <w:rsid w:val="000405A3"/>
    <w:rsid w:val="00040A0E"/>
    <w:rsid w:val="0004258A"/>
    <w:rsid w:val="00042EA6"/>
    <w:rsid w:val="000458D6"/>
    <w:rsid w:val="00045CCC"/>
    <w:rsid w:val="00046644"/>
    <w:rsid w:val="000468A3"/>
    <w:rsid w:val="00046995"/>
    <w:rsid w:val="00046E7E"/>
    <w:rsid w:val="000476B7"/>
    <w:rsid w:val="000506BF"/>
    <w:rsid w:val="00052F09"/>
    <w:rsid w:val="000533ED"/>
    <w:rsid w:val="00053A8D"/>
    <w:rsid w:val="0005480F"/>
    <w:rsid w:val="00054DC2"/>
    <w:rsid w:val="00055D56"/>
    <w:rsid w:val="00056256"/>
    <w:rsid w:val="00056970"/>
    <w:rsid w:val="00056A4A"/>
    <w:rsid w:val="00057889"/>
    <w:rsid w:val="00060B13"/>
    <w:rsid w:val="000620C0"/>
    <w:rsid w:val="000620DB"/>
    <w:rsid w:val="00062316"/>
    <w:rsid w:val="00064E4D"/>
    <w:rsid w:val="000657BC"/>
    <w:rsid w:val="000657DC"/>
    <w:rsid w:val="0006583F"/>
    <w:rsid w:val="000662E3"/>
    <w:rsid w:val="00066B88"/>
    <w:rsid w:val="00067430"/>
    <w:rsid w:val="000702B9"/>
    <w:rsid w:val="000733AA"/>
    <w:rsid w:val="000734ED"/>
    <w:rsid w:val="00074AD6"/>
    <w:rsid w:val="00074EA6"/>
    <w:rsid w:val="00075E68"/>
    <w:rsid w:val="000760E6"/>
    <w:rsid w:val="000776D9"/>
    <w:rsid w:val="00077DE7"/>
    <w:rsid w:val="00083292"/>
    <w:rsid w:val="00083D4B"/>
    <w:rsid w:val="00083E63"/>
    <w:rsid w:val="0008592C"/>
    <w:rsid w:val="00085DA7"/>
    <w:rsid w:val="00085F84"/>
    <w:rsid w:val="00086215"/>
    <w:rsid w:val="000864FC"/>
    <w:rsid w:val="000866F4"/>
    <w:rsid w:val="00087D94"/>
    <w:rsid w:val="00090613"/>
    <w:rsid w:val="000964B8"/>
    <w:rsid w:val="000A1587"/>
    <w:rsid w:val="000A3B49"/>
    <w:rsid w:val="000A54C3"/>
    <w:rsid w:val="000A6C75"/>
    <w:rsid w:val="000A7120"/>
    <w:rsid w:val="000A7C7A"/>
    <w:rsid w:val="000B2930"/>
    <w:rsid w:val="000B3921"/>
    <w:rsid w:val="000B47EB"/>
    <w:rsid w:val="000B6D47"/>
    <w:rsid w:val="000C11B0"/>
    <w:rsid w:val="000C1371"/>
    <w:rsid w:val="000C26F4"/>
    <w:rsid w:val="000C38CA"/>
    <w:rsid w:val="000C392A"/>
    <w:rsid w:val="000C461E"/>
    <w:rsid w:val="000C5A9A"/>
    <w:rsid w:val="000D0621"/>
    <w:rsid w:val="000D1B77"/>
    <w:rsid w:val="000D2089"/>
    <w:rsid w:val="000D3408"/>
    <w:rsid w:val="000D4AEF"/>
    <w:rsid w:val="000D5657"/>
    <w:rsid w:val="000D5C05"/>
    <w:rsid w:val="000E05B3"/>
    <w:rsid w:val="000E31F9"/>
    <w:rsid w:val="000E35AE"/>
    <w:rsid w:val="000E366F"/>
    <w:rsid w:val="000E3CD4"/>
    <w:rsid w:val="000E484D"/>
    <w:rsid w:val="000E641C"/>
    <w:rsid w:val="000E65F5"/>
    <w:rsid w:val="000E6817"/>
    <w:rsid w:val="000E75E7"/>
    <w:rsid w:val="000F0604"/>
    <w:rsid w:val="000F0DDE"/>
    <w:rsid w:val="000F1B3F"/>
    <w:rsid w:val="000F2651"/>
    <w:rsid w:val="000F278E"/>
    <w:rsid w:val="000F2D23"/>
    <w:rsid w:val="000F3C61"/>
    <w:rsid w:val="000F59DD"/>
    <w:rsid w:val="00100628"/>
    <w:rsid w:val="001013E2"/>
    <w:rsid w:val="00102CF7"/>
    <w:rsid w:val="00104419"/>
    <w:rsid w:val="0010460F"/>
    <w:rsid w:val="00105B65"/>
    <w:rsid w:val="0010705A"/>
    <w:rsid w:val="0010706B"/>
    <w:rsid w:val="00107139"/>
    <w:rsid w:val="00107701"/>
    <w:rsid w:val="0011134F"/>
    <w:rsid w:val="00113BEC"/>
    <w:rsid w:val="001140DF"/>
    <w:rsid w:val="0011540C"/>
    <w:rsid w:val="00117259"/>
    <w:rsid w:val="00117BE6"/>
    <w:rsid w:val="0012165B"/>
    <w:rsid w:val="0012392E"/>
    <w:rsid w:val="00123DFE"/>
    <w:rsid w:val="00125602"/>
    <w:rsid w:val="00130D9E"/>
    <w:rsid w:val="00134E3F"/>
    <w:rsid w:val="00136991"/>
    <w:rsid w:val="00141859"/>
    <w:rsid w:val="00142A00"/>
    <w:rsid w:val="00144764"/>
    <w:rsid w:val="001465D5"/>
    <w:rsid w:val="0014675B"/>
    <w:rsid w:val="001469A8"/>
    <w:rsid w:val="001532DD"/>
    <w:rsid w:val="00155763"/>
    <w:rsid w:val="00155842"/>
    <w:rsid w:val="001561F4"/>
    <w:rsid w:val="00156888"/>
    <w:rsid w:val="00157FD8"/>
    <w:rsid w:val="0016122F"/>
    <w:rsid w:val="00161888"/>
    <w:rsid w:val="00161C13"/>
    <w:rsid w:val="00162302"/>
    <w:rsid w:val="00163868"/>
    <w:rsid w:val="001638B7"/>
    <w:rsid w:val="00164329"/>
    <w:rsid w:val="00164C31"/>
    <w:rsid w:val="00165484"/>
    <w:rsid w:val="00166A11"/>
    <w:rsid w:val="00170FB3"/>
    <w:rsid w:val="00171A62"/>
    <w:rsid w:val="00172EDB"/>
    <w:rsid w:val="001730AF"/>
    <w:rsid w:val="001749F0"/>
    <w:rsid w:val="001771B3"/>
    <w:rsid w:val="0018013C"/>
    <w:rsid w:val="00182462"/>
    <w:rsid w:val="00182F54"/>
    <w:rsid w:val="00183247"/>
    <w:rsid w:val="001834D5"/>
    <w:rsid w:val="00184751"/>
    <w:rsid w:val="00185E78"/>
    <w:rsid w:val="0018607F"/>
    <w:rsid w:val="00187127"/>
    <w:rsid w:val="001873B7"/>
    <w:rsid w:val="001900D5"/>
    <w:rsid w:val="0019029A"/>
    <w:rsid w:val="0019036B"/>
    <w:rsid w:val="001914C9"/>
    <w:rsid w:val="001916AD"/>
    <w:rsid w:val="0019194B"/>
    <w:rsid w:val="00193ABF"/>
    <w:rsid w:val="00195057"/>
    <w:rsid w:val="00195BBA"/>
    <w:rsid w:val="00197B14"/>
    <w:rsid w:val="001A0846"/>
    <w:rsid w:val="001A0878"/>
    <w:rsid w:val="001A1C4B"/>
    <w:rsid w:val="001A45AB"/>
    <w:rsid w:val="001A4E93"/>
    <w:rsid w:val="001A6170"/>
    <w:rsid w:val="001A6231"/>
    <w:rsid w:val="001A7FEB"/>
    <w:rsid w:val="001B0D52"/>
    <w:rsid w:val="001B4E4F"/>
    <w:rsid w:val="001B5402"/>
    <w:rsid w:val="001B66D4"/>
    <w:rsid w:val="001B6799"/>
    <w:rsid w:val="001B7855"/>
    <w:rsid w:val="001B7DE5"/>
    <w:rsid w:val="001C0692"/>
    <w:rsid w:val="001C0806"/>
    <w:rsid w:val="001C0D2B"/>
    <w:rsid w:val="001C2AF1"/>
    <w:rsid w:val="001C2CA9"/>
    <w:rsid w:val="001C414F"/>
    <w:rsid w:val="001C4A26"/>
    <w:rsid w:val="001C7A24"/>
    <w:rsid w:val="001D0E8A"/>
    <w:rsid w:val="001D2E07"/>
    <w:rsid w:val="001D5BDB"/>
    <w:rsid w:val="001D5EBC"/>
    <w:rsid w:val="001E028B"/>
    <w:rsid w:val="001E0E38"/>
    <w:rsid w:val="001E1371"/>
    <w:rsid w:val="001E14F5"/>
    <w:rsid w:val="001E3FB9"/>
    <w:rsid w:val="001E5E85"/>
    <w:rsid w:val="001F2373"/>
    <w:rsid w:val="001F2E16"/>
    <w:rsid w:val="001F344A"/>
    <w:rsid w:val="001F6DE3"/>
    <w:rsid w:val="001F6E1A"/>
    <w:rsid w:val="0020132E"/>
    <w:rsid w:val="00201474"/>
    <w:rsid w:val="0020238B"/>
    <w:rsid w:val="002033C0"/>
    <w:rsid w:val="00206FB9"/>
    <w:rsid w:val="0020726B"/>
    <w:rsid w:val="00212B05"/>
    <w:rsid w:val="00214D8A"/>
    <w:rsid w:val="0021627C"/>
    <w:rsid w:val="002162C0"/>
    <w:rsid w:val="00222E65"/>
    <w:rsid w:val="002244DC"/>
    <w:rsid w:val="00225C40"/>
    <w:rsid w:val="00226289"/>
    <w:rsid w:val="00226B38"/>
    <w:rsid w:val="0022729A"/>
    <w:rsid w:val="002302BA"/>
    <w:rsid w:val="00232004"/>
    <w:rsid w:val="002326C5"/>
    <w:rsid w:val="00233645"/>
    <w:rsid w:val="0023418B"/>
    <w:rsid w:val="002349C9"/>
    <w:rsid w:val="0023576D"/>
    <w:rsid w:val="00236262"/>
    <w:rsid w:val="00240FB5"/>
    <w:rsid w:val="002417FD"/>
    <w:rsid w:val="00242F78"/>
    <w:rsid w:val="002435A8"/>
    <w:rsid w:val="0024411A"/>
    <w:rsid w:val="00247084"/>
    <w:rsid w:val="00247908"/>
    <w:rsid w:val="0025122E"/>
    <w:rsid w:val="0025169E"/>
    <w:rsid w:val="002533AC"/>
    <w:rsid w:val="0025430D"/>
    <w:rsid w:val="0025632B"/>
    <w:rsid w:val="00257E9C"/>
    <w:rsid w:val="00257ECB"/>
    <w:rsid w:val="00261103"/>
    <w:rsid w:val="002625BE"/>
    <w:rsid w:val="00263B17"/>
    <w:rsid w:val="002678A1"/>
    <w:rsid w:val="002703A0"/>
    <w:rsid w:val="00272291"/>
    <w:rsid w:val="0027326F"/>
    <w:rsid w:val="00274475"/>
    <w:rsid w:val="002768EC"/>
    <w:rsid w:val="00276ECC"/>
    <w:rsid w:val="002815BB"/>
    <w:rsid w:val="002822F3"/>
    <w:rsid w:val="002824B0"/>
    <w:rsid w:val="00283AF1"/>
    <w:rsid w:val="002904CF"/>
    <w:rsid w:val="00295A63"/>
    <w:rsid w:val="002974FD"/>
    <w:rsid w:val="002A015E"/>
    <w:rsid w:val="002A3E14"/>
    <w:rsid w:val="002A4737"/>
    <w:rsid w:val="002A487A"/>
    <w:rsid w:val="002A4E1D"/>
    <w:rsid w:val="002A6796"/>
    <w:rsid w:val="002A67B8"/>
    <w:rsid w:val="002A7157"/>
    <w:rsid w:val="002B02EE"/>
    <w:rsid w:val="002B08B4"/>
    <w:rsid w:val="002B1914"/>
    <w:rsid w:val="002B36EE"/>
    <w:rsid w:val="002B51AE"/>
    <w:rsid w:val="002B56AE"/>
    <w:rsid w:val="002B5C19"/>
    <w:rsid w:val="002B5D1A"/>
    <w:rsid w:val="002B63EC"/>
    <w:rsid w:val="002B6742"/>
    <w:rsid w:val="002B7D5F"/>
    <w:rsid w:val="002C22C7"/>
    <w:rsid w:val="002C35B9"/>
    <w:rsid w:val="002C4E60"/>
    <w:rsid w:val="002C5395"/>
    <w:rsid w:val="002C6218"/>
    <w:rsid w:val="002C65E3"/>
    <w:rsid w:val="002C71B3"/>
    <w:rsid w:val="002C7FE1"/>
    <w:rsid w:val="002D08F2"/>
    <w:rsid w:val="002D1DE5"/>
    <w:rsid w:val="002D3B91"/>
    <w:rsid w:val="002D425A"/>
    <w:rsid w:val="002D4761"/>
    <w:rsid w:val="002D5609"/>
    <w:rsid w:val="002D56D7"/>
    <w:rsid w:val="002D726D"/>
    <w:rsid w:val="002E1C53"/>
    <w:rsid w:val="002E2A6C"/>
    <w:rsid w:val="002E5245"/>
    <w:rsid w:val="002E60A9"/>
    <w:rsid w:val="002E764E"/>
    <w:rsid w:val="002E7A68"/>
    <w:rsid w:val="002F1540"/>
    <w:rsid w:val="002F3625"/>
    <w:rsid w:val="002F417D"/>
    <w:rsid w:val="002F4223"/>
    <w:rsid w:val="002F7148"/>
    <w:rsid w:val="003011F5"/>
    <w:rsid w:val="00301884"/>
    <w:rsid w:val="00301B48"/>
    <w:rsid w:val="00301D88"/>
    <w:rsid w:val="00306057"/>
    <w:rsid w:val="003069A5"/>
    <w:rsid w:val="00306CC0"/>
    <w:rsid w:val="003102BA"/>
    <w:rsid w:val="00311A03"/>
    <w:rsid w:val="00313EAE"/>
    <w:rsid w:val="003163FB"/>
    <w:rsid w:val="00320AAE"/>
    <w:rsid w:val="0032300B"/>
    <w:rsid w:val="003237A1"/>
    <w:rsid w:val="00326D52"/>
    <w:rsid w:val="003321E8"/>
    <w:rsid w:val="00332F4D"/>
    <w:rsid w:val="00333091"/>
    <w:rsid w:val="0033453D"/>
    <w:rsid w:val="00336C84"/>
    <w:rsid w:val="00337827"/>
    <w:rsid w:val="00337DC8"/>
    <w:rsid w:val="003400DB"/>
    <w:rsid w:val="003419E1"/>
    <w:rsid w:val="00342065"/>
    <w:rsid w:val="0034270A"/>
    <w:rsid w:val="003447E1"/>
    <w:rsid w:val="00344BD5"/>
    <w:rsid w:val="00345DEE"/>
    <w:rsid w:val="00346152"/>
    <w:rsid w:val="00346E94"/>
    <w:rsid w:val="0035150A"/>
    <w:rsid w:val="0035220C"/>
    <w:rsid w:val="003535B2"/>
    <w:rsid w:val="00355028"/>
    <w:rsid w:val="003564B4"/>
    <w:rsid w:val="003568DB"/>
    <w:rsid w:val="00360444"/>
    <w:rsid w:val="00360D20"/>
    <w:rsid w:val="00362C69"/>
    <w:rsid w:val="00364635"/>
    <w:rsid w:val="00365469"/>
    <w:rsid w:val="0037141E"/>
    <w:rsid w:val="00371B31"/>
    <w:rsid w:val="00373697"/>
    <w:rsid w:val="0037405B"/>
    <w:rsid w:val="00375BC7"/>
    <w:rsid w:val="00376D4E"/>
    <w:rsid w:val="003774D6"/>
    <w:rsid w:val="00380AAF"/>
    <w:rsid w:val="003815D8"/>
    <w:rsid w:val="003828DB"/>
    <w:rsid w:val="00386B1D"/>
    <w:rsid w:val="0038733C"/>
    <w:rsid w:val="00387AE5"/>
    <w:rsid w:val="00390753"/>
    <w:rsid w:val="003925A2"/>
    <w:rsid w:val="00394C8F"/>
    <w:rsid w:val="00397458"/>
    <w:rsid w:val="003A30E3"/>
    <w:rsid w:val="003A3F94"/>
    <w:rsid w:val="003A62F1"/>
    <w:rsid w:val="003A7A68"/>
    <w:rsid w:val="003A7D3D"/>
    <w:rsid w:val="003B2FA6"/>
    <w:rsid w:val="003B325C"/>
    <w:rsid w:val="003B3283"/>
    <w:rsid w:val="003B33A2"/>
    <w:rsid w:val="003B42D2"/>
    <w:rsid w:val="003B460C"/>
    <w:rsid w:val="003B5856"/>
    <w:rsid w:val="003B662B"/>
    <w:rsid w:val="003C2A9B"/>
    <w:rsid w:val="003C4608"/>
    <w:rsid w:val="003C6172"/>
    <w:rsid w:val="003C63DF"/>
    <w:rsid w:val="003C77FF"/>
    <w:rsid w:val="003D0D63"/>
    <w:rsid w:val="003D35D3"/>
    <w:rsid w:val="003D42C2"/>
    <w:rsid w:val="003D4FE7"/>
    <w:rsid w:val="003D57BB"/>
    <w:rsid w:val="003D7831"/>
    <w:rsid w:val="003E088D"/>
    <w:rsid w:val="003E2289"/>
    <w:rsid w:val="003E277C"/>
    <w:rsid w:val="003E41AE"/>
    <w:rsid w:val="003E478D"/>
    <w:rsid w:val="003E5440"/>
    <w:rsid w:val="003E59E5"/>
    <w:rsid w:val="003E5A5B"/>
    <w:rsid w:val="003E6352"/>
    <w:rsid w:val="003E6A20"/>
    <w:rsid w:val="003E7D57"/>
    <w:rsid w:val="003F5D8D"/>
    <w:rsid w:val="003F6913"/>
    <w:rsid w:val="00400AEE"/>
    <w:rsid w:val="0040112B"/>
    <w:rsid w:val="00401C7A"/>
    <w:rsid w:val="0040209E"/>
    <w:rsid w:val="0040236B"/>
    <w:rsid w:val="00404285"/>
    <w:rsid w:val="004060A2"/>
    <w:rsid w:val="00406EA8"/>
    <w:rsid w:val="00410DBA"/>
    <w:rsid w:val="00410F08"/>
    <w:rsid w:val="00411877"/>
    <w:rsid w:val="004149CC"/>
    <w:rsid w:val="00414E25"/>
    <w:rsid w:val="00416344"/>
    <w:rsid w:val="004207D2"/>
    <w:rsid w:val="00421047"/>
    <w:rsid w:val="00423D68"/>
    <w:rsid w:val="00424487"/>
    <w:rsid w:val="004271EE"/>
    <w:rsid w:val="00427B67"/>
    <w:rsid w:val="00427D08"/>
    <w:rsid w:val="004313B6"/>
    <w:rsid w:val="0043185B"/>
    <w:rsid w:val="004333B1"/>
    <w:rsid w:val="00433742"/>
    <w:rsid w:val="004346F2"/>
    <w:rsid w:val="004353E7"/>
    <w:rsid w:val="00435DA3"/>
    <w:rsid w:val="00436A39"/>
    <w:rsid w:val="00436E02"/>
    <w:rsid w:val="004374D0"/>
    <w:rsid w:val="00437B3A"/>
    <w:rsid w:val="00440B6D"/>
    <w:rsid w:val="004414C1"/>
    <w:rsid w:val="00447339"/>
    <w:rsid w:val="00447A3B"/>
    <w:rsid w:val="00450E9C"/>
    <w:rsid w:val="00451125"/>
    <w:rsid w:val="0045174B"/>
    <w:rsid w:val="0045289D"/>
    <w:rsid w:val="00456D60"/>
    <w:rsid w:val="00457A5C"/>
    <w:rsid w:val="00461D77"/>
    <w:rsid w:val="00464896"/>
    <w:rsid w:val="00464C95"/>
    <w:rsid w:val="00465101"/>
    <w:rsid w:val="004654CA"/>
    <w:rsid w:val="00466F1B"/>
    <w:rsid w:val="004700EF"/>
    <w:rsid w:val="004706E1"/>
    <w:rsid w:val="00473CD7"/>
    <w:rsid w:val="004757C9"/>
    <w:rsid w:val="004772C6"/>
    <w:rsid w:val="00477377"/>
    <w:rsid w:val="00480443"/>
    <w:rsid w:val="00480D98"/>
    <w:rsid w:val="00481646"/>
    <w:rsid w:val="0048346D"/>
    <w:rsid w:val="004848C1"/>
    <w:rsid w:val="00486B72"/>
    <w:rsid w:val="00490316"/>
    <w:rsid w:val="004904B8"/>
    <w:rsid w:val="00492518"/>
    <w:rsid w:val="0049390D"/>
    <w:rsid w:val="004A115D"/>
    <w:rsid w:val="004A3138"/>
    <w:rsid w:val="004A524C"/>
    <w:rsid w:val="004A5530"/>
    <w:rsid w:val="004A5C75"/>
    <w:rsid w:val="004B020A"/>
    <w:rsid w:val="004B035B"/>
    <w:rsid w:val="004B048D"/>
    <w:rsid w:val="004B33ED"/>
    <w:rsid w:val="004B477F"/>
    <w:rsid w:val="004B5A0A"/>
    <w:rsid w:val="004B6A57"/>
    <w:rsid w:val="004B6B27"/>
    <w:rsid w:val="004B6DE4"/>
    <w:rsid w:val="004C188B"/>
    <w:rsid w:val="004C1CC2"/>
    <w:rsid w:val="004C29DC"/>
    <w:rsid w:val="004C2BC2"/>
    <w:rsid w:val="004C3904"/>
    <w:rsid w:val="004C3A7C"/>
    <w:rsid w:val="004C3E08"/>
    <w:rsid w:val="004C4D90"/>
    <w:rsid w:val="004C5945"/>
    <w:rsid w:val="004C6554"/>
    <w:rsid w:val="004D0A9B"/>
    <w:rsid w:val="004D14A7"/>
    <w:rsid w:val="004D16C7"/>
    <w:rsid w:val="004D293A"/>
    <w:rsid w:val="004D2C50"/>
    <w:rsid w:val="004D7031"/>
    <w:rsid w:val="004E043E"/>
    <w:rsid w:val="004E1BBC"/>
    <w:rsid w:val="004E1C1B"/>
    <w:rsid w:val="004E1D84"/>
    <w:rsid w:val="004E30E2"/>
    <w:rsid w:val="004E35C4"/>
    <w:rsid w:val="004E3925"/>
    <w:rsid w:val="004E652E"/>
    <w:rsid w:val="004E6DD1"/>
    <w:rsid w:val="004E7410"/>
    <w:rsid w:val="004E74BA"/>
    <w:rsid w:val="004E74C6"/>
    <w:rsid w:val="004F213A"/>
    <w:rsid w:val="004F4112"/>
    <w:rsid w:val="004F4B92"/>
    <w:rsid w:val="004F4C39"/>
    <w:rsid w:val="004F5004"/>
    <w:rsid w:val="004F5182"/>
    <w:rsid w:val="004F709D"/>
    <w:rsid w:val="004F7FAB"/>
    <w:rsid w:val="00501D36"/>
    <w:rsid w:val="0050337B"/>
    <w:rsid w:val="005039F6"/>
    <w:rsid w:val="00503F8D"/>
    <w:rsid w:val="00504328"/>
    <w:rsid w:val="00506116"/>
    <w:rsid w:val="00510442"/>
    <w:rsid w:val="00510A62"/>
    <w:rsid w:val="00511FFB"/>
    <w:rsid w:val="005124D2"/>
    <w:rsid w:val="005127C4"/>
    <w:rsid w:val="00514BD9"/>
    <w:rsid w:val="00515C86"/>
    <w:rsid w:val="00516537"/>
    <w:rsid w:val="00517116"/>
    <w:rsid w:val="00517C2F"/>
    <w:rsid w:val="00517E16"/>
    <w:rsid w:val="00522890"/>
    <w:rsid w:val="00523775"/>
    <w:rsid w:val="0052396B"/>
    <w:rsid w:val="00524746"/>
    <w:rsid w:val="005250D9"/>
    <w:rsid w:val="005257BB"/>
    <w:rsid w:val="005261A9"/>
    <w:rsid w:val="00527472"/>
    <w:rsid w:val="00527856"/>
    <w:rsid w:val="0053019E"/>
    <w:rsid w:val="00530D4C"/>
    <w:rsid w:val="005332F8"/>
    <w:rsid w:val="005350F8"/>
    <w:rsid w:val="0053628D"/>
    <w:rsid w:val="00537760"/>
    <w:rsid w:val="0054018C"/>
    <w:rsid w:val="005448CF"/>
    <w:rsid w:val="00545272"/>
    <w:rsid w:val="005461F2"/>
    <w:rsid w:val="00546BFA"/>
    <w:rsid w:val="00546F11"/>
    <w:rsid w:val="00547060"/>
    <w:rsid w:val="0054735B"/>
    <w:rsid w:val="00547E11"/>
    <w:rsid w:val="005510CF"/>
    <w:rsid w:val="0055165C"/>
    <w:rsid w:val="00552486"/>
    <w:rsid w:val="0055254B"/>
    <w:rsid w:val="005525A8"/>
    <w:rsid w:val="00555835"/>
    <w:rsid w:val="005566D4"/>
    <w:rsid w:val="0055740F"/>
    <w:rsid w:val="00557FC1"/>
    <w:rsid w:val="00560241"/>
    <w:rsid w:val="005610CD"/>
    <w:rsid w:val="00562B25"/>
    <w:rsid w:val="005644B9"/>
    <w:rsid w:val="00564F41"/>
    <w:rsid w:val="005650CB"/>
    <w:rsid w:val="00565E14"/>
    <w:rsid w:val="00566C44"/>
    <w:rsid w:val="00567D27"/>
    <w:rsid w:val="0057099B"/>
    <w:rsid w:val="0057272C"/>
    <w:rsid w:val="0057279D"/>
    <w:rsid w:val="0057286B"/>
    <w:rsid w:val="00572D52"/>
    <w:rsid w:val="0057419D"/>
    <w:rsid w:val="00576E57"/>
    <w:rsid w:val="00577E48"/>
    <w:rsid w:val="00580DD1"/>
    <w:rsid w:val="0058331D"/>
    <w:rsid w:val="0058551A"/>
    <w:rsid w:val="00586FEF"/>
    <w:rsid w:val="00592A8A"/>
    <w:rsid w:val="00597250"/>
    <w:rsid w:val="00597545"/>
    <w:rsid w:val="005A24BE"/>
    <w:rsid w:val="005A32ED"/>
    <w:rsid w:val="005A3EB3"/>
    <w:rsid w:val="005A436D"/>
    <w:rsid w:val="005A541C"/>
    <w:rsid w:val="005B048F"/>
    <w:rsid w:val="005B0B5E"/>
    <w:rsid w:val="005B3FBF"/>
    <w:rsid w:val="005B46A2"/>
    <w:rsid w:val="005B57D0"/>
    <w:rsid w:val="005B7778"/>
    <w:rsid w:val="005C10F1"/>
    <w:rsid w:val="005C4092"/>
    <w:rsid w:val="005C53C8"/>
    <w:rsid w:val="005C5594"/>
    <w:rsid w:val="005C62A0"/>
    <w:rsid w:val="005C6A06"/>
    <w:rsid w:val="005C702B"/>
    <w:rsid w:val="005C776F"/>
    <w:rsid w:val="005D0592"/>
    <w:rsid w:val="005D1CF2"/>
    <w:rsid w:val="005D1E86"/>
    <w:rsid w:val="005D20D6"/>
    <w:rsid w:val="005D2114"/>
    <w:rsid w:val="005D51D5"/>
    <w:rsid w:val="005D5B5F"/>
    <w:rsid w:val="005D72FF"/>
    <w:rsid w:val="005E1403"/>
    <w:rsid w:val="005E51C0"/>
    <w:rsid w:val="005E6BD2"/>
    <w:rsid w:val="005F0A5E"/>
    <w:rsid w:val="005F281E"/>
    <w:rsid w:val="005F3802"/>
    <w:rsid w:val="005F458C"/>
    <w:rsid w:val="005F4749"/>
    <w:rsid w:val="005F4E2B"/>
    <w:rsid w:val="005F5003"/>
    <w:rsid w:val="005F6F10"/>
    <w:rsid w:val="005F7055"/>
    <w:rsid w:val="005F7137"/>
    <w:rsid w:val="0060118A"/>
    <w:rsid w:val="0060304A"/>
    <w:rsid w:val="00603A7B"/>
    <w:rsid w:val="00604FE5"/>
    <w:rsid w:val="0060735D"/>
    <w:rsid w:val="00607E81"/>
    <w:rsid w:val="0061390E"/>
    <w:rsid w:val="00614FDD"/>
    <w:rsid w:val="00616311"/>
    <w:rsid w:val="00617792"/>
    <w:rsid w:val="006179F7"/>
    <w:rsid w:val="00620086"/>
    <w:rsid w:val="006207FA"/>
    <w:rsid w:val="00622B7E"/>
    <w:rsid w:val="0062343F"/>
    <w:rsid w:val="0062477E"/>
    <w:rsid w:val="00624853"/>
    <w:rsid w:val="00624C3E"/>
    <w:rsid w:val="006253FD"/>
    <w:rsid w:val="00625C0C"/>
    <w:rsid w:val="0062669E"/>
    <w:rsid w:val="0063094B"/>
    <w:rsid w:val="006333A7"/>
    <w:rsid w:val="0063378B"/>
    <w:rsid w:val="00634610"/>
    <w:rsid w:val="00634972"/>
    <w:rsid w:val="006350AE"/>
    <w:rsid w:val="00635C2A"/>
    <w:rsid w:val="00636A81"/>
    <w:rsid w:val="0063751E"/>
    <w:rsid w:val="00637983"/>
    <w:rsid w:val="0064094E"/>
    <w:rsid w:val="0064128F"/>
    <w:rsid w:val="0064158E"/>
    <w:rsid w:val="006417AB"/>
    <w:rsid w:val="0064356A"/>
    <w:rsid w:val="00646A2B"/>
    <w:rsid w:val="00646D56"/>
    <w:rsid w:val="00647AD7"/>
    <w:rsid w:val="00652FC1"/>
    <w:rsid w:val="00653501"/>
    <w:rsid w:val="0065365F"/>
    <w:rsid w:val="006550CC"/>
    <w:rsid w:val="00656B76"/>
    <w:rsid w:val="00656E82"/>
    <w:rsid w:val="0066074B"/>
    <w:rsid w:val="00661FB7"/>
    <w:rsid w:val="0066294F"/>
    <w:rsid w:val="00664128"/>
    <w:rsid w:val="006649F6"/>
    <w:rsid w:val="00666EDE"/>
    <w:rsid w:val="00667311"/>
    <w:rsid w:val="00667641"/>
    <w:rsid w:val="006677B9"/>
    <w:rsid w:val="00670157"/>
    <w:rsid w:val="00672D9F"/>
    <w:rsid w:val="00673516"/>
    <w:rsid w:val="00676351"/>
    <w:rsid w:val="00680B4E"/>
    <w:rsid w:val="006823E4"/>
    <w:rsid w:val="00683A15"/>
    <w:rsid w:val="0068428A"/>
    <w:rsid w:val="00684F68"/>
    <w:rsid w:val="006856BD"/>
    <w:rsid w:val="00685D78"/>
    <w:rsid w:val="0068691E"/>
    <w:rsid w:val="00686B29"/>
    <w:rsid w:val="00687249"/>
    <w:rsid w:val="00687A1E"/>
    <w:rsid w:val="00690187"/>
    <w:rsid w:val="00690223"/>
    <w:rsid w:val="00690667"/>
    <w:rsid w:val="006919D6"/>
    <w:rsid w:val="0069513B"/>
    <w:rsid w:val="0069560B"/>
    <w:rsid w:val="006A051D"/>
    <w:rsid w:val="006A127F"/>
    <w:rsid w:val="006A1983"/>
    <w:rsid w:val="006A2E46"/>
    <w:rsid w:val="006A4E5E"/>
    <w:rsid w:val="006A54BD"/>
    <w:rsid w:val="006A7C15"/>
    <w:rsid w:val="006B0D96"/>
    <w:rsid w:val="006B1F24"/>
    <w:rsid w:val="006B2A02"/>
    <w:rsid w:val="006B2FD5"/>
    <w:rsid w:val="006B4F2F"/>
    <w:rsid w:val="006B5D65"/>
    <w:rsid w:val="006B75E9"/>
    <w:rsid w:val="006C0A16"/>
    <w:rsid w:val="006C0AEB"/>
    <w:rsid w:val="006C1009"/>
    <w:rsid w:val="006C23E3"/>
    <w:rsid w:val="006C2BCF"/>
    <w:rsid w:val="006C6272"/>
    <w:rsid w:val="006C753E"/>
    <w:rsid w:val="006D03AF"/>
    <w:rsid w:val="006D0715"/>
    <w:rsid w:val="006D1526"/>
    <w:rsid w:val="006D1B3B"/>
    <w:rsid w:val="006D263D"/>
    <w:rsid w:val="006D457D"/>
    <w:rsid w:val="006D4AE6"/>
    <w:rsid w:val="006D592A"/>
    <w:rsid w:val="006D61C8"/>
    <w:rsid w:val="006D75A4"/>
    <w:rsid w:val="006E0BD6"/>
    <w:rsid w:val="006E23CB"/>
    <w:rsid w:val="006E2CA3"/>
    <w:rsid w:val="006E725D"/>
    <w:rsid w:val="006E7977"/>
    <w:rsid w:val="006F0A7B"/>
    <w:rsid w:val="006F1FF4"/>
    <w:rsid w:val="006F2189"/>
    <w:rsid w:val="006F3521"/>
    <w:rsid w:val="006F3539"/>
    <w:rsid w:val="006F5AA8"/>
    <w:rsid w:val="006F714D"/>
    <w:rsid w:val="007000AB"/>
    <w:rsid w:val="00700536"/>
    <w:rsid w:val="00701700"/>
    <w:rsid w:val="00702929"/>
    <w:rsid w:val="00703036"/>
    <w:rsid w:val="007042BB"/>
    <w:rsid w:val="007050FE"/>
    <w:rsid w:val="00706EF1"/>
    <w:rsid w:val="00710877"/>
    <w:rsid w:val="0071101B"/>
    <w:rsid w:val="007126EF"/>
    <w:rsid w:val="00712B97"/>
    <w:rsid w:val="00715F6C"/>
    <w:rsid w:val="00715FB6"/>
    <w:rsid w:val="007207C7"/>
    <w:rsid w:val="00720AE1"/>
    <w:rsid w:val="00720C34"/>
    <w:rsid w:val="00720F6D"/>
    <w:rsid w:val="00722A9B"/>
    <w:rsid w:val="0072479B"/>
    <w:rsid w:val="00725657"/>
    <w:rsid w:val="007257EE"/>
    <w:rsid w:val="00725F94"/>
    <w:rsid w:val="00726E13"/>
    <w:rsid w:val="00727949"/>
    <w:rsid w:val="00732836"/>
    <w:rsid w:val="00735734"/>
    <w:rsid w:val="00736400"/>
    <w:rsid w:val="007367BC"/>
    <w:rsid w:val="0074079F"/>
    <w:rsid w:val="0074093D"/>
    <w:rsid w:val="00742D56"/>
    <w:rsid w:val="00743087"/>
    <w:rsid w:val="00743090"/>
    <w:rsid w:val="00743192"/>
    <w:rsid w:val="007459D6"/>
    <w:rsid w:val="00746EA9"/>
    <w:rsid w:val="007479A8"/>
    <w:rsid w:val="00750CD6"/>
    <w:rsid w:val="00750FFB"/>
    <w:rsid w:val="00751BE0"/>
    <w:rsid w:val="00752754"/>
    <w:rsid w:val="007536F2"/>
    <w:rsid w:val="00755935"/>
    <w:rsid w:val="00755D87"/>
    <w:rsid w:val="00756F30"/>
    <w:rsid w:val="007602E4"/>
    <w:rsid w:val="00760B23"/>
    <w:rsid w:val="0076384F"/>
    <w:rsid w:val="007662BA"/>
    <w:rsid w:val="00767703"/>
    <w:rsid w:val="00770FEC"/>
    <w:rsid w:val="00771349"/>
    <w:rsid w:val="00771688"/>
    <w:rsid w:val="00772033"/>
    <w:rsid w:val="007723A4"/>
    <w:rsid w:val="0077509A"/>
    <w:rsid w:val="007769DC"/>
    <w:rsid w:val="00780C09"/>
    <w:rsid w:val="00781BF1"/>
    <w:rsid w:val="00783A94"/>
    <w:rsid w:val="00785243"/>
    <w:rsid w:val="00785A8D"/>
    <w:rsid w:val="00786B7D"/>
    <w:rsid w:val="007912CB"/>
    <w:rsid w:val="007930FE"/>
    <w:rsid w:val="00794AAC"/>
    <w:rsid w:val="00796A2A"/>
    <w:rsid w:val="007A1CD1"/>
    <w:rsid w:val="007A2664"/>
    <w:rsid w:val="007A31E7"/>
    <w:rsid w:val="007A3721"/>
    <w:rsid w:val="007A4785"/>
    <w:rsid w:val="007A569A"/>
    <w:rsid w:val="007B098A"/>
    <w:rsid w:val="007B0E3C"/>
    <w:rsid w:val="007B2193"/>
    <w:rsid w:val="007B273B"/>
    <w:rsid w:val="007B3BB4"/>
    <w:rsid w:val="007B48C7"/>
    <w:rsid w:val="007B515F"/>
    <w:rsid w:val="007B5FBF"/>
    <w:rsid w:val="007B6F14"/>
    <w:rsid w:val="007C0DE5"/>
    <w:rsid w:val="007C1BC8"/>
    <w:rsid w:val="007C2838"/>
    <w:rsid w:val="007C31D6"/>
    <w:rsid w:val="007C4307"/>
    <w:rsid w:val="007C59B7"/>
    <w:rsid w:val="007C7A2F"/>
    <w:rsid w:val="007D087B"/>
    <w:rsid w:val="007D0973"/>
    <w:rsid w:val="007D28AF"/>
    <w:rsid w:val="007D2A39"/>
    <w:rsid w:val="007D2A78"/>
    <w:rsid w:val="007D4432"/>
    <w:rsid w:val="007D5329"/>
    <w:rsid w:val="007D54C6"/>
    <w:rsid w:val="007D5EEB"/>
    <w:rsid w:val="007D6A57"/>
    <w:rsid w:val="007D6CD5"/>
    <w:rsid w:val="007D7418"/>
    <w:rsid w:val="007E04EA"/>
    <w:rsid w:val="007E0832"/>
    <w:rsid w:val="007E14F0"/>
    <w:rsid w:val="007E1566"/>
    <w:rsid w:val="007E1629"/>
    <w:rsid w:val="007E2A69"/>
    <w:rsid w:val="007E50E3"/>
    <w:rsid w:val="007E59C1"/>
    <w:rsid w:val="007E5A9D"/>
    <w:rsid w:val="007E71A1"/>
    <w:rsid w:val="007F07FE"/>
    <w:rsid w:val="007F277A"/>
    <w:rsid w:val="007F3BF1"/>
    <w:rsid w:val="007F6418"/>
    <w:rsid w:val="007F65E2"/>
    <w:rsid w:val="00800967"/>
    <w:rsid w:val="00801829"/>
    <w:rsid w:val="0080256B"/>
    <w:rsid w:val="0080347A"/>
    <w:rsid w:val="00803A3B"/>
    <w:rsid w:val="00805517"/>
    <w:rsid w:val="00806208"/>
    <w:rsid w:val="00807F8D"/>
    <w:rsid w:val="008129CC"/>
    <w:rsid w:val="00812A28"/>
    <w:rsid w:val="0081457D"/>
    <w:rsid w:val="00814C9B"/>
    <w:rsid w:val="00816A1C"/>
    <w:rsid w:val="00816A92"/>
    <w:rsid w:val="00816AA2"/>
    <w:rsid w:val="00816B48"/>
    <w:rsid w:val="00817A8D"/>
    <w:rsid w:val="0082048C"/>
    <w:rsid w:val="00822EAF"/>
    <w:rsid w:val="008235AC"/>
    <w:rsid w:val="008254DE"/>
    <w:rsid w:val="00827DFF"/>
    <w:rsid w:val="008309C1"/>
    <w:rsid w:val="00830BEA"/>
    <w:rsid w:val="00830C14"/>
    <w:rsid w:val="00831D4F"/>
    <w:rsid w:val="00833C4C"/>
    <w:rsid w:val="008346DD"/>
    <w:rsid w:val="00834A73"/>
    <w:rsid w:val="00834C8F"/>
    <w:rsid w:val="0083514F"/>
    <w:rsid w:val="00835E81"/>
    <w:rsid w:val="008376A2"/>
    <w:rsid w:val="00840944"/>
    <w:rsid w:val="0084192D"/>
    <w:rsid w:val="00841CE3"/>
    <w:rsid w:val="008433EF"/>
    <w:rsid w:val="00844BBE"/>
    <w:rsid w:val="00844E11"/>
    <w:rsid w:val="00845411"/>
    <w:rsid w:val="00847B4E"/>
    <w:rsid w:val="00851218"/>
    <w:rsid w:val="00853613"/>
    <w:rsid w:val="00853E00"/>
    <w:rsid w:val="008545DB"/>
    <w:rsid w:val="00854C9F"/>
    <w:rsid w:val="008570E3"/>
    <w:rsid w:val="0086047A"/>
    <w:rsid w:val="00861551"/>
    <w:rsid w:val="00861BAB"/>
    <w:rsid w:val="00861F1F"/>
    <w:rsid w:val="0086411A"/>
    <w:rsid w:val="00864E00"/>
    <w:rsid w:val="00865842"/>
    <w:rsid w:val="00865988"/>
    <w:rsid w:val="00866277"/>
    <w:rsid w:val="0086765D"/>
    <w:rsid w:val="008720DA"/>
    <w:rsid w:val="00872EE4"/>
    <w:rsid w:val="008749EE"/>
    <w:rsid w:val="00877FF1"/>
    <w:rsid w:val="0088123E"/>
    <w:rsid w:val="008839EC"/>
    <w:rsid w:val="00886970"/>
    <w:rsid w:val="0089001B"/>
    <w:rsid w:val="0089115F"/>
    <w:rsid w:val="00893579"/>
    <w:rsid w:val="00894A17"/>
    <w:rsid w:val="00894E8A"/>
    <w:rsid w:val="00895E16"/>
    <w:rsid w:val="00895E46"/>
    <w:rsid w:val="0089649F"/>
    <w:rsid w:val="00897091"/>
    <w:rsid w:val="00897C36"/>
    <w:rsid w:val="008A077C"/>
    <w:rsid w:val="008A0FEA"/>
    <w:rsid w:val="008A2807"/>
    <w:rsid w:val="008A3B48"/>
    <w:rsid w:val="008A49D7"/>
    <w:rsid w:val="008B1163"/>
    <w:rsid w:val="008B324B"/>
    <w:rsid w:val="008B3B43"/>
    <w:rsid w:val="008B59BE"/>
    <w:rsid w:val="008B6D3C"/>
    <w:rsid w:val="008C0395"/>
    <w:rsid w:val="008C0CB1"/>
    <w:rsid w:val="008C1537"/>
    <w:rsid w:val="008C406A"/>
    <w:rsid w:val="008C6141"/>
    <w:rsid w:val="008C67B9"/>
    <w:rsid w:val="008C6B35"/>
    <w:rsid w:val="008C6D86"/>
    <w:rsid w:val="008C77F3"/>
    <w:rsid w:val="008D0550"/>
    <w:rsid w:val="008D31BA"/>
    <w:rsid w:val="008D3FAF"/>
    <w:rsid w:val="008D4136"/>
    <w:rsid w:val="008D4ED1"/>
    <w:rsid w:val="008D5491"/>
    <w:rsid w:val="008D57C6"/>
    <w:rsid w:val="008E5A54"/>
    <w:rsid w:val="008E60BB"/>
    <w:rsid w:val="008E681B"/>
    <w:rsid w:val="008F09F2"/>
    <w:rsid w:val="008F2ED1"/>
    <w:rsid w:val="008F357B"/>
    <w:rsid w:val="008F35EE"/>
    <w:rsid w:val="008F380E"/>
    <w:rsid w:val="008F3839"/>
    <w:rsid w:val="008F3A42"/>
    <w:rsid w:val="008F3D2B"/>
    <w:rsid w:val="008F4552"/>
    <w:rsid w:val="008F60F0"/>
    <w:rsid w:val="008F7053"/>
    <w:rsid w:val="008F7DAF"/>
    <w:rsid w:val="00901659"/>
    <w:rsid w:val="0090181E"/>
    <w:rsid w:val="009027B9"/>
    <w:rsid w:val="00904145"/>
    <w:rsid w:val="00905C14"/>
    <w:rsid w:val="00906668"/>
    <w:rsid w:val="009068ED"/>
    <w:rsid w:val="0090697E"/>
    <w:rsid w:val="00906B26"/>
    <w:rsid w:val="00906F3D"/>
    <w:rsid w:val="009072DC"/>
    <w:rsid w:val="0090795C"/>
    <w:rsid w:val="009079E6"/>
    <w:rsid w:val="00907BA9"/>
    <w:rsid w:val="009103E0"/>
    <w:rsid w:val="009115CC"/>
    <w:rsid w:val="00911BB0"/>
    <w:rsid w:val="00911DD1"/>
    <w:rsid w:val="00914A0E"/>
    <w:rsid w:val="00914E0B"/>
    <w:rsid w:val="00915301"/>
    <w:rsid w:val="009159FD"/>
    <w:rsid w:val="00916353"/>
    <w:rsid w:val="0091741D"/>
    <w:rsid w:val="009205AB"/>
    <w:rsid w:val="00921464"/>
    <w:rsid w:val="00921C49"/>
    <w:rsid w:val="009226E4"/>
    <w:rsid w:val="00922A72"/>
    <w:rsid w:val="0092339E"/>
    <w:rsid w:val="00924837"/>
    <w:rsid w:val="00924F99"/>
    <w:rsid w:val="00930A07"/>
    <w:rsid w:val="00931ADE"/>
    <w:rsid w:val="00932ED7"/>
    <w:rsid w:val="0093359B"/>
    <w:rsid w:val="009336EE"/>
    <w:rsid w:val="00933789"/>
    <w:rsid w:val="009339B8"/>
    <w:rsid w:val="00936CE4"/>
    <w:rsid w:val="0093727F"/>
    <w:rsid w:val="00937872"/>
    <w:rsid w:val="00937FE9"/>
    <w:rsid w:val="00940045"/>
    <w:rsid w:val="00941386"/>
    <w:rsid w:val="00941778"/>
    <w:rsid w:val="00941A42"/>
    <w:rsid w:val="00942E1A"/>
    <w:rsid w:val="00943466"/>
    <w:rsid w:val="009456DE"/>
    <w:rsid w:val="00945721"/>
    <w:rsid w:val="009515A9"/>
    <w:rsid w:val="009521D6"/>
    <w:rsid w:val="009533B5"/>
    <w:rsid w:val="00954298"/>
    <w:rsid w:val="00955A73"/>
    <w:rsid w:val="00955BB2"/>
    <w:rsid w:val="0095618A"/>
    <w:rsid w:val="0096065C"/>
    <w:rsid w:val="009611C0"/>
    <w:rsid w:val="0096460F"/>
    <w:rsid w:val="009648CB"/>
    <w:rsid w:val="00964F8B"/>
    <w:rsid w:val="00965429"/>
    <w:rsid w:val="00965D7F"/>
    <w:rsid w:val="009663C4"/>
    <w:rsid w:val="009705ED"/>
    <w:rsid w:val="00970F4E"/>
    <w:rsid w:val="009730DB"/>
    <w:rsid w:val="00976243"/>
    <w:rsid w:val="00977841"/>
    <w:rsid w:val="00977F7A"/>
    <w:rsid w:val="009830E7"/>
    <w:rsid w:val="009841DF"/>
    <w:rsid w:val="00991DE3"/>
    <w:rsid w:val="0099331C"/>
    <w:rsid w:val="00995238"/>
    <w:rsid w:val="0099628B"/>
    <w:rsid w:val="009A1028"/>
    <w:rsid w:val="009A28D3"/>
    <w:rsid w:val="009A2915"/>
    <w:rsid w:val="009A3454"/>
    <w:rsid w:val="009A400F"/>
    <w:rsid w:val="009B022C"/>
    <w:rsid w:val="009B0ECC"/>
    <w:rsid w:val="009B15E5"/>
    <w:rsid w:val="009B1BAB"/>
    <w:rsid w:val="009B35FA"/>
    <w:rsid w:val="009B3A1C"/>
    <w:rsid w:val="009B63B4"/>
    <w:rsid w:val="009B7C4A"/>
    <w:rsid w:val="009C05A1"/>
    <w:rsid w:val="009C0FED"/>
    <w:rsid w:val="009C23E8"/>
    <w:rsid w:val="009C2A3D"/>
    <w:rsid w:val="009C32F6"/>
    <w:rsid w:val="009C33AC"/>
    <w:rsid w:val="009C35EA"/>
    <w:rsid w:val="009C4EFE"/>
    <w:rsid w:val="009C5303"/>
    <w:rsid w:val="009C72D7"/>
    <w:rsid w:val="009D004D"/>
    <w:rsid w:val="009D12FE"/>
    <w:rsid w:val="009D1EFC"/>
    <w:rsid w:val="009D37CA"/>
    <w:rsid w:val="009D3A3C"/>
    <w:rsid w:val="009D4468"/>
    <w:rsid w:val="009D5A66"/>
    <w:rsid w:val="009D783D"/>
    <w:rsid w:val="009E295C"/>
    <w:rsid w:val="009E5D63"/>
    <w:rsid w:val="009E6021"/>
    <w:rsid w:val="009E670E"/>
    <w:rsid w:val="009E6C98"/>
    <w:rsid w:val="009F037D"/>
    <w:rsid w:val="009F0FE2"/>
    <w:rsid w:val="009F111B"/>
    <w:rsid w:val="009F16DB"/>
    <w:rsid w:val="009F193C"/>
    <w:rsid w:val="009F2356"/>
    <w:rsid w:val="009F27AB"/>
    <w:rsid w:val="009F2C0C"/>
    <w:rsid w:val="009F5D81"/>
    <w:rsid w:val="009F71D5"/>
    <w:rsid w:val="00A015F1"/>
    <w:rsid w:val="00A0257C"/>
    <w:rsid w:val="00A02A22"/>
    <w:rsid w:val="00A031E0"/>
    <w:rsid w:val="00A0350B"/>
    <w:rsid w:val="00A04CC7"/>
    <w:rsid w:val="00A06FEB"/>
    <w:rsid w:val="00A0710C"/>
    <w:rsid w:val="00A07499"/>
    <w:rsid w:val="00A101A9"/>
    <w:rsid w:val="00A1133D"/>
    <w:rsid w:val="00A12A7B"/>
    <w:rsid w:val="00A1368E"/>
    <w:rsid w:val="00A13A43"/>
    <w:rsid w:val="00A13A91"/>
    <w:rsid w:val="00A14653"/>
    <w:rsid w:val="00A15678"/>
    <w:rsid w:val="00A15B36"/>
    <w:rsid w:val="00A15C39"/>
    <w:rsid w:val="00A16FFC"/>
    <w:rsid w:val="00A21690"/>
    <w:rsid w:val="00A21DB4"/>
    <w:rsid w:val="00A231D3"/>
    <w:rsid w:val="00A23290"/>
    <w:rsid w:val="00A24612"/>
    <w:rsid w:val="00A2510B"/>
    <w:rsid w:val="00A30C3E"/>
    <w:rsid w:val="00A311B1"/>
    <w:rsid w:val="00A32982"/>
    <w:rsid w:val="00A32A2B"/>
    <w:rsid w:val="00A32B47"/>
    <w:rsid w:val="00A36643"/>
    <w:rsid w:val="00A367F4"/>
    <w:rsid w:val="00A36FC3"/>
    <w:rsid w:val="00A3721C"/>
    <w:rsid w:val="00A37A81"/>
    <w:rsid w:val="00A41E8C"/>
    <w:rsid w:val="00A451F2"/>
    <w:rsid w:val="00A466E0"/>
    <w:rsid w:val="00A4699E"/>
    <w:rsid w:val="00A507E2"/>
    <w:rsid w:val="00A51276"/>
    <w:rsid w:val="00A534A9"/>
    <w:rsid w:val="00A536F9"/>
    <w:rsid w:val="00A541A9"/>
    <w:rsid w:val="00A5699E"/>
    <w:rsid w:val="00A56D4C"/>
    <w:rsid w:val="00A56E2C"/>
    <w:rsid w:val="00A57017"/>
    <w:rsid w:val="00A5779B"/>
    <w:rsid w:val="00A606F5"/>
    <w:rsid w:val="00A60E8E"/>
    <w:rsid w:val="00A61234"/>
    <w:rsid w:val="00A6142D"/>
    <w:rsid w:val="00A6331D"/>
    <w:rsid w:val="00A636B8"/>
    <w:rsid w:val="00A63BEC"/>
    <w:rsid w:val="00A64CCE"/>
    <w:rsid w:val="00A64D4F"/>
    <w:rsid w:val="00A650AF"/>
    <w:rsid w:val="00A6537D"/>
    <w:rsid w:val="00A661F8"/>
    <w:rsid w:val="00A66A0C"/>
    <w:rsid w:val="00A706F1"/>
    <w:rsid w:val="00A711B9"/>
    <w:rsid w:val="00A7151A"/>
    <w:rsid w:val="00A727D6"/>
    <w:rsid w:val="00A7381E"/>
    <w:rsid w:val="00A73AEA"/>
    <w:rsid w:val="00A74049"/>
    <w:rsid w:val="00A74ACA"/>
    <w:rsid w:val="00A76331"/>
    <w:rsid w:val="00A76453"/>
    <w:rsid w:val="00A80DD4"/>
    <w:rsid w:val="00A81F11"/>
    <w:rsid w:val="00A8444B"/>
    <w:rsid w:val="00A84B32"/>
    <w:rsid w:val="00A861E4"/>
    <w:rsid w:val="00A866B2"/>
    <w:rsid w:val="00A86F9F"/>
    <w:rsid w:val="00A93A25"/>
    <w:rsid w:val="00A94035"/>
    <w:rsid w:val="00A94152"/>
    <w:rsid w:val="00A96F59"/>
    <w:rsid w:val="00AA2E41"/>
    <w:rsid w:val="00AA2E87"/>
    <w:rsid w:val="00AA2F57"/>
    <w:rsid w:val="00AA361F"/>
    <w:rsid w:val="00AA4D2A"/>
    <w:rsid w:val="00AA6162"/>
    <w:rsid w:val="00AB06A6"/>
    <w:rsid w:val="00AB13AA"/>
    <w:rsid w:val="00AB1A65"/>
    <w:rsid w:val="00AB1BCA"/>
    <w:rsid w:val="00AB1EA8"/>
    <w:rsid w:val="00AB22B2"/>
    <w:rsid w:val="00AB415A"/>
    <w:rsid w:val="00AB451E"/>
    <w:rsid w:val="00AB46F0"/>
    <w:rsid w:val="00AB4A15"/>
    <w:rsid w:val="00AB51D7"/>
    <w:rsid w:val="00AB5725"/>
    <w:rsid w:val="00AB7E15"/>
    <w:rsid w:val="00AC039A"/>
    <w:rsid w:val="00AC0A00"/>
    <w:rsid w:val="00AC0E18"/>
    <w:rsid w:val="00AC4D44"/>
    <w:rsid w:val="00AC4E75"/>
    <w:rsid w:val="00AC5ABA"/>
    <w:rsid w:val="00AD26A2"/>
    <w:rsid w:val="00AD2E9A"/>
    <w:rsid w:val="00AD37D5"/>
    <w:rsid w:val="00AD3AE5"/>
    <w:rsid w:val="00AD5C98"/>
    <w:rsid w:val="00AD6195"/>
    <w:rsid w:val="00AE0440"/>
    <w:rsid w:val="00AE1B08"/>
    <w:rsid w:val="00AE213B"/>
    <w:rsid w:val="00AE3348"/>
    <w:rsid w:val="00AE4A0B"/>
    <w:rsid w:val="00AE52B4"/>
    <w:rsid w:val="00AE799F"/>
    <w:rsid w:val="00AF06F1"/>
    <w:rsid w:val="00AF28F9"/>
    <w:rsid w:val="00AF2D4A"/>
    <w:rsid w:val="00AF36D9"/>
    <w:rsid w:val="00AF71E7"/>
    <w:rsid w:val="00AF75C7"/>
    <w:rsid w:val="00AF7AC3"/>
    <w:rsid w:val="00AF7B97"/>
    <w:rsid w:val="00B02987"/>
    <w:rsid w:val="00B04882"/>
    <w:rsid w:val="00B06223"/>
    <w:rsid w:val="00B07E88"/>
    <w:rsid w:val="00B101CA"/>
    <w:rsid w:val="00B16128"/>
    <w:rsid w:val="00B1719E"/>
    <w:rsid w:val="00B17B3C"/>
    <w:rsid w:val="00B21F5A"/>
    <w:rsid w:val="00B24C16"/>
    <w:rsid w:val="00B25253"/>
    <w:rsid w:val="00B26688"/>
    <w:rsid w:val="00B27AED"/>
    <w:rsid w:val="00B27C8F"/>
    <w:rsid w:val="00B30D6A"/>
    <w:rsid w:val="00B31F04"/>
    <w:rsid w:val="00B328A7"/>
    <w:rsid w:val="00B33E46"/>
    <w:rsid w:val="00B34D5A"/>
    <w:rsid w:val="00B352BB"/>
    <w:rsid w:val="00B378C8"/>
    <w:rsid w:val="00B37FA6"/>
    <w:rsid w:val="00B40439"/>
    <w:rsid w:val="00B42585"/>
    <w:rsid w:val="00B4331E"/>
    <w:rsid w:val="00B500CC"/>
    <w:rsid w:val="00B536FE"/>
    <w:rsid w:val="00B53C14"/>
    <w:rsid w:val="00B53FF7"/>
    <w:rsid w:val="00B54912"/>
    <w:rsid w:val="00B55B0D"/>
    <w:rsid w:val="00B55FB5"/>
    <w:rsid w:val="00B63CA3"/>
    <w:rsid w:val="00B65093"/>
    <w:rsid w:val="00B6668C"/>
    <w:rsid w:val="00B67DB6"/>
    <w:rsid w:val="00B70312"/>
    <w:rsid w:val="00B713EA"/>
    <w:rsid w:val="00B720DE"/>
    <w:rsid w:val="00B73216"/>
    <w:rsid w:val="00B768C8"/>
    <w:rsid w:val="00B7759D"/>
    <w:rsid w:val="00B82D08"/>
    <w:rsid w:val="00B847AE"/>
    <w:rsid w:val="00B850E6"/>
    <w:rsid w:val="00B856F9"/>
    <w:rsid w:val="00B85C9A"/>
    <w:rsid w:val="00B868D8"/>
    <w:rsid w:val="00B86944"/>
    <w:rsid w:val="00B86A12"/>
    <w:rsid w:val="00B910D2"/>
    <w:rsid w:val="00B92712"/>
    <w:rsid w:val="00B92A78"/>
    <w:rsid w:val="00B92F89"/>
    <w:rsid w:val="00B932EF"/>
    <w:rsid w:val="00B9371E"/>
    <w:rsid w:val="00B948BA"/>
    <w:rsid w:val="00B9557C"/>
    <w:rsid w:val="00B95D9A"/>
    <w:rsid w:val="00B977EB"/>
    <w:rsid w:val="00BA0C0C"/>
    <w:rsid w:val="00BA0C47"/>
    <w:rsid w:val="00BA13C3"/>
    <w:rsid w:val="00BA1743"/>
    <w:rsid w:val="00BA2604"/>
    <w:rsid w:val="00BA2757"/>
    <w:rsid w:val="00BA311C"/>
    <w:rsid w:val="00BA3209"/>
    <w:rsid w:val="00BA398B"/>
    <w:rsid w:val="00BA3AA0"/>
    <w:rsid w:val="00BA4449"/>
    <w:rsid w:val="00BA7D3D"/>
    <w:rsid w:val="00BB0809"/>
    <w:rsid w:val="00BB2F88"/>
    <w:rsid w:val="00BB343F"/>
    <w:rsid w:val="00BB40A5"/>
    <w:rsid w:val="00BB43CC"/>
    <w:rsid w:val="00BB5FC8"/>
    <w:rsid w:val="00BC1EA7"/>
    <w:rsid w:val="00BC276D"/>
    <w:rsid w:val="00BC33C2"/>
    <w:rsid w:val="00BC4A5F"/>
    <w:rsid w:val="00BC50FC"/>
    <w:rsid w:val="00BC5DCD"/>
    <w:rsid w:val="00BC7FB1"/>
    <w:rsid w:val="00BD00F1"/>
    <w:rsid w:val="00BD0D6F"/>
    <w:rsid w:val="00BD2A05"/>
    <w:rsid w:val="00BD4D8A"/>
    <w:rsid w:val="00BD6828"/>
    <w:rsid w:val="00BE10EB"/>
    <w:rsid w:val="00BE2402"/>
    <w:rsid w:val="00BE2B49"/>
    <w:rsid w:val="00BE2EB8"/>
    <w:rsid w:val="00BE2F25"/>
    <w:rsid w:val="00BE391B"/>
    <w:rsid w:val="00BE4B9A"/>
    <w:rsid w:val="00BE519E"/>
    <w:rsid w:val="00BE52CE"/>
    <w:rsid w:val="00BE61AD"/>
    <w:rsid w:val="00BE71D1"/>
    <w:rsid w:val="00BE751F"/>
    <w:rsid w:val="00BF3604"/>
    <w:rsid w:val="00BF3A11"/>
    <w:rsid w:val="00BF3A84"/>
    <w:rsid w:val="00BF5D15"/>
    <w:rsid w:val="00BF6542"/>
    <w:rsid w:val="00C0183C"/>
    <w:rsid w:val="00C03F18"/>
    <w:rsid w:val="00C04842"/>
    <w:rsid w:val="00C04E22"/>
    <w:rsid w:val="00C06A7E"/>
    <w:rsid w:val="00C07462"/>
    <w:rsid w:val="00C11F64"/>
    <w:rsid w:val="00C12514"/>
    <w:rsid w:val="00C1295F"/>
    <w:rsid w:val="00C12C7B"/>
    <w:rsid w:val="00C135E4"/>
    <w:rsid w:val="00C13AC5"/>
    <w:rsid w:val="00C14027"/>
    <w:rsid w:val="00C1696C"/>
    <w:rsid w:val="00C172B3"/>
    <w:rsid w:val="00C231C6"/>
    <w:rsid w:val="00C2338E"/>
    <w:rsid w:val="00C236AC"/>
    <w:rsid w:val="00C2587B"/>
    <w:rsid w:val="00C259B7"/>
    <w:rsid w:val="00C25D90"/>
    <w:rsid w:val="00C26D08"/>
    <w:rsid w:val="00C26EBD"/>
    <w:rsid w:val="00C274D3"/>
    <w:rsid w:val="00C275E8"/>
    <w:rsid w:val="00C27B68"/>
    <w:rsid w:val="00C30070"/>
    <w:rsid w:val="00C308C1"/>
    <w:rsid w:val="00C31554"/>
    <w:rsid w:val="00C3168D"/>
    <w:rsid w:val="00C322F6"/>
    <w:rsid w:val="00C32865"/>
    <w:rsid w:val="00C32BC7"/>
    <w:rsid w:val="00C32F8C"/>
    <w:rsid w:val="00C33877"/>
    <w:rsid w:val="00C338B8"/>
    <w:rsid w:val="00C340AC"/>
    <w:rsid w:val="00C43ED0"/>
    <w:rsid w:val="00C456B5"/>
    <w:rsid w:val="00C468B2"/>
    <w:rsid w:val="00C46DC0"/>
    <w:rsid w:val="00C50006"/>
    <w:rsid w:val="00C5090D"/>
    <w:rsid w:val="00C5119B"/>
    <w:rsid w:val="00C517EF"/>
    <w:rsid w:val="00C54AE8"/>
    <w:rsid w:val="00C56A24"/>
    <w:rsid w:val="00C56A42"/>
    <w:rsid w:val="00C5732C"/>
    <w:rsid w:val="00C57BCD"/>
    <w:rsid w:val="00C57D5B"/>
    <w:rsid w:val="00C60055"/>
    <w:rsid w:val="00C60B55"/>
    <w:rsid w:val="00C615EA"/>
    <w:rsid w:val="00C627D3"/>
    <w:rsid w:val="00C630BC"/>
    <w:rsid w:val="00C650E3"/>
    <w:rsid w:val="00C72F30"/>
    <w:rsid w:val="00C7535D"/>
    <w:rsid w:val="00C756B0"/>
    <w:rsid w:val="00C771B0"/>
    <w:rsid w:val="00C80395"/>
    <w:rsid w:val="00C81A14"/>
    <w:rsid w:val="00C847DB"/>
    <w:rsid w:val="00C86541"/>
    <w:rsid w:val="00C872A7"/>
    <w:rsid w:val="00C872FB"/>
    <w:rsid w:val="00C8757C"/>
    <w:rsid w:val="00C90705"/>
    <w:rsid w:val="00C91728"/>
    <w:rsid w:val="00C91DF6"/>
    <w:rsid w:val="00C93348"/>
    <w:rsid w:val="00C933AF"/>
    <w:rsid w:val="00C94080"/>
    <w:rsid w:val="00C9492E"/>
    <w:rsid w:val="00C94C7D"/>
    <w:rsid w:val="00C9674E"/>
    <w:rsid w:val="00CA1F0E"/>
    <w:rsid w:val="00CA1FEF"/>
    <w:rsid w:val="00CA2C7B"/>
    <w:rsid w:val="00CA2E60"/>
    <w:rsid w:val="00CA4696"/>
    <w:rsid w:val="00CA7459"/>
    <w:rsid w:val="00CB1BF5"/>
    <w:rsid w:val="00CB30C7"/>
    <w:rsid w:val="00CB3CD9"/>
    <w:rsid w:val="00CB429D"/>
    <w:rsid w:val="00CB5659"/>
    <w:rsid w:val="00CB60E1"/>
    <w:rsid w:val="00CB6521"/>
    <w:rsid w:val="00CB6CDB"/>
    <w:rsid w:val="00CC2DD5"/>
    <w:rsid w:val="00CC2F77"/>
    <w:rsid w:val="00CC5011"/>
    <w:rsid w:val="00CC6B16"/>
    <w:rsid w:val="00CC753C"/>
    <w:rsid w:val="00CD0573"/>
    <w:rsid w:val="00CD0E32"/>
    <w:rsid w:val="00CD14A4"/>
    <w:rsid w:val="00CD18ED"/>
    <w:rsid w:val="00CD19C2"/>
    <w:rsid w:val="00CD1F10"/>
    <w:rsid w:val="00CD256C"/>
    <w:rsid w:val="00CD343C"/>
    <w:rsid w:val="00CD580F"/>
    <w:rsid w:val="00CD704F"/>
    <w:rsid w:val="00CE0D0D"/>
    <w:rsid w:val="00CE10E9"/>
    <w:rsid w:val="00CE1D83"/>
    <w:rsid w:val="00CE1F99"/>
    <w:rsid w:val="00CE2288"/>
    <w:rsid w:val="00CE4F08"/>
    <w:rsid w:val="00CE564C"/>
    <w:rsid w:val="00CE5CDB"/>
    <w:rsid w:val="00CF1011"/>
    <w:rsid w:val="00CF48E2"/>
    <w:rsid w:val="00CF4B03"/>
    <w:rsid w:val="00CF53D7"/>
    <w:rsid w:val="00CF5D55"/>
    <w:rsid w:val="00D004BD"/>
    <w:rsid w:val="00D0106C"/>
    <w:rsid w:val="00D025C8"/>
    <w:rsid w:val="00D048D9"/>
    <w:rsid w:val="00D121ED"/>
    <w:rsid w:val="00D1304D"/>
    <w:rsid w:val="00D140E0"/>
    <w:rsid w:val="00D1421B"/>
    <w:rsid w:val="00D149BE"/>
    <w:rsid w:val="00D16F5E"/>
    <w:rsid w:val="00D21286"/>
    <w:rsid w:val="00D22136"/>
    <w:rsid w:val="00D24ED3"/>
    <w:rsid w:val="00D26FE8"/>
    <w:rsid w:val="00D2767F"/>
    <w:rsid w:val="00D27F07"/>
    <w:rsid w:val="00D300BF"/>
    <w:rsid w:val="00D313CB"/>
    <w:rsid w:val="00D31A37"/>
    <w:rsid w:val="00D325E9"/>
    <w:rsid w:val="00D32714"/>
    <w:rsid w:val="00D32D67"/>
    <w:rsid w:val="00D3303C"/>
    <w:rsid w:val="00D33ED8"/>
    <w:rsid w:val="00D3653A"/>
    <w:rsid w:val="00D36B7D"/>
    <w:rsid w:val="00D3783F"/>
    <w:rsid w:val="00D40128"/>
    <w:rsid w:val="00D40EEB"/>
    <w:rsid w:val="00D43355"/>
    <w:rsid w:val="00D44329"/>
    <w:rsid w:val="00D4705F"/>
    <w:rsid w:val="00D47EEF"/>
    <w:rsid w:val="00D5069D"/>
    <w:rsid w:val="00D5108C"/>
    <w:rsid w:val="00D52EB4"/>
    <w:rsid w:val="00D53AA1"/>
    <w:rsid w:val="00D54167"/>
    <w:rsid w:val="00D5448B"/>
    <w:rsid w:val="00D556D3"/>
    <w:rsid w:val="00D55A99"/>
    <w:rsid w:val="00D6043C"/>
    <w:rsid w:val="00D612ED"/>
    <w:rsid w:val="00D61FB2"/>
    <w:rsid w:val="00D62A5D"/>
    <w:rsid w:val="00D63239"/>
    <w:rsid w:val="00D63B77"/>
    <w:rsid w:val="00D63D1E"/>
    <w:rsid w:val="00D67734"/>
    <w:rsid w:val="00D705F3"/>
    <w:rsid w:val="00D728EB"/>
    <w:rsid w:val="00D75388"/>
    <w:rsid w:val="00D755EF"/>
    <w:rsid w:val="00D80F27"/>
    <w:rsid w:val="00D81156"/>
    <w:rsid w:val="00D82B66"/>
    <w:rsid w:val="00D83950"/>
    <w:rsid w:val="00D858AD"/>
    <w:rsid w:val="00D86E20"/>
    <w:rsid w:val="00D91582"/>
    <w:rsid w:val="00D93661"/>
    <w:rsid w:val="00D9443C"/>
    <w:rsid w:val="00D9460A"/>
    <w:rsid w:val="00D95727"/>
    <w:rsid w:val="00D961B2"/>
    <w:rsid w:val="00D963A8"/>
    <w:rsid w:val="00DA0B83"/>
    <w:rsid w:val="00DA414F"/>
    <w:rsid w:val="00DA56EA"/>
    <w:rsid w:val="00DA7285"/>
    <w:rsid w:val="00DB01EC"/>
    <w:rsid w:val="00DB0330"/>
    <w:rsid w:val="00DB03A6"/>
    <w:rsid w:val="00DB07CF"/>
    <w:rsid w:val="00DB1006"/>
    <w:rsid w:val="00DB1945"/>
    <w:rsid w:val="00DB1F30"/>
    <w:rsid w:val="00DB318F"/>
    <w:rsid w:val="00DB4B9A"/>
    <w:rsid w:val="00DB7221"/>
    <w:rsid w:val="00DB7BA6"/>
    <w:rsid w:val="00DC1732"/>
    <w:rsid w:val="00DC401B"/>
    <w:rsid w:val="00DC4654"/>
    <w:rsid w:val="00DC5476"/>
    <w:rsid w:val="00DD3BE4"/>
    <w:rsid w:val="00DD512F"/>
    <w:rsid w:val="00DD5BBE"/>
    <w:rsid w:val="00DD5C33"/>
    <w:rsid w:val="00DD6A06"/>
    <w:rsid w:val="00DE2113"/>
    <w:rsid w:val="00DE4224"/>
    <w:rsid w:val="00DE4934"/>
    <w:rsid w:val="00DF02B3"/>
    <w:rsid w:val="00DF0559"/>
    <w:rsid w:val="00DF0AE6"/>
    <w:rsid w:val="00DF2BAC"/>
    <w:rsid w:val="00DF48B6"/>
    <w:rsid w:val="00DF598B"/>
    <w:rsid w:val="00DF5BF3"/>
    <w:rsid w:val="00DF7A91"/>
    <w:rsid w:val="00E00F09"/>
    <w:rsid w:val="00E0230B"/>
    <w:rsid w:val="00E023CF"/>
    <w:rsid w:val="00E02CA9"/>
    <w:rsid w:val="00E0556F"/>
    <w:rsid w:val="00E0704A"/>
    <w:rsid w:val="00E10159"/>
    <w:rsid w:val="00E11E92"/>
    <w:rsid w:val="00E12774"/>
    <w:rsid w:val="00E151BF"/>
    <w:rsid w:val="00E15CFC"/>
    <w:rsid w:val="00E160BB"/>
    <w:rsid w:val="00E203C5"/>
    <w:rsid w:val="00E20B6E"/>
    <w:rsid w:val="00E217AF"/>
    <w:rsid w:val="00E21E68"/>
    <w:rsid w:val="00E25D21"/>
    <w:rsid w:val="00E273F1"/>
    <w:rsid w:val="00E276C6"/>
    <w:rsid w:val="00E27C7D"/>
    <w:rsid w:val="00E337B0"/>
    <w:rsid w:val="00E33F3F"/>
    <w:rsid w:val="00E367D3"/>
    <w:rsid w:val="00E40166"/>
    <w:rsid w:val="00E427A6"/>
    <w:rsid w:val="00E445E4"/>
    <w:rsid w:val="00E459A9"/>
    <w:rsid w:val="00E45D24"/>
    <w:rsid w:val="00E467EE"/>
    <w:rsid w:val="00E4737E"/>
    <w:rsid w:val="00E47B62"/>
    <w:rsid w:val="00E504FB"/>
    <w:rsid w:val="00E52A43"/>
    <w:rsid w:val="00E55EF9"/>
    <w:rsid w:val="00E616F7"/>
    <w:rsid w:val="00E6250D"/>
    <w:rsid w:val="00E625FB"/>
    <w:rsid w:val="00E62954"/>
    <w:rsid w:val="00E62A7E"/>
    <w:rsid w:val="00E63F6A"/>
    <w:rsid w:val="00E63FA2"/>
    <w:rsid w:val="00E6498E"/>
    <w:rsid w:val="00E65AA9"/>
    <w:rsid w:val="00E6769C"/>
    <w:rsid w:val="00E70090"/>
    <w:rsid w:val="00E70691"/>
    <w:rsid w:val="00E71C9B"/>
    <w:rsid w:val="00E74226"/>
    <w:rsid w:val="00E75115"/>
    <w:rsid w:val="00E75149"/>
    <w:rsid w:val="00E75230"/>
    <w:rsid w:val="00E753BE"/>
    <w:rsid w:val="00E76C1E"/>
    <w:rsid w:val="00E770F4"/>
    <w:rsid w:val="00E775AB"/>
    <w:rsid w:val="00E77934"/>
    <w:rsid w:val="00E77C68"/>
    <w:rsid w:val="00E80FC3"/>
    <w:rsid w:val="00E812C5"/>
    <w:rsid w:val="00E8189C"/>
    <w:rsid w:val="00E83DBE"/>
    <w:rsid w:val="00E841F6"/>
    <w:rsid w:val="00E86862"/>
    <w:rsid w:val="00E86B4D"/>
    <w:rsid w:val="00E94343"/>
    <w:rsid w:val="00E954F2"/>
    <w:rsid w:val="00E978D1"/>
    <w:rsid w:val="00EA15CD"/>
    <w:rsid w:val="00EA34D6"/>
    <w:rsid w:val="00EA3636"/>
    <w:rsid w:val="00EA38D8"/>
    <w:rsid w:val="00EA5A2E"/>
    <w:rsid w:val="00EA74C1"/>
    <w:rsid w:val="00EA7DD6"/>
    <w:rsid w:val="00EB0AA2"/>
    <w:rsid w:val="00EB1A18"/>
    <w:rsid w:val="00EB1B29"/>
    <w:rsid w:val="00EB1C64"/>
    <w:rsid w:val="00EB30B2"/>
    <w:rsid w:val="00EB3CC8"/>
    <w:rsid w:val="00EB5839"/>
    <w:rsid w:val="00EB61D9"/>
    <w:rsid w:val="00EB6874"/>
    <w:rsid w:val="00EB7ACD"/>
    <w:rsid w:val="00EC04CF"/>
    <w:rsid w:val="00EC07BF"/>
    <w:rsid w:val="00EC2173"/>
    <w:rsid w:val="00EC23CC"/>
    <w:rsid w:val="00EC40BB"/>
    <w:rsid w:val="00EC4732"/>
    <w:rsid w:val="00EC6E58"/>
    <w:rsid w:val="00ED12CF"/>
    <w:rsid w:val="00ED1346"/>
    <w:rsid w:val="00ED3CEA"/>
    <w:rsid w:val="00ED4562"/>
    <w:rsid w:val="00EE119C"/>
    <w:rsid w:val="00EE20A2"/>
    <w:rsid w:val="00EE2196"/>
    <w:rsid w:val="00EE22F1"/>
    <w:rsid w:val="00EE3827"/>
    <w:rsid w:val="00EE4632"/>
    <w:rsid w:val="00EE4AB8"/>
    <w:rsid w:val="00EF02DC"/>
    <w:rsid w:val="00EF1C79"/>
    <w:rsid w:val="00EF1E33"/>
    <w:rsid w:val="00EF250B"/>
    <w:rsid w:val="00EF286B"/>
    <w:rsid w:val="00EF41D5"/>
    <w:rsid w:val="00EF70F6"/>
    <w:rsid w:val="00F005CC"/>
    <w:rsid w:val="00F00BFD"/>
    <w:rsid w:val="00F0116B"/>
    <w:rsid w:val="00F01BA7"/>
    <w:rsid w:val="00F01CB5"/>
    <w:rsid w:val="00F025B3"/>
    <w:rsid w:val="00F0458F"/>
    <w:rsid w:val="00F0585A"/>
    <w:rsid w:val="00F07720"/>
    <w:rsid w:val="00F07DFD"/>
    <w:rsid w:val="00F11817"/>
    <w:rsid w:val="00F12016"/>
    <w:rsid w:val="00F13051"/>
    <w:rsid w:val="00F13556"/>
    <w:rsid w:val="00F14842"/>
    <w:rsid w:val="00F14893"/>
    <w:rsid w:val="00F14A49"/>
    <w:rsid w:val="00F14AA5"/>
    <w:rsid w:val="00F150FF"/>
    <w:rsid w:val="00F15748"/>
    <w:rsid w:val="00F1798B"/>
    <w:rsid w:val="00F20358"/>
    <w:rsid w:val="00F20594"/>
    <w:rsid w:val="00F20B84"/>
    <w:rsid w:val="00F243A3"/>
    <w:rsid w:val="00F24DB6"/>
    <w:rsid w:val="00F25DE8"/>
    <w:rsid w:val="00F262FE"/>
    <w:rsid w:val="00F267DC"/>
    <w:rsid w:val="00F27853"/>
    <w:rsid w:val="00F27B76"/>
    <w:rsid w:val="00F34438"/>
    <w:rsid w:val="00F34612"/>
    <w:rsid w:val="00F36E09"/>
    <w:rsid w:val="00F37391"/>
    <w:rsid w:val="00F4145C"/>
    <w:rsid w:val="00F43062"/>
    <w:rsid w:val="00F430A8"/>
    <w:rsid w:val="00F441DD"/>
    <w:rsid w:val="00F45FF5"/>
    <w:rsid w:val="00F47828"/>
    <w:rsid w:val="00F52A8D"/>
    <w:rsid w:val="00F538C6"/>
    <w:rsid w:val="00F54885"/>
    <w:rsid w:val="00F559D2"/>
    <w:rsid w:val="00F56CB1"/>
    <w:rsid w:val="00F56CE1"/>
    <w:rsid w:val="00F61206"/>
    <w:rsid w:val="00F613DC"/>
    <w:rsid w:val="00F6214A"/>
    <w:rsid w:val="00F63897"/>
    <w:rsid w:val="00F6411C"/>
    <w:rsid w:val="00F657A2"/>
    <w:rsid w:val="00F66B70"/>
    <w:rsid w:val="00F71032"/>
    <w:rsid w:val="00F71290"/>
    <w:rsid w:val="00F729C1"/>
    <w:rsid w:val="00F7374A"/>
    <w:rsid w:val="00F73AF8"/>
    <w:rsid w:val="00F812C2"/>
    <w:rsid w:val="00F8300A"/>
    <w:rsid w:val="00F83A76"/>
    <w:rsid w:val="00F83E98"/>
    <w:rsid w:val="00F84690"/>
    <w:rsid w:val="00F86813"/>
    <w:rsid w:val="00F86B31"/>
    <w:rsid w:val="00F86C6F"/>
    <w:rsid w:val="00F86E0B"/>
    <w:rsid w:val="00F90124"/>
    <w:rsid w:val="00F90ABE"/>
    <w:rsid w:val="00F90EC6"/>
    <w:rsid w:val="00F91B7C"/>
    <w:rsid w:val="00F94316"/>
    <w:rsid w:val="00F944A6"/>
    <w:rsid w:val="00F9578E"/>
    <w:rsid w:val="00F966FC"/>
    <w:rsid w:val="00F977E3"/>
    <w:rsid w:val="00FA0CC7"/>
    <w:rsid w:val="00FA1BC0"/>
    <w:rsid w:val="00FA1E01"/>
    <w:rsid w:val="00FA2C02"/>
    <w:rsid w:val="00FA3783"/>
    <w:rsid w:val="00FA3BBB"/>
    <w:rsid w:val="00FA5D49"/>
    <w:rsid w:val="00FA77E6"/>
    <w:rsid w:val="00FB13FE"/>
    <w:rsid w:val="00FB70ED"/>
    <w:rsid w:val="00FB769F"/>
    <w:rsid w:val="00FB7A31"/>
    <w:rsid w:val="00FC07A7"/>
    <w:rsid w:val="00FC2FD9"/>
    <w:rsid w:val="00FC349E"/>
    <w:rsid w:val="00FC4580"/>
    <w:rsid w:val="00FC4685"/>
    <w:rsid w:val="00FC4769"/>
    <w:rsid w:val="00FC528C"/>
    <w:rsid w:val="00FC59A3"/>
    <w:rsid w:val="00FC5C4C"/>
    <w:rsid w:val="00FD168B"/>
    <w:rsid w:val="00FD2104"/>
    <w:rsid w:val="00FD2A51"/>
    <w:rsid w:val="00FD2C21"/>
    <w:rsid w:val="00FD3191"/>
    <w:rsid w:val="00FD4151"/>
    <w:rsid w:val="00FD48C0"/>
    <w:rsid w:val="00FD5EA6"/>
    <w:rsid w:val="00FD6410"/>
    <w:rsid w:val="00FD7D02"/>
    <w:rsid w:val="00FE0A1C"/>
    <w:rsid w:val="00FE1742"/>
    <w:rsid w:val="00FE4C7E"/>
    <w:rsid w:val="00FE5B21"/>
    <w:rsid w:val="00FE669C"/>
    <w:rsid w:val="00FE7465"/>
    <w:rsid w:val="00FF0954"/>
    <w:rsid w:val="00FF16C8"/>
    <w:rsid w:val="00FF536A"/>
    <w:rsid w:val="01DB7ECE"/>
    <w:rsid w:val="01E925F2"/>
    <w:rsid w:val="055B7735"/>
    <w:rsid w:val="09CA4C53"/>
    <w:rsid w:val="0A424FBD"/>
    <w:rsid w:val="0A695261"/>
    <w:rsid w:val="0AB92B7F"/>
    <w:rsid w:val="0D8321F2"/>
    <w:rsid w:val="0DDC422A"/>
    <w:rsid w:val="0E8B67DF"/>
    <w:rsid w:val="0F022F45"/>
    <w:rsid w:val="10A255AA"/>
    <w:rsid w:val="10FC376C"/>
    <w:rsid w:val="130F7D8D"/>
    <w:rsid w:val="13C07863"/>
    <w:rsid w:val="13F13588"/>
    <w:rsid w:val="15EE60AA"/>
    <w:rsid w:val="15F30B75"/>
    <w:rsid w:val="1A174205"/>
    <w:rsid w:val="1C421CEE"/>
    <w:rsid w:val="1E7354F5"/>
    <w:rsid w:val="20CA2053"/>
    <w:rsid w:val="215678E9"/>
    <w:rsid w:val="21E169EA"/>
    <w:rsid w:val="23635580"/>
    <w:rsid w:val="23705540"/>
    <w:rsid w:val="23871575"/>
    <w:rsid w:val="238D3B77"/>
    <w:rsid w:val="23A06FD9"/>
    <w:rsid w:val="256C6F12"/>
    <w:rsid w:val="26090F1F"/>
    <w:rsid w:val="2663236B"/>
    <w:rsid w:val="26C17FC9"/>
    <w:rsid w:val="292C2C40"/>
    <w:rsid w:val="29374301"/>
    <w:rsid w:val="2A0E523D"/>
    <w:rsid w:val="2AF80C78"/>
    <w:rsid w:val="2B7E518F"/>
    <w:rsid w:val="2C916D79"/>
    <w:rsid w:val="317C2B11"/>
    <w:rsid w:val="321E3FFA"/>
    <w:rsid w:val="324F5B44"/>
    <w:rsid w:val="327F1980"/>
    <w:rsid w:val="32F12432"/>
    <w:rsid w:val="332C31B3"/>
    <w:rsid w:val="346E09F2"/>
    <w:rsid w:val="349B09AA"/>
    <w:rsid w:val="35D044B2"/>
    <w:rsid w:val="36375735"/>
    <w:rsid w:val="377246E4"/>
    <w:rsid w:val="378A4584"/>
    <w:rsid w:val="378C6D4A"/>
    <w:rsid w:val="390C7D35"/>
    <w:rsid w:val="39290B7B"/>
    <w:rsid w:val="39745F39"/>
    <w:rsid w:val="3D2A44D0"/>
    <w:rsid w:val="3D3C085F"/>
    <w:rsid w:val="3DF43CB0"/>
    <w:rsid w:val="3E8A5678"/>
    <w:rsid w:val="3F654A5D"/>
    <w:rsid w:val="426C4F0E"/>
    <w:rsid w:val="431C567C"/>
    <w:rsid w:val="434F3A8E"/>
    <w:rsid w:val="44B63F1A"/>
    <w:rsid w:val="451654F4"/>
    <w:rsid w:val="48810F87"/>
    <w:rsid w:val="4A5B3B64"/>
    <w:rsid w:val="4AC01A61"/>
    <w:rsid w:val="4B42452F"/>
    <w:rsid w:val="4B820183"/>
    <w:rsid w:val="4B88547A"/>
    <w:rsid w:val="4BC01C90"/>
    <w:rsid w:val="4E1A1FF3"/>
    <w:rsid w:val="4F576EB4"/>
    <w:rsid w:val="50CF1F2E"/>
    <w:rsid w:val="51E031B4"/>
    <w:rsid w:val="531A4FAA"/>
    <w:rsid w:val="535C05BC"/>
    <w:rsid w:val="541B05CB"/>
    <w:rsid w:val="54A46742"/>
    <w:rsid w:val="56BD1493"/>
    <w:rsid w:val="5AE76118"/>
    <w:rsid w:val="5B197DCD"/>
    <w:rsid w:val="5BCE7D78"/>
    <w:rsid w:val="5C3A5466"/>
    <w:rsid w:val="5C5342B3"/>
    <w:rsid w:val="5CE14FED"/>
    <w:rsid w:val="5DC51364"/>
    <w:rsid w:val="6014409A"/>
    <w:rsid w:val="621A06A3"/>
    <w:rsid w:val="63F2753B"/>
    <w:rsid w:val="649C1615"/>
    <w:rsid w:val="64B32B11"/>
    <w:rsid w:val="65962F5E"/>
    <w:rsid w:val="65A70431"/>
    <w:rsid w:val="65D84CB5"/>
    <w:rsid w:val="6605115C"/>
    <w:rsid w:val="6646797E"/>
    <w:rsid w:val="665520F7"/>
    <w:rsid w:val="679805F2"/>
    <w:rsid w:val="682B70D6"/>
    <w:rsid w:val="68375C81"/>
    <w:rsid w:val="68DA1C74"/>
    <w:rsid w:val="6A435B2F"/>
    <w:rsid w:val="6B7D0C79"/>
    <w:rsid w:val="6BF44DA3"/>
    <w:rsid w:val="6C4E4249"/>
    <w:rsid w:val="6F8827C0"/>
    <w:rsid w:val="71993DE6"/>
    <w:rsid w:val="73CF0012"/>
    <w:rsid w:val="74A832A3"/>
    <w:rsid w:val="77B9721C"/>
    <w:rsid w:val="79002BED"/>
    <w:rsid w:val="7981580B"/>
    <w:rsid w:val="79F6726D"/>
    <w:rsid w:val="7A927884"/>
    <w:rsid w:val="7C77614F"/>
    <w:rsid w:val="7D551A87"/>
    <w:rsid w:val="7E290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D6493"/>
  <w15:docId w15:val="{5B4911AB-2DB8-4345-85BE-0C330B55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widowControl/>
      <w:spacing w:before="480" w:line="276" w:lineRule="auto"/>
      <w:jc w:val="left"/>
      <w:outlineLvl w:val="0"/>
    </w:pPr>
    <w:rPr>
      <w:rFonts w:ascii="Cambria" w:hAnsi="Cambria"/>
      <w:b/>
      <w:bCs/>
      <w:color w:val="21798E"/>
      <w:kern w:val="0"/>
      <w:sz w:val="28"/>
      <w:szCs w:val="28"/>
    </w:rPr>
  </w:style>
  <w:style w:type="paragraph" w:styleId="2">
    <w:name w:val="heading 2"/>
    <w:basedOn w:val="a"/>
    <w:next w:val="a"/>
    <w:link w:val="20"/>
    <w:uiPriority w:val="9"/>
    <w:semiHidden/>
    <w:unhideWhenUsed/>
    <w:qFormat/>
    <w:pPr>
      <w:keepNext/>
      <w:keepLines/>
      <w:widowControl/>
      <w:spacing w:before="200" w:line="276" w:lineRule="auto"/>
      <w:jc w:val="left"/>
      <w:outlineLvl w:val="1"/>
    </w:pPr>
    <w:rPr>
      <w:rFonts w:ascii="Cambria" w:hAnsi="Cambria"/>
      <w:b/>
      <w:bCs/>
      <w:color w:val="2DA2BF"/>
      <w:kern w:val="0"/>
      <w:sz w:val="26"/>
      <w:szCs w:val="26"/>
    </w:rPr>
  </w:style>
  <w:style w:type="paragraph" w:styleId="3">
    <w:name w:val="heading 3"/>
    <w:basedOn w:val="a"/>
    <w:next w:val="a"/>
    <w:link w:val="30"/>
    <w:uiPriority w:val="9"/>
    <w:semiHidden/>
    <w:unhideWhenUsed/>
    <w:qFormat/>
    <w:pPr>
      <w:keepNext/>
      <w:keepLines/>
      <w:widowControl/>
      <w:spacing w:before="200" w:line="276" w:lineRule="auto"/>
      <w:jc w:val="left"/>
      <w:outlineLvl w:val="2"/>
    </w:pPr>
    <w:rPr>
      <w:rFonts w:ascii="Cambria" w:hAnsi="Cambria"/>
      <w:b/>
      <w:bCs/>
      <w:color w:val="2DA2BF"/>
      <w:kern w:val="0"/>
      <w:sz w:val="22"/>
      <w:szCs w:val="22"/>
    </w:rPr>
  </w:style>
  <w:style w:type="paragraph" w:styleId="4">
    <w:name w:val="heading 4"/>
    <w:basedOn w:val="a"/>
    <w:next w:val="a"/>
    <w:link w:val="40"/>
    <w:uiPriority w:val="9"/>
    <w:semiHidden/>
    <w:unhideWhenUsed/>
    <w:qFormat/>
    <w:pPr>
      <w:keepNext/>
      <w:keepLines/>
      <w:widowControl/>
      <w:spacing w:before="200" w:line="276" w:lineRule="auto"/>
      <w:jc w:val="left"/>
      <w:outlineLvl w:val="3"/>
    </w:pPr>
    <w:rPr>
      <w:rFonts w:ascii="Cambria" w:hAnsi="Cambria"/>
      <w:b/>
      <w:bCs/>
      <w:i/>
      <w:iCs/>
      <w:color w:val="2DA2BF"/>
      <w:kern w:val="0"/>
      <w:sz w:val="22"/>
      <w:szCs w:val="22"/>
    </w:rPr>
  </w:style>
  <w:style w:type="paragraph" w:styleId="5">
    <w:name w:val="heading 5"/>
    <w:basedOn w:val="a"/>
    <w:next w:val="a"/>
    <w:link w:val="50"/>
    <w:uiPriority w:val="9"/>
    <w:semiHidden/>
    <w:unhideWhenUsed/>
    <w:qFormat/>
    <w:pPr>
      <w:keepNext/>
      <w:keepLines/>
      <w:widowControl/>
      <w:spacing w:before="200" w:line="276" w:lineRule="auto"/>
      <w:jc w:val="left"/>
      <w:outlineLvl w:val="4"/>
    </w:pPr>
    <w:rPr>
      <w:rFonts w:ascii="Cambria" w:hAnsi="Cambria"/>
      <w:color w:val="16505E"/>
      <w:kern w:val="0"/>
      <w:sz w:val="22"/>
      <w:szCs w:val="22"/>
    </w:rPr>
  </w:style>
  <w:style w:type="paragraph" w:styleId="6">
    <w:name w:val="heading 6"/>
    <w:basedOn w:val="a"/>
    <w:next w:val="a"/>
    <w:link w:val="60"/>
    <w:uiPriority w:val="9"/>
    <w:semiHidden/>
    <w:unhideWhenUsed/>
    <w:qFormat/>
    <w:pPr>
      <w:keepNext/>
      <w:keepLines/>
      <w:widowControl/>
      <w:spacing w:before="200" w:line="276" w:lineRule="auto"/>
      <w:jc w:val="left"/>
      <w:outlineLvl w:val="5"/>
    </w:pPr>
    <w:rPr>
      <w:rFonts w:ascii="Cambria" w:hAnsi="Cambria"/>
      <w:i/>
      <w:iCs/>
      <w:color w:val="16505E"/>
      <w:kern w:val="0"/>
      <w:sz w:val="22"/>
      <w:szCs w:val="22"/>
    </w:rPr>
  </w:style>
  <w:style w:type="paragraph" w:styleId="7">
    <w:name w:val="heading 7"/>
    <w:basedOn w:val="a"/>
    <w:next w:val="a"/>
    <w:link w:val="70"/>
    <w:uiPriority w:val="9"/>
    <w:semiHidden/>
    <w:unhideWhenUsed/>
    <w:qFormat/>
    <w:pPr>
      <w:keepNext/>
      <w:keepLines/>
      <w:widowControl/>
      <w:spacing w:before="200" w:line="276" w:lineRule="auto"/>
      <w:jc w:val="left"/>
      <w:outlineLvl w:val="6"/>
    </w:pPr>
    <w:rPr>
      <w:rFonts w:ascii="Cambria" w:hAnsi="Cambria"/>
      <w:i/>
      <w:iCs/>
      <w:color w:val="404040"/>
      <w:kern w:val="0"/>
      <w:sz w:val="22"/>
      <w:szCs w:val="22"/>
    </w:rPr>
  </w:style>
  <w:style w:type="paragraph" w:styleId="8">
    <w:name w:val="heading 8"/>
    <w:basedOn w:val="a"/>
    <w:next w:val="a"/>
    <w:link w:val="80"/>
    <w:uiPriority w:val="9"/>
    <w:semiHidden/>
    <w:unhideWhenUsed/>
    <w:qFormat/>
    <w:pPr>
      <w:keepNext/>
      <w:keepLines/>
      <w:widowControl/>
      <w:spacing w:before="200" w:line="276" w:lineRule="auto"/>
      <w:jc w:val="left"/>
      <w:outlineLvl w:val="7"/>
    </w:pPr>
    <w:rPr>
      <w:rFonts w:ascii="Cambria" w:hAnsi="Cambria"/>
      <w:color w:val="2DA2BF"/>
      <w:kern w:val="0"/>
      <w:sz w:val="20"/>
    </w:rPr>
  </w:style>
  <w:style w:type="paragraph" w:styleId="9">
    <w:name w:val="heading 9"/>
    <w:basedOn w:val="a"/>
    <w:next w:val="a"/>
    <w:link w:val="90"/>
    <w:uiPriority w:val="9"/>
    <w:semiHidden/>
    <w:unhideWhenUsed/>
    <w:qFormat/>
    <w:pPr>
      <w:keepNext/>
      <w:keepLines/>
      <w:widowControl/>
      <w:spacing w:before="200" w:line="276" w:lineRule="auto"/>
      <w:jc w:val="left"/>
      <w:outlineLvl w:val="8"/>
    </w:pPr>
    <w:rPr>
      <w:rFonts w:ascii="Cambria" w:hAnsi="Cambria"/>
      <w:i/>
      <w:iCs/>
      <w:color w:val="404040"/>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pPr>
      <w:widowControl/>
      <w:spacing w:after="200"/>
      <w:jc w:val="left"/>
    </w:pPr>
    <w:rPr>
      <w:rFonts w:asciiTheme="minorHAnsi" w:eastAsiaTheme="minorEastAsia" w:hAnsiTheme="minorHAnsi" w:cstheme="minorBidi"/>
      <w:b/>
      <w:bCs/>
      <w:color w:val="2DA2BF"/>
      <w:kern w:val="0"/>
      <w:sz w:val="18"/>
      <w:szCs w:val="18"/>
    </w:rPr>
  </w:style>
  <w:style w:type="paragraph" w:styleId="a4">
    <w:name w:val="annotation text"/>
    <w:basedOn w:val="a"/>
    <w:link w:val="a5"/>
    <w:uiPriority w:val="99"/>
    <w:semiHidden/>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widowControl/>
      <w:spacing w:after="200" w:line="276" w:lineRule="auto"/>
      <w:jc w:val="left"/>
    </w:pPr>
    <w:rPr>
      <w:rFonts w:ascii="Cambria" w:hAnsi="Cambria"/>
      <w:i/>
      <w:iCs/>
      <w:color w:val="2DA2BF"/>
      <w:spacing w:val="15"/>
      <w:kern w:val="0"/>
      <w:sz w:val="24"/>
      <w:szCs w:val="24"/>
    </w:rPr>
  </w:style>
  <w:style w:type="paragraph" w:styleId="ae">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af0"/>
    <w:uiPriority w:val="10"/>
    <w:qFormat/>
    <w:pPr>
      <w:widowControl/>
      <w:pBdr>
        <w:bottom w:val="single" w:sz="8" w:space="4" w:color="2DA2BF"/>
      </w:pBdr>
      <w:spacing w:after="300"/>
      <w:contextualSpacing/>
      <w:jc w:val="left"/>
    </w:pPr>
    <w:rPr>
      <w:rFonts w:ascii="Cambria" w:hAnsi="Cambria"/>
      <w:color w:val="343434"/>
      <w:spacing w:val="5"/>
      <w:kern w:val="28"/>
      <w:sz w:val="52"/>
      <w:szCs w:val="52"/>
    </w:rPr>
  </w:style>
  <w:style w:type="paragraph" w:styleId="af1">
    <w:name w:val="annotation subject"/>
    <w:basedOn w:val="a4"/>
    <w:next w:val="a4"/>
    <w:link w:val="af2"/>
    <w:uiPriority w:val="99"/>
    <w:semiHidden/>
    <w:unhideWhenUsed/>
    <w:qFormat/>
    <w:rPr>
      <w:b/>
      <w:bCs/>
    </w:rPr>
  </w:style>
  <w:style w:type="character" w:styleId="af3">
    <w:name w:val="Strong"/>
    <w:uiPriority w:val="22"/>
    <w:qFormat/>
    <w:rPr>
      <w:b/>
      <w:bCs/>
    </w:rPr>
  </w:style>
  <w:style w:type="character" w:styleId="af4">
    <w:name w:val="Emphasis"/>
    <w:uiPriority w:val="20"/>
    <w:qFormat/>
    <w:rPr>
      <w:i/>
      <w:iCs/>
    </w:rPr>
  </w:style>
  <w:style w:type="character" w:styleId="af5">
    <w:name w:val="Hyperlink"/>
    <w:basedOn w:val="a0"/>
    <w:uiPriority w:val="99"/>
    <w:semiHidden/>
    <w:unhideWhenUsed/>
    <w:qFormat/>
    <w:rPr>
      <w:color w:val="0000FF"/>
      <w:u w:val="single"/>
    </w:rPr>
  </w:style>
  <w:style w:type="character" w:styleId="af6">
    <w:name w:val="annotation reference"/>
    <w:basedOn w:val="a0"/>
    <w:uiPriority w:val="99"/>
    <w:semiHidden/>
    <w:unhideWhenUsed/>
    <w:qFormat/>
    <w:rPr>
      <w:sz w:val="21"/>
      <w:szCs w:val="21"/>
    </w:rPr>
  </w:style>
  <w:style w:type="character" w:customStyle="1" w:styleId="10">
    <w:name w:val="标题 1 字符"/>
    <w:link w:val="1"/>
    <w:uiPriority w:val="9"/>
    <w:qFormat/>
    <w:rPr>
      <w:rFonts w:ascii="Cambria" w:eastAsia="宋体" w:hAnsi="Cambria" w:cs="Times New Roman"/>
      <w:b/>
      <w:bCs/>
      <w:color w:val="21798E"/>
      <w:sz w:val="28"/>
      <w:szCs w:val="28"/>
    </w:rPr>
  </w:style>
  <w:style w:type="character" w:customStyle="1" w:styleId="20">
    <w:name w:val="标题 2 字符"/>
    <w:link w:val="2"/>
    <w:uiPriority w:val="9"/>
    <w:semiHidden/>
    <w:qFormat/>
    <w:rPr>
      <w:rFonts w:ascii="Cambria" w:eastAsia="宋体" w:hAnsi="Cambria" w:cs="Times New Roman"/>
      <w:b/>
      <w:bCs/>
      <w:color w:val="2DA2BF"/>
      <w:sz w:val="26"/>
      <w:szCs w:val="26"/>
    </w:rPr>
  </w:style>
  <w:style w:type="character" w:customStyle="1" w:styleId="30">
    <w:name w:val="标题 3 字符"/>
    <w:link w:val="3"/>
    <w:uiPriority w:val="9"/>
    <w:semiHidden/>
    <w:qFormat/>
    <w:rPr>
      <w:rFonts w:ascii="Cambria" w:eastAsia="宋体" w:hAnsi="Cambria" w:cs="Times New Roman"/>
      <w:b/>
      <w:bCs/>
      <w:color w:val="2DA2BF"/>
    </w:rPr>
  </w:style>
  <w:style w:type="character" w:customStyle="1" w:styleId="40">
    <w:name w:val="标题 4 字符"/>
    <w:link w:val="4"/>
    <w:uiPriority w:val="9"/>
    <w:semiHidden/>
    <w:qFormat/>
    <w:rPr>
      <w:rFonts w:ascii="Cambria" w:eastAsia="宋体" w:hAnsi="Cambria" w:cs="Times New Roman"/>
      <w:b/>
      <w:bCs/>
      <w:i/>
      <w:iCs/>
      <w:color w:val="2DA2BF"/>
    </w:rPr>
  </w:style>
  <w:style w:type="character" w:customStyle="1" w:styleId="50">
    <w:name w:val="标题 5 字符"/>
    <w:link w:val="5"/>
    <w:uiPriority w:val="9"/>
    <w:semiHidden/>
    <w:qFormat/>
    <w:rPr>
      <w:rFonts w:ascii="Cambria" w:eastAsia="宋体" w:hAnsi="Cambria" w:cs="Times New Roman"/>
      <w:color w:val="16505E"/>
    </w:rPr>
  </w:style>
  <w:style w:type="character" w:customStyle="1" w:styleId="60">
    <w:name w:val="标题 6 字符"/>
    <w:link w:val="6"/>
    <w:uiPriority w:val="9"/>
    <w:semiHidden/>
    <w:qFormat/>
    <w:rPr>
      <w:rFonts w:ascii="Cambria" w:eastAsia="宋体" w:hAnsi="Cambria" w:cs="Times New Roman"/>
      <w:i/>
      <w:iCs/>
      <w:color w:val="16505E"/>
    </w:rPr>
  </w:style>
  <w:style w:type="character" w:customStyle="1" w:styleId="70">
    <w:name w:val="标题 7 字符"/>
    <w:link w:val="7"/>
    <w:uiPriority w:val="9"/>
    <w:semiHidden/>
    <w:qFormat/>
    <w:rPr>
      <w:rFonts w:ascii="Cambria" w:eastAsia="宋体" w:hAnsi="Cambria" w:cs="Times New Roman"/>
      <w:i/>
      <w:iCs/>
      <w:color w:val="404040"/>
    </w:rPr>
  </w:style>
  <w:style w:type="character" w:customStyle="1" w:styleId="80">
    <w:name w:val="标题 8 字符"/>
    <w:link w:val="8"/>
    <w:uiPriority w:val="9"/>
    <w:semiHidden/>
    <w:qFormat/>
    <w:rPr>
      <w:rFonts w:ascii="Cambria" w:eastAsia="宋体" w:hAnsi="Cambria" w:cs="Times New Roman"/>
      <w:color w:val="2DA2BF"/>
      <w:sz w:val="20"/>
      <w:szCs w:val="20"/>
    </w:rPr>
  </w:style>
  <w:style w:type="character" w:customStyle="1" w:styleId="90">
    <w:name w:val="标题 9 字符"/>
    <w:link w:val="9"/>
    <w:uiPriority w:val="9"/>
    <w:semiHidden/>
    <w:qFormat/>
    <w:rPr>
      <w:rFonts w:ascii="Cambria" w:eastAsia="宋体" w:hAnsi="Cambria" w:cs="Times New Roman"/>
      <w:i/>
      <w:iCs/>
      <w:color w:val="404040"/>
      <w:sz w:val="20"/>
      <w:szCs w:val="20"/>
    </w:rPr>
  </w:style>
  <w:style w:type="character" w:customStyle="1" w:styleId="af0">
    <w:name w:val="标题 字符"/>
    <w:link w:val="af"/>
    <w:uiPriority w:val="10"/>
    <w:qFormat/>
    <w:rPr>
      <w:rFonts w:ascii="Cambria" w:eastAsia="宋体" w:hAnsi="Cambria" w:cs="Times New Roman"/>
      <w:color w:val="343434"/>
      <w:spacing w:val="5"/>
      <w:kern w:val="28"/>
      <w:sz w:val="52"/>
      <w:szCs w:val="52"/>
    </w:rPr>
  </w:style>
  <w:style w:type="character" w:customStyle="1" w:styleId="ad">
    <w:name w:val="副标题 字符"/>
    <w:link w:val="ac"/>
    <w:uiPriority w:val="11"/>
    <w:qFormat/>
    <w:rPr>
      <w:rFonts w:ascii="Cambria" w:eastAsia="宋体" w:hAnsi="Cambria" w:cs="Times New Roman"/>
      <w:i/>
      <w:iCs/>
      <w:color w:val="2DA2BF"/>
      <w:spacing w:val="15"/>
      <w:sz w:val="24"/>
      <w:szCs w:val="24"/>
    </w:rPr>
  </w:style>
  <w:style w:type="paragraph" w:styleId="af7">
    <w:name w:val="No Spacing"/>
    <w:uiPriority w:val="1"/>
    <w:qFormat/>
    <w:rPr>
      <w:rFonts w:asciiTheme="minorHAnsi" w:eastAsiaTheme="minorEastAsia" w:hAnsiTheme="minorHAnsi" w:cstheme="minorBidi"/>
      <w:sz w:val="22"/>
      <w:szCs w:val="22"/>
    </w:rPr>
  </w:style>
  <w:style w:type="paragraph" w:styleId="af8">
    <w:name w:val="List Paragraph"/>
    <w:basedOn w:val="a"/>
    <w:uiPriority w:val="34"/>
    <w:qFormat/>
    <w:pPr>
      <w:widowControl/>
      <w:spacing w:after="200" w:line="276" w:lineRule="auto"/>
      <w:ind w:left="720"/>
      <w:contextualSpacing/>
      <w:jc w:val="left"/>
    </w:pPr>
    <w:rPr>
      <w:rFonts w:asciiTheme="minorHAnsi" w:eastAsiaTheme="minorEastAsia" w:hAnsiTheme="minorHAnsi" w:cstheme="minorBidi"/>
      <w:kern w:val="0"/>
      <w:sz w:val="22"/>
      <w:szCs w:val="22"/>
    </w:rPr>
  </w:style>
  <w:style w:type="paragraph" w:styleId="af9">
    <w:name w:val="Quote"/>
    <w:basedOn w:val="a"/>
    <w:next w:val="a"/>
    <w:link w:val="afa"/>
    <w:uiPriority w:val="29"/>
    <w:qFormat/>
    <w:pPr>
      <w:widowControl/>
      <w:spacing w:after="200" w:line="276" w:lineRule="auto"/>
      <w:jc w:val="left"/>
    </w:pPr>
    <w:rPr>
      <w:rFonts w:asciiTheme="minorHAnsi" w:eastAsiaTheme="minorEastAsia" w:hAnsiTheme="minorHAnsi" w:cstheme="minorBidi"/>
      <w:i/>
      <w:iCs/>
      <w:color w:val="000000"/>
      <w:kern w:val="0"/>
      <w:sz w:val="22"/>
      <w:szCs w:val="22"/>
    </w:rPr>
  </w:style>
  <w:style w:type="character" w:customStyle="1" w:styleId="afa">
    <w:name w:val="引用 字符"/>
    <w:link w:val="af9"/>
    <w:uiPriority w:val="29"/>
    <w:qFormat/>
    <w:rPr>
      <w:i/>
      <w:iCs/>
      <w:color w:val="000000"/>
    </w:rPr>
  </w:style>
  <w:style w:type="paragraph" w:styleId="afb">
    <w:name w:val="Intense Quote"/>
    <w:basedOn w:val="a"/>
    <w:next w:val="a"/>
    <w:link w:val="afc"/>
    <w:uiPriority w:val="30"/>
    <w:qFormat/>
    <w:pPr>
      <w:widowControl/>
      <w:pBdr>
        <w:bottom w:val="single" w:sz="4" w:space="4" w:color="2DA2BF"/>
      </w:pBdr>
      <w:spacing w:before="200" w:after="280" w:line="276" w:lineRule="auto"/>
      <w:ind w:left="936" w:right="936"/>
      <w:jc w:val="left"/>
    </w:pPr>
    <w:rPr>
      <w:rFonts w:asciiTheme="minorHAnsi" w:eastAsiaTheme="minorEastAsia" w:hAnsiTheme="minorHAnsi" w:cstheme="minorBidi"/>
      <w:b/>
      <w:bCs/>
      <w:i/>
      <w:iCs/>
      <w:color w:val="2DA2BF"/>
      <w:kern w:val="0"/>
      <w:sz w:val="22"/>
      <w:szCs w:val="22"/>
    </w:rPr>
  </w:style>
  <w:style w:type="character" w:customStyle="1" w:styleId="afc">
    <w:name w:val="明显引用 字符"/>
    <w:link w:val="afb"/>
    <w:uiPriority w:val="30"/>
    <w:qFormat/>
    <w:rPr>
      <w:b/>
      <w:bCs/>
      <w:i/>
      <w:iCs/>
      <w:color w:val="2DA2BF"/>
    </w:rPr>
  </w:style>
  <w:style w:type="character" w:customStyle="1" w:styleId="11">
    <w:name w:val="不明显强调1"/>
    <w:uiPriority w:val="19"/>
    <w:qFormat/>
    <w:rPr>
      <w:i/>
      <w:iCs/>
      <w:color w:val="808080"/>
    </w:rPr>
  </w:style>
  <w:style w:type="character" w:customStyle="1" w:styleId="12">
    <w:name w:val="明显强调1"/>
    <w:uiPriority w:val="21"/>
    <w:qFormat/>
    <w:rPr>
      <w:b/>
      <w:bCs/>
      <w:i/>
      <w:iCs/>
      <w:color w:val="2DA2BF"/>
    </w:rPr>
  </w:style>
  <w:style w:type="character" w:customStyle="1" w:styleId="13">
    <w:name w:val="不明显参考1"/>
    <w:uiPriority w:val="31"/>
    <w:qFormat/>
    <w:rPr>
      <w:smallCaps/>
      <w:color w:val="DA1F28"/>
      <w:u w:val="single"/>
    </w:rPr>
  </w:style>
  <w:style w:type="character" w:customStyle="1" w:styleId="14">
    <w:name w:val="明显参考1"/>
    <w:uiPriority w:val="32"/>
    <w:qFormat/>
    <w:rPr>
      <w:b/>
      <w:bCs/>
      <w:smallCaps/>
      <w:color w:val="DA1F28"/>
      <w:spacing w:val="5"/>
      <w:u w:val="single"/>
    </w:rPr>
  </w:style>
  <w:style w:type="character" w:customStyle="1" w:styleId="15">
    <w:name w:val="书籍标题1"/>
    <w:uiPriority w:val="33"/>
    <w:qFormat/>
    <w:rPr>
      <w:b/>
      <w:bCs/>
      <w:smallCaps/>
      <w:spacing w:val="5"/>
    </w:rPr>
  </w:style>
  <w:style w:type="paragraph" w:customStyle="1" w:styleId="TOC1">
    <w:name w:val="TOC 标题1"/>
    <w:basedOn w:val="1"/>
    <w:next w:val="a"/>
    <w:uiPriority w:val="39"/>
    <w:semiHidden/>
    <w:unhideWhenUsed/>
    <w:qFormat/>
    <w:pPr>
      <w:outlineLvl w:val="9"/>
    </w:pPr>
  </w:style>
  <w:style w:type="character" w:customStyle="1" w:styleId="ab">
    <w:name w:val="页眉 字符"/>
    <w:basedOn w:val="a0"/>
    <w:link w:val="aa"/>
    <w:uiPriority w:val="99"/>
    <w:qFormat/>
    <w:rPr>
      <w:rFonts w:ascii="Times New Roman" w:eastAsia="宋体" w:hAnsi="Times New Roman" w:cs="Times New Roman"/>
      <w:kern w:val="2"/>
      <w:sz w:val="18"/>
      <w:szCs w:val="18"/>
    </w:rPr>
  </w:style>
  <w:style w:type="character" w:customStyle="1" w:styleId="a9">
    <w:name w:val="页脚 字符"/>
    <w:basedOn w:val="a0"/>
    <w:link w:val="a8"/>
    <w:uiPriority w:val="99"/>
    <w:qFormat/>
    <w:rPr>
      <w:rFonts w:ascii="Times New Roman" w:eastAsia="宋体" w:hAnsi="Times New Roman" w:cs="Times New Roman"/>
      <w:kern w:val="2"/>
      <w:sz w:val="18"/>
      <w:szCs w:val="18"/>
    </w:rPr>
  </w:style>
  <w:style w:type="character" w:customStyle="1" w:styleId="a5">
    <w:name w:val="批注文字 字符"/>
    <w:basedOn w:val="a0"/>
    <w:link w:val="a4"/>
    <w:uiPriority w:val="99"/>
    <w:semiHidden/>
    <w:qFormat/>
    <w:rPr>
      <w:rFonts w:ascii="Times New Roman" w:eastAsia="宋体" w:hAnsi="Times New Roman" w:cs="Times New Roman"/>
      <w:kern w:val="2"/>
      <w:sz w:val="21"/>
      <w:szCs w:val="20"/>
    </w:rPr>
  </w:style>
  <w:style w:type="character" w:customStyle="1" w:styleId="af2">
    <w:name w:val="批注主题 字符"/>
    <w:basedOn w:val="a5"/>
    <w:link w:val="af1"/>
    <w:uiPriority w:val="99"/>
    <w:semiHidden/>
    <w:qFormat/>
    <w:rPr>
      <w:rFonts w:ascii="Times New Roman" w:eastAsia="宋体" w:hAnsi="Times New Roman" w:cs="Times New Roman"/>
      <w:b/>
      <w:bCs/>
      <w:kern w:val="2"/>
      <w:sz w:val="21"/>
      <w:szCs w:val="20"/>
    </w:rPr>
  </w:style>
  <w:style w:type="character" w:customStyle="1" w:styleId="a7">
    <w:name w:val="批注框文本 字符"/>
    <w:basedOn w:val="a0"/>
    <w:link w:val="a6"/>
    <w:uiPriority w:val="99"/>
    <w:semiHidden/>
    <w:qFormat/>
    <w:rPr>
      <w:rFonts w:ascii="Times New Roman" w:eastAsia="宋体" w:hAnsi="Times New Roman" w:cs="Times New Roman"/>
      <w:kern w:val="2"/>
      <w:sz w:val="18"/>
      <w:szCs w:val="18"/>
    </w:rPr>
  </w:style>
  <w:style w:type="paragraph" w:customStyle="1" w:styleId="16">
    <w:name w:val="修订1"/>
    <w:hidden/>
    <w:uiPriority w:val="99"/>
    <w:unhideWhenUsed/>
    <w:qFormat/>
    <w:rPr>
      <w:kern w:val="2"/>
      <w:sz w:val="21"/>
    </w:rPr>
  </w:style>
  <w:style w:type="character" w:customStyle="1" w:styleId="fontstyle01">
    <w:name w:val="fontstyle01"/>
    <w:basedOn w:val="a0"/>
    <w:qFormat/>
    <w:rPr>
      <w:rFonts w:ascii="宋体" w:eastAsia="宋体" w:hAnsi="宋体" w:hint="eastAsia"/>
      <w:color w:val="000000"/>
      <w:sz w:val="24"/>
      <w:szCs w:val="24"/>
    </w:rPr>
  </w:style>
  <w:style w:type="character" w:customStyle="1" w:styleId="keyword">
    <w:name w:val="keyword"/>
    <w:basedOn w:val="a0"/>
    <w:qFormat/>
  </w:style>
  <w:style w:type="character" w:customStyle="1" w:styleId="activekeyword">
    <w:name w:val="activekeyword"/>
    <w:basedOn w:val="a0"/>
    <w:qFormat/>
  </w:style>
  <w:style w:type="character" w:customStyle="1" w:styleId="highlight">
    <w:name w:val="highlight"/>
    <w:basedOn w:val="a0"/>
    <w:qFormat/>
  </w:style>
  <w:style w:type="character" w:customStyle="1" w:styleId="text-only">
    <w:name w:val="text-only"/>
    <w:basedOn w:val="a0"/>
    <w:qFormat/>
  </w:style>
  <w:style w:type="paragraph" w:customStyle="1" w:styleId="3090">
    <w:name w:val="3090"/>
    <w:basedOn w:val="a"/>
    <w:qFormat/>
    <w:pPr>
      <w:spacing w:line="360" w:lineRule="auto"/>
      <w:ind w:firstLineChars="200" w:firstLine="200"/>
    </w:pPr>
    <w:rPr>
      <w:sz w:val="24"/>
      <w:szCs w:val="24"/>
    </w:rPr>
  </w:style>
  <w:style w:type="character" w:customStyle="1" w:styleId="font21">
    <w:name w:val="font21"/>
    <w:basedOn w:val="a0"/>
    <w:qFormat/>
    <w:rPr>
      <w:rFonts w:ascii="宋体" w:eastAsia="宋体" w:hAnsi="宋体" w:hint="eastAsia"/>
      <w:b/>
      <w:bCs/>
      <w:color w:val="000000"/>
      <w:sz w:val="21"/>
      <w:szCs w:val="21"/>
      <w:u w:val="none"/>
    </w:rPr>
  </w:style>
  <w:style w:type="character" w:customStyle="1" w:styleId="font41">
    <w:name w:val="font41"/>
    <w:basedOn w:val="a0"/>
    <w:qFormat/>
    <w:rPr>
      <w:rFonts w:ascii="Times New Roman" w:hAnsi="Times New Roman" w:cs="Times New Roman" w:hint="default"/>
      <w:color w:val="000000"/>
      <w:sz w:val="21"/>
      <w:szCs w:val="21"/>
      <w:u w:val="none"/>
    </w:rPr>
  </w:style>
  <w:style w:type="character" w:customStyle="1" w:styleId="font11">
    <w:name w:val="font11"/>
    <w:basedOn w:val="a0"/>
    <w:qFormat/>
    <w:rPr>
      <w:rFonts w:ascii="宋体" w:eastAsia="宋体" w:hAnsi="宋体" w:hint="eastAsia"/>
      <w:color w:val="000000"/>
      <w:sz w:val="21"/>
      <w:szCs w:val="21"/>
      <w:u w:val="none"/>
    </w:rPr>
  </w:style>
  <w:style w:type="character" w:customStyle="1" w:styleId="biaodian">
    <w:name w:val="biaodian"/>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F1191-D2AE-4B2D-A192-BA65C0733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Pages>
  <Words>757</Words>
  <Characters>4316</Characters>
  <Application>Microsoft Office Word</Application>
  <DocSecurity>0</DocSecurity>
  <Lines>35</Lines>
  <Paragraphs>10</Paragraphs>
  <ScaleCrop>false</ScaleCrop>
  <Company>Microsoft</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Song Jiajun 宋佳峻 (FH)</cp:lastModifiedBy>
  <cp:revision>655</cp:revision>
  <cp:lastPrinted>2024-05-14T09:00:00Z</cp:lastPrinted>
  <dcterms:created xsi:type="dcterms:W3CDTF">2023-06-02T09:16:00Z</dcterms:created>
  <dcterms:modified xsi:type="dcterms:W3CDTF">2026-09-10T07:32:00Z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3tu2K6fN/+n4podpnjB0hmFweLzHQUaU/+kpJ0yvBAuhMGOLv1tLL07x9rq1xYwKdLJ4LkGBd4CSGwDfinzv2oYM1FZ+3Cb1B+02qm0B1lvyAiWRZgNpE5QaQNbqMfXYalznmO1sFQQeKz6ru6JBbPSYGJ0hA3Noc4NvdMzP0cwRXKaucjlU1BrVEviYJ7BpWnIPXTfXmvJgffBBIR5uwJgwwE9/eB3HY8vsntd6NYKFsg/KDtxXGoOgQvM+Dh6y4fxIp2Rqnh3tKNVhmWauO6HEtwZbYmSlfOu9L5J3mF1G+PEPlW1HNGjG5b8vLsIK5JovYsbfE8cUhA2GBLsdeHu7DCjzz+HKeHGfw55vYIulGLT1ucTmfEUcFq9uzcLa18R3060B+tdkK6DDOZqlCgXCshstiu3j+0wdJKshve5PBLlTOOoTMxyhTNjkC9iNLmEs8r9lK+/7ttvBbuJiw4xagxP/aTp7/Exej9c3pPD516OvDJo60bq3KmmaXNdnymOVK+E4vjKDnZ6gC13tR1dCbuuSadfIHXgd1exwe4tTrKE6rKUnmnspywNhWnsG6Z4qEtIKD+CrDk3pCMjADgPsNBZkGBahXFICWOhxsnPvXMkYbCv7WbWnuOC5Lmx8l5rhpPFZKOhC1MWMZ+STuMXRbpcKEudj0JkRHROcXzmjzi5eClCgw0/aVz0YzTVB6AbI1aQS8hMGDTg42GN2ewJWvWApw2wkehdg5gb9eHH2XTc9OrqZYecdecopvs26eBClbOVIJ5kIJtuwdGLbrcbrteVnPyC3cHWg8Q4PwsVzBvDhGFzzyb5zxyqbhPJxte4yj+GL40TWSzEsd1ib/bUvnjk7+OogXvPGoLO7fM6he6X7cyWywcrM+JVPb4Aft1uzX3ZLBr8oK46La1Piowr7nMSWxb/jTYTOxpta5tkEslg1ShpCykSb1912oSGFmS6N5BaO2Bk2ouHN0J9/MDTBMS6LV8m1GfxQX3BzFcDuQoElOqVRgea3uI5g45De01+ykBFZVQgF0iBv2esd5momi3chtw83UBope4HgZrUs04dM9NVMnQrwe47lJAUBZq9Kv4gEeasMvcS2cbYi214MYcQ6UVHDW+w3Vc0OABtEMUkTkb/fneqL3gyMUjYiaMaW5j5eoSBsAdkNvlivMcdkeJm/OS0/pFxmpbNPgcLCM68GRuDkpniWNb7doKO4rAHugzBtXIxxJekgMsxf/3YkfyNXXhPukKfU7bcWM45lWNhJQ7caLs7n55Y9kYY+dXMHmw65Mg8+PxwJRgDwgCungAWT/W79AZKtbJ0CmX75kN/lb/agqFmw791EJT49mCmQOEfncOgZodNcvTOJlpv+96EWoMRLwrWC4APj9uhci4KE7VsiksqfJhD205XDyOF25r1gvUztkdYqg+CncSRuKdDdiU8vCE6Mx5A5f3UHNdKEuFiz7q7siLuAC3AJ+xDD3XVYOG78QgJqNPhPMDUTqtFo/+jyuZQzA4e708QPPTATJLZ3vTtKRLGFvoP1VK3AuHzER+5qQlG1ZVmWHg==</vt:lpwstr>
  </property>
  <property fmtid="{D5CDD505-2E9C-101B-9397-08002B2CF9AE}" pid="3" name="KSOProductBuildVer">
    <vt:lpwstr>2052-12.1.0.24034</vt:lpwstr>
  </property>
  <property fmtid="{D5CDD505-2E9C-101B-9397-08002B2CF9AE}" pid="4" name="ICV">
    <vt:lpwstr>4008ABD01AF747508157E4D0231EB8D4_13</vt:lpwstr>
  </property>
  <property fmtid="{D5CDD505-2E9C-101B-9397-08002B2CF9AE}" pid="5" name="KSOTemplateDocerSaveRecord">
    <vt:lpwstr>eyJoZGlkIjoiMWI2NjQxNWM0NGMxNTljNDhlZDNkN2YzMDE2MGVmZjciLCJ1c2VySWQiOiI1ODUzMDk2MjkifQ==</vt:lpwstr>
  </property>
</Properties>
</file>