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CF5B0">
      <w:pPr>
        <w:snapToGrid w:val="0"/>
        <w:spacing w:line="360" w:lineRule="auto"/>
        <w:jc w:val="center"/>
        <w:rPr>
          <w:rFonts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上海之江生物科技股份有限公司</w:t>
      </w:r>
    </w:p>
    <w:p w14:paraId="1A9EDF11">
      <w:pPr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</w:rPr>
        <w:t>投资者关系活动记录表</w:t>
      </w:r>
    </w:p>
    <w:p w14:paraId="0B6B84E7">
      <w:pPr>
        <w:snapToGrid w:val="0"/>
        <w:spacing w:line="360" w:lineRule="auto"/>
        <w:jc w:val="center"/>
        <w:rPr>
          <w:rFonts w:hint="eastAsia" w:ascii="宋体" w:hAnsi="宋体" w:eastAsia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t>（</w:t>
      </w: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2026年9月</w:t>
      </w: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t>）</w:t>
      </w:r>
    </w:p>
    <w:p w14:paraId="1E966CD8">
      <w:pPr>
        <w:jc w:val="right"/>
        <w:rPr>
          <w:rFonts w:hint="default" w:ascii="宋体" w:hAnsi="宋体" w:eastAsia="宋体" w:cs="Calibri"/>
          <w:b/>
          <w:bCs/>
          <w:sz w:val="30"/>
          <w:szCs w:val="30"/>
          <w:lang w:val="en-US"/>
        </w:rPr>
      </w:pPr>
      <w:r>
        <w:rPr>
          <w:rFonts w:ascii="宋体" w:hAnsi="宋体" w:eastAsia="宋体"/>
          <w:b/>
          <w:bCs/>
          <w:sz w:val="30"/>
          <w:szCs w:val="30"/>
        </w:rPr>
        <w:t xml:space="preserve">                    </w:t>
      </w: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编号：2026-005</w:t>
      </w:r>
    </w:p>
    <w:tbl>
      <w:tblPr>
        <w:tblStyle w:val="9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9"/>
        <w:gridCol w:w="7362"/>
      </w:tblGrid>
      <w:tr w14:paraId="514E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419" w:type="dxa"/>
            <w:vAlign w:val="center"/>
          </w:tcPr>
          <w:p w14:paraId="28E8F9EB">
            <w:pPr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投资者关系活</w:t>
            </w:r>
          </w:p>
          <w:p w14:paraId="7016BEF8">
            <w:pPr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动类别</w:t>
            </w:r>
          </w:p>
        </w:tc>
        <w:tc>
          <w:tcPr>
            <w:tcW w:w="7362" w:type="dxa"/>
            <w:vAlign w:val="center"/>
          </w:tcPr>
          <w:p w14:paraId="45C49E6B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特定对象调研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□分析师会议     </w:t>
            </w:r>
            <w:bookmarkStart w:id="0" w:name="_GoBack"/>
            <w:bookmarkEnd w:id="0"/>
            <w:r>
              <w:rPr>
                <w:rFonts w:ascii="宋体" w:hAnsi="宋体" w:eastAsia="宋体"/>
                <w:sz w:val="24"/>
                <w:szCs w:val="24"/>
              </w:rPr>
              <w:t>□媒体采访</w:t>
            </w:r>
          </w:p>
          <w:p w14:paraId="5A3BD9D4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□业绩说明会</w:t>
            </w:r>
            <w:r>
              <w:rPr>
                <w:rFonts w:ascii="宋体" w:hAnsi="宋体" w:eastAsia="宋体"/>
                <w:sz w:val="24"/>
                <w:szCs w:val="24"/>
              </w:rPr>
              <w:tab/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□新闻发布会</w:t>
            </w:r>
            <w:r>
              <w:rPr>
                <w:rFonts w:ascii="宋体" w:hAnsi="宋体" w:eastAsia="宋体"/>
                <w:sz w:val="24"/>
                <w:szCs w:val="24"/>
              </w:rPr>
              <w:tab/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路演活动</w:t>
            </w:r>
          </w:p>
          <w:p w14:paraId="01801D0D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□现场参观</w:t>
            </w:r>
            <w:r>
              <w:rPr>
                <w:rFonts w:ascii="宋体" w:hAnsi="宋体" w:eastAsia="宋体"/>
                <w:sz w:val="24"/>
                <w:szCs w:val="24"/>
              </w:rPr>
              <w:tab/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□其他</w:t>
            </w:r>
          </w:p>
        </w:tc>
      </w:tr>
      <w:tr w14:paraId="34E37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419" w:type="dxa"/>
            <w:vAlign w:val="center"/>
          </w:tcPr>
          <w:p w14:paraId="0B3070C4">
            <w:pPr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参与单位名称</w:t>
            </w:r>
          </w:p>
        </w:tc>
        <w:tc>
          <w:tcPr>
            <w:tcW w:w="7362" w:type="dxa"/>
            <w:vAlign w:val="center"/>
          </w:tcPr>
          <w:p w14:paraId="1CD6C88F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9日：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开源证券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、华夏基金</w:t>
            </w:r>
          </w:p>
          <w:p w14:paraId="097E9D2C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2026年9月10日：天风证券、广发基金、广发信德</w:t>
            </w:r>
          </w:p>
        </w:tc>
      </w:tr>
      <w:tr w14:paraId="5D5FD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419" w:type="dxa"/>
            <w:vAlign w:val="center"/>
          </w:tcPr>
          <w:p w14:paraId="54034BD8">
            <w:pPr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362" w:type="dxa"/>
            <w:vAlign w:val="center"/>
          </w:tcPr>
          <w:p w14:paraId="1B530C18">
            <w:pPr>
              <w:spacing w:line="360" w:lineRule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 w:eastAsia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9日-2026年9月10日</w:t>
            </w:r>
          </w:p>
        </w:tc>
      </w:tr>
      <w:tr w14:paraId="1569D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2419" w:type="dxa"/>
            <w:vAlign w:val="center"/>
          </w:tcPr>
          <w:p w14:paraId="18184124">
            <w:pPr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7362" w:type="dxa"/>
            <w:vAlign w:val="center"/>
          </w:tcPr>
          <w:p w14:paraId="41FB69DF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上海市闵行区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陈行公路2168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号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智慧广场9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号楼之江生物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会议室</w:t>
            </w:r>
          </w:p>
        </w:tc>
      </w:tr>
      <w:tr w14:paraId="7657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2419" w:type="dxa"/>
            <w:vAlign w:val="center"/>
          </w:tcPr>
          <w:p w14:paraId="75B70627">
            <w:pPr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公司接待人员</w:t>
            </w:r>
          </w:p>
          <w:p w14:paraId="6262EAEC">
            <w:pPr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7362" w:type="dxa"/>
            <w:vAlign w:val="center"/>
          </w:tcPr>
          <w:p w14:paraId="377E5C8A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公司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副总经理兼</w:t>
            </w:r>
            <w:r>
              <w:rPr>
                <w:rFonts w:ascii="宋体" w:hAnsi="宋体" w:eastAsia="宋体"/>
                <w:sz w:val="24"/>
                <w:szCs w:val="24"/>
              </w:rPr>
              <w:t>董事会秘书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：倪卫琴</w:t>
            </w:r>
          </w:p>
          <w:p w14:paraId="059254F6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证券事务代表：金宇丹</w:t>
            </w:r>
          </w:p>
        </w:tc>
      </w:tr>
      <w:tr w14:paraId="29DCB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2419" w:type="dxa"/>
            <w:vAlign w:val="center"/>
          </w:tcPr>
          <w:p w14:paraId="02735531">
            <w:pPr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7362" w:type="dxa"/>
            <w:vAlign w:val="center"/>
          </w:tcPr>
          <w:p w14:paraId="020C9658">
            <w:pPr>
              <w:spacing w:line="360" w:lineRule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交流的主要问题及答复：</w:t>
            </w:r>
          </w:p>
          <w:p w14:paraId="487D473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A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1.问：想了解一下公司目前主营情况及业绩趋势。</w:t>
            </w:r>
          </w:p>
          <w:p w14:paraId="2F0354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A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答：2026年上半年业务结构方面，核酸检测试剂盒是公司主要的收入来源，其中妇科类、呼吸道类、肝炎类试剂收入占比较高。2026年公司多项产品已取得国内医疗器械注册证和国际认证。公司在持续巩固分子诊断主业，优化产品结构的同时，通过拓展国内外渠道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海外市场认证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加速前沿技术产业化等多维度举措，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有望打开增量空间。</w:t>
            </w:r>
          </w:p>
          <w:p w14:paraId="61620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2. 问：想了解一下公司的战略方向。</w:t>
            </w:r>
          </w:p>
          <w:p w14:paraId="1B11C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答：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公司坚持“诊断与治疗并重、以诊断为根基、向治疗延伸”的一体化发展战略。诊断业务作为现金流和基本盘，持续强化试剂、仪器及配套耗材的协同优势；创新药及前沿技术则作为未来增长期权，与诊断业务形成双向赋能。各公司分工明确、协同互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之江生物作为集团公司，专注于试剂的研发、生产和销售，是核心业务的基础；子公司之江科技负责仪器设备的研发与生产，与试剂业务协同形成一体化解决方案，并承担药物研发职能；子公司上海奥润专注于磁珠材料的研发和生产；子公司之江未来致力于膜材料等前沿技术的研发；子公司之江再生医学致力于类器官、芯片等前沿技术和产品的研发；之江细胞技术承载细胞治疗药物和技术等方向的研发，布局未来创新领域；子公司之江美国专注于研发创新、国际注册认证及先进技术对接；子公司川月株式会社作为海外生产基地，重点辐射日本及欧美市场。各子公司产品线独立运营、专业分工，形成协同，稳步推进公司创新业务与多元化布局。</w:t>
            </w:r>
          </w:p>
          <w:p w14:paraId="2AF27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3.问：想了解一下类器官业务的应用场景及商业化方向。</w:t>
            </w:r>
          </w:p>
          <w:p w14:paraId="4460772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A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答：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应用场景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方面，公司依托已建立的多肿瘤模型及高通量自动化平台，构建药物筛选、药效评价、药物毒性评估及肿瘤药敏等应用场景，显著提升实验效率与标准化水平。业务分为个性化肿瘤类器官与标准化器官。公司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目前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已建成覆盖肝癌、胰腺癌等20余种肿瘤的类器官库，实现科研服务落地。</w:t>
            </w:r>
          </w:p>
          <w:p w14:paraId="76655B2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A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商业化方向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方面，后续将向GMP体系升级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，可为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向客户提供标品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设备、耗材及技术服务整体解决方案。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业务与公司在抗体药、细胞治疗等方向的研发形成协同，共同构建从诊断到治疗的闭环能力。</w:t>
            </w:r>
          </w:p>
          <w:p w14:paraId="774AE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4. 问：想了解一下膜材料平台的应用场景及规划。</w:t>
            </w:r>
          </w:p>
          <w:p w14:paraId="3FEA484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A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答：膜材料平台基于公司自主核心技术，实现了从液体到拉丝再到膜材的全流程自研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该平台可应用于诊断领域、药物开发制备、纯化以及透析治疗等多个方向，覆盖从体外诊断到治疗端的多元需求。目前，该平台已完成实验室级验证，下一步将向产业化量产方向推进，逐步释放技术价值，为公司打开新的业务增长空间。</w:t>
            </w:r>
          </w:p>
          <w:p w14:paraId="13EE56A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A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Style w:val="11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val="en-US" w:eastAsia="zh-CN"/>
              </w:rPr>
              <w:t>5</w:t>
            </w:r>
            <w:r>
              <w:rPr>
                <w:rStyle w:val="11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. 问：公司核心团队是否稳定，后续是否有团队激励安排？</w:t>
            </w:r>
          </w:p>
          <w:p w14:paraId="6CE89A6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A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答：公司整体治理结构稳健，核心管理层及技术团队保持高度稳定。核心技术团队以博士人才为主，且公司已通过员工持股平台实现了核心骨干与公司利益的深度绑定，有效保障了团队的积极性与稳定性。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2025年，公司共实施了三次回购，前两次主要用于市值管理，第三次回购目前仍在进行中，回购股份将在未来适宜时机用于员工持股计划或股权激励。</w:t>
            </w:r>
          </w:p>
          <w:p w14:paraId="19E39E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6.问：公司与三优生物在哪些领域开展合作，具体合作模式是什么？未来是否会考虑继续增资？</w:t>
            </w:r>
          </w:p>
          <w:p w14:paraId="53AF4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答：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公司与三优生物建立了深度战略合作关系，呈现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双向赋能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的特点。一方面，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公司依托参股的三优生物及自建团队，布局肿瘤与传染病领域的抗体药物，双方在抗体药物发现与早期开发领域开展多项合作项。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另一方面，公司基于在自动化平台方面的技术积累，为三优生物提供设备定制化服务，支持其抗体药物研发过程中的高通量筛选、自动化处理等关键环节。后续股权安排将结合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双方的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战略协同进展与市场环境等因素统筹考虑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</w:rPr>
              <w:t>。</w:t>
            </w:r>
          </w:p>
          <w:p w14:paraId="4A1CF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7. 问：公司是否存在被实施退市风险警示的风险。</w:t>
            </w:r>
          </w:p>
          <w:p w14:paraId="01A9241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AFAFA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480" w:firstLineChars="200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答：现经营一切正常，公司管理层正多措并举，全力改善基本面。具体而言，公司坚持聚焦IVD主业以巩固现金流基本盘，主动优化产品结构，重点发展高价值业务，同时压缩缺乏价格优势的定性产品。在此基础上，大力加强国内市场营销，并积极拓展海外渠道，以试剂销售带动设备布局，实现开源增收。此外，通过强化内部控制、降本增效等手段提升运营效率，并已内部设定明确的年度营收指标，以持续满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  <w:lang w:eastAsia="zh-CN"/>
              </w:rPr>
              <w:t>科创板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AFAFA"/>
              </w:rPr>
              <w:t>上市相关财务要求，规避潜在的ST触发风险。管理层对公司基本面持续向好抱有信心。</w:t>
            </w:r>
          </w:p>
        </w:tc>
      </w:tr>
    </w:tbl>
    <w:p w14:paraId="4A281E75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7DE43">
    <w:pPr>
      <w:pStyle w:val="6"/>
      <w:jc w:val="left"/>
    </w:pPr>
    <w:r>
      <w:rPr>
        <w:rFonts w:hint="eastAsia" w:ascii="宋体" w:hAnsi="宋体" w:eastAsia="宋体" w:cs="宋体"/>
        <w:b/>
        <w:bCs/>
        <w:sz w:val="24"/>
        <w:szCs w:val="24"/>
        <w:lang w:val="en-US" w:eastAsia="zh-CN"/>
      </w:rPr>
      <w:t>证券简称：之江生物                                  证券代码：688317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llOGIxNzgxN2ZhNzEzNWM1MTg1YWJhYzU5YzQ5YmYifQ=="/>
  </w:docVars>
  <w:rsids>
    <w:rsidRoot w:val="004E38CE"/>
    <w:rsid w:val="00007266"/>
    <w:rsid w:val="00007BF5"/>
    <w:rsid w:val="000204D5"/>
    <w:rsid w:val="00041D9D"/>
    <w:rsid w:val="000E28C0"/>
    <w:rsid w:val="00126F6F"/>
    <w:rsid w:val="00150A86"/>
    <w:rsid w:val="001511C8"/>
    <w:rsid w:val="001925CE"/>
    <w:rsid w:val="001A5D03"/>
    <w:rsid w:val="001D45C3"/>
    <w:rsid w:val="001D7D59"/>
    <w:rsid w:val="002050CF"/>
    <w:rsid w:val="002212EE"/>
    <w:rsid w:val="002C16D4"/>
    <w:rsid w:val="002C49A2"/>
    <w:rsid w:val="0031283E"/>
    <w:rsid w:val="00331C82"/>
    <w:rsid w:val="003C0DFA"/>
    <w:rsid w:val="003C7394"/>
    <w:rsid w:val="0041193E"/>
    <w:rsid w:val="00430EC9"/>
    <w:rsid w:val="004E05DF"/>
    <w:rsid w:val="004E38CE"/>
    <w:rsid w:val="00501956"/>
    <w:rsid w:val="005248DB"/>
    <w:rsid w:val="0053742C"/>
    <w:rsid w:val="005435D2"/>
    <w:rsid w:val="00544F3A"/>
    <w:rsid w:val="00575AA1"/>
    <w:rsid w:val="005D12CF"/>
    <w:rsid w:val="005D6A82"/>
    <w:rsid w:val="006400DD"/>
    <w:rsid w:val="00642722"/>
    <w:rsid w:val="006A6BA2"/>
    <w:rsid w:val="006E2581"/>
    <w:rsid w:val="006E7F5A"/>
    <w:rsid w:val="006F5F81"/>
    <w:rsid w:val="00721FC1"/>
    <w:rsid w:val="00763D78"/>
    <w:rsid w:val="00843EE7"/>
    <w:rsid w:val="00844EFE"/>
    <w:rsid w:val="00894916"/>
    <w:rsid w:val="008A1908"/>
    <w:rsid w:val="008F64D9"/>
    <w:rsid w:val="0091539A"/>
    <w:rsid w:val="00925590"/>
    <w:rsid w:val="00957709"/>
    <w:rsid w:val="00993463"/>
    <w:rsid w:val="009A263B"/>
    <w:rsid w:val="009C1151"/>
    <w:rsid w:val="009F005B"/>
    <w:rsid w:val="00A86B43"/>
    <w:rsid w:val="00AA2D87"/>
    <w:rsid w:val="00AF040C"/>
    <w:rsid w:val="00BB695B"/>
    <w:rsid w:val="00BF357E"/>
    <w:rsid w:val="00C337F0"/>
    <w:rsid w:val="00CA1657"/>
    <w:rsid w:val="00CB276A"/>
    <w:rsid w:val="00CF04DF"/>
    <w:rsid w:val="00D12D78"/>
    <w:rsid w:val="00D32466"/>
    <w:rsid w:val="00D417B6"/>
    <w:rsid w:val="00D51D8D"/>
    <w:rsid w:val="00D75316"/>
    <w:rsid w:val="00DC26F6"/>
    <w:rsid w:val="00E32733"/>
    <w:rsid w:val="00E603FA"/>
    <w:rsid w:val="00E71BC5"/>
    <w:rsid w:val="00E913F2"/>
    <w:rsid w:val="00ED2C5A"/>
    <w:rsid w:val="00EE440E"/>
    <w:rsid w:val="00EF5318"/>
    <w:rsid w:val="00F06482"/>
    <w:rsid w:val="00FA2CE6"/>
    <w:rsid w:val="00FD2D42"/>
    <w:rsid w:val="03B94246"/>
    <w:rsid w:val="03E01391"/>
    <w:rsid w:val="05DF3DE1"/>
    <w:rsid w:val="06F3106F"/>
    <w:rsid w:val="0B574FAC"/>
    <w:rsid w:val="10C2169C"/>
    <w:rsid w:val="113413B0"/>
    <w:rsid w:val="11935716"/>
    <w:rsid w:val="12BE0493"/>
    <w:rsid w:val="148678A1"/>
    <w:rsid w:val="17A821AF"/>
    <w:rsid w:val="17D26762"/>
    <w:rsid w:val="18673677"/>
    <w:rsid w:val="18E3411F"/>
    <w:rsid w:val="19902D1D"/>
    <w:rsid w:val="1F9E4534"/>
    <w:rsid w:val="22327245"/>
    <w:rsid w:val="22AC4CE9"/>
    <w:rsid w:val="23A1697A"/>
    <w:rsid w:val="24D43FA5"/>
    <w:rsid w:val="26BE19EF"/>
    <w:rsid w:val="276E1732"/>
    <w:rsid w:val="29F86C12"/>
    <w:rsid w:val="2B5C7F1B"/>
    <w:rsid w:val="2C3167C0"/>
    <w:rsid w:val="373C358D"/>
    <w:rsid w:val="384A2B0C"/>
    <w:rsid w:val="3C973C5F"/>
    <w:rsid w:val="3CA757CE"/>
    <w:rsid w:val="3E8A7577"/>
    <w:rsid w:val="40521ACB"/>
    <w:rsid w:val="409E142B"/>
    <w:rsid w:val="42A97452"/>
    <w:rsid w:val="43087A30"/>
    <w:rsid w:val="44D53472"/>
    <w:rsid w:val="49283A0D"/>
    <w:rsid w:val="49D002BE"/>
    <w:rsid w:val="4A6C513B"/>
    <w:rsid w:val="4C1772EF"/>
    <w:rsid w:val="4C265483"/>
    <w:rsid w:val="4D8F1B57"/>
    <w:rsid w:val="4DCC0923"/>
    <w:rsid w:val="4F4A27AE"/>
    <w:rsid w:val="521833A7"/>
    <w:rsid w:val="56277D4B"/>
    <w:rsid w:val="57016C0B"/>
    <w:rsid w:val="5B0A090A"/>
    <w:rsid w:val="61B53248"/>
    <w:rsid w:val="63173073"/>
    <w:rsid w:val="64892B9A"/>
    <w:rsid w:val="6AF11079"/>
    <w:rsid w:val="6C3C16FD"/>
    <w:rsid w:val="6DD11099"/>
    <w:rsid w:val="6FB75A30"/>
    <w:rsid w:val="703947D7"/>
    <w:rsid w:val="719B709D"/>
    <w:rsid w:val="72F90662"/>
    <w:rsid w:val="739475FB"/>
    <w:rsid w:val="74700A08"/>
    <w:rsid w:val="778D5CDC"/>
    <w:rsid w:val="779F037C"/>
    <w:rsid w:val="78ED7920"/>
    <w:rsid w:val="7AAE3E0E"/>
    <w:rsid w:val="7D78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pPr>
      <w:spacing w:before="0" w:after="0"/>
    </w:pPr>
  </w:style>
  <w:style w:type="paragraph" w:styleId="4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 w:cs="Times New Roman"/>
    </w:rPr>
  </w:style>
  <w:style w:type="character" w:customStyle="1" w:styleId="13">
    <w:name w:val="页眉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5">
    <w:name w:val="批注框文本 字符"/>
    <w:basedOn w:val="10"/>
    <w:link w:val="4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1906</Words>
  <Characters>1959</Characters>
  <Lines>23</Lines>
  <Paragraphs>6</Paragraphs>
  <TotalTime>12</TotalTime>
  <ScaleCrop>false</ScaleCrop>
  <LinksUpToDate>false</LinksUpToDate>
  <CharactersWithSpaces>2006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2022-05-26T03:24:00Z</dcterms:created>
  <dc:creator>楚天舒</dc:creator>
  <cp:lastModifiedBy>Vivian1405424780</cp:lastModifiedBy>
  <dcterms:modified xsi:type="dcterms:W3CDTF">2026-09-10T09:13:58Z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C03E0C7B5FEA45DDA4FC687868ED5B99</vt:lpwstr>
  </property>
  <property fmtid="{D5CDD505-2E9C-101B-9397-08002B2CF9AE}" pid="4" name="KSOTemplateDocerSaveRecord">
    <vt:lpwstr>eyJoZGlkIjoiNDllOGIxNzgxN2ZhNzEzNWM1MTg1YWJhYzU5YzQ5YmYiLCJ1c2VySWQiOiIxODY2NjIyMyJ9</vt:lpwstr>
  </property>
</Properties>
</file>