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AC9E4">
      <w:pPr>
        <w:spacing w:before="156" w:beforeLines="50" w:after="156" w:afterLines="50" w:line="400" w:lineRule="exact"/>
        <w:rPr>
          <w:rFonts w:ascii="宋体" w:hAnsi="宋体"/>
          <w:b/>
          <w:bCs/>
          <w:iCs/>
          <w:color w:val="000000"/>
          <w:sz w:val="24"/>
          <w:szCs w:val="24"/>
        </w:rPr>
      </w:pPr>
      <w:r>
        <w:rPr>
          <w:rFonts w:hint="eastAsia" w:ascii="宋体" w:hAnsi="宋体"/>
          <w:b/>
          <w:bCs/>
          <w:iCs/>
          <w:color w:val="000000"/>
          <w:sz w:val="24"/>
          <w:szCs w:val="24"/>
        </w:rPr>
        <w:t>证券代码：</w:t>
      </w:r>
      <w:r>
        <w:rPr>
          <w:rFonts w:ascii="宋体" w:hAnsi="宋体"/>
          <w:b/>
          <w:bCs/>
          <w:iCs/>
          <w:color w:val="000000"/>
          <w:sz w:val="24"/>
          <w:szCs w:val="24"/>
        </w:rPr>
        <w:t>688651</w:t>
      </w:r>
      <w:r>
        <w:rPr>
          <w:rFonts w:hint="eastAsia" w:ascii="宋体" w:hAnsi="宋体"/>
          <w:b/>
          <w:bCs/>
          <w:iCs/>
          <w:color w:val="000000"/>
          <w:sz w:val="24"/>
          <w:szCs w:val="24"/>
        </w:rPr>
        <w:t xml:space="preserve">                                   证券简称：盛邦安全</w:t>
      </w:r>
    </w:p>
    <w:p w14:paraId="3760004D">
      <w:pPr>
        <w:spacing w:before="156" w:beforeLines="50" w:after="156" w:afterLines="50" w:line="400" w:lineRule="exact"/>
        <w:jc w:val="center"/>
        <w:rPr>
          <w:rFonts w:ascii="宋体" w:hAnsi="宋体"/>
          <w:b/>
          <w:bCs/>
          <w:iCs/>
          <w:color w:val="000000"/>
          <w:sz w:val="32"/>
          <w:szCs w:val="32"/>
        </w:rPr>
      </w:pPr>
    </w:p>
    <w:p w14:paraId="78F866F5">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lang w:eastAsia="zh-CN"/>
        </w:rPr>
        <w:t>远江盛邦安全科技集团</w:t>
      </w:r>
      <w:r>
        <w:rPr>
          <w:rFonts w:hint="eastAsia" w:ascii="宋体" w:hAnsi="宋体"/>
          <w:b/>
          <w:bCs/>
          <w:iCs/>
          <w:color w:val="000000"/>
          <w:sz w:val="32"/>
          <w:szCs w:val="32"/>
        </w:rPr>
        <w:t>股份有限公司</w:t>
      </w:r>
    </w:p>
    <w:p w14:paraId="6C92AECD">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rPr>
        <w:t>投资者关系活动记录表</w:t>
      </w:r>
    </w:p>
    <w:p w14:paraId="5248DA98">
      <w:pPr>
        <w:rPr>
          <w:rFonts w:hint="eastAsia" w:ascii="宋体" w:hAnsi="宋体" w:eastAsiaTheme="minorEastAsia"/>
          <w:bCs/>
          <w:iCs/>
          <w:color w:val="000000"/>
          <w:sz w:val="24"/>
          <w:lang w:eastAsia="zh-CN"/>
        </w:rPr>
      </w:pPr>
      <w:r>
        <w:rPr>
          <w:rFonts w:hint="eastAsia" w:ascii="宋体" w:hAnsi="宋体"/>
          <w:bCs/>
          <w:iCs/>
          <w:color w:val="000000"/>
          <w:sz w:val="24"/>
        </w:rPr>
        <w:t xml:space="preserve">                                                      编号：202</w:t>
      </w:r>
      <w:r>
        <w:rPr>
          <w:rFonts w:hint="eastAsia" w:ascii="宋体" w:hAnsi="宋体"/>
          <w:bCs/>
          <w:iCs/>
          <w:color w:val="000000"/>
          <w:sz w:val="24"/>
          <w:lang w:val="en-US" w:eastAsia="zh-CN"/>
        </w:rPr>
        <w:t>6</w:t>
      </w:r>
      <w:r>
        <w:rPr>
          <w:rFonts w:hint="eastAsia" w:ascii="宋体" w:hAnsi="宋体"/>
          <w:bCs/>
          <w:iCs/>
          <w:color w:val="000000"/>
          <w:sz w:val="24"/>
        </w:rPr>
        <w:t>-</w:t>
      </w:r>
      <w:r>
        <w:rPr>
          <w:rFonts w:ascii="宋体" w:hAnsi="宋体"/>
          <w:bCs/>
          <w:iCs/>
          <w:color w:val="000000"/>
          <w:sz w:val="24"/>
        </w:rPr>
        <w:t>00</w:t>
      </w:r>
      <w:r>
        <w:rPr>
          <w:rFonts w:hint="eastAsia" w:ascii="宋体" w:hAnsi="宋体"/>
          <w:bCs/>
          <w:iCs/>
          <w:color w:val="000000"/>
          <w:sz w:val="24"/>
          <w:lang w:val="en-US" w:eastAsia="zh-CN"/>
        </w:rPr>
        <w:t>3</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614"/>
      </w:tblGrid>
      <w:tr w14:paraId="0DBE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4FF6D741">
            <w:pPr>
              <w:spacing w:line="480" w:lineRule="atLeast"/>
              <w:jc w:val="center"/>
              <w:rPr>
                <w:rFonts w:asciiTheme="minorEastAsia" w:hAnsiTheme="minorEastAsia"/>
                <w:bCs/>
                <w:iCs/>
                <w:color w:val="000000"/>
                <w:sz w:val="24"/>
              </w:rPr>
            </w:pPr>
            <w:r>
              <w:rPr>
                <w:rFonts w:hint="eastAsia" w:asciiTheme="minorEastAsia" w:hAnsiTheme="minorEastAsia"/>
                <w:bCs/>
                <w:iCs/>
                <w:color w:val="000000"/>
                <w:sz w:val="24"/>
              </w:rPr>
              <w:t>投资者关系活动类别</w:t>
            </w:r>
          </w:p>
        </w:tc>
        <w:tc>
          <w:tcPr>
            <w:tcW w:w="6614" w:type="dxa"/>
            <w:tcBorders>
              <w:top w:val="single" w:color="auto" w:sz="4" w:space="0"/>
              <w:left w:val="single" w:color="auto" w:sz="4" w:space="0"/>
              <w:bottom w:val="single" w:color="auto" w:sz="4" w:space="0"/>
              <w:right w:val="single" w:color="auto" w:sz="4" w:space="0"/>
            </w:tcBorders>
          </w:tcPr>
          <w:p w14:paraId="4BACB0E1">
            <w:pPr>
              <w:tabs>
                <w:tab w:val="left" w:pos="2487"/>
              </w:tabs>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w:t>
            </w:r>
            <w:r>
              <w:rPr>
                <w:rFonts w:hint="eastAsia" w:asciiTheme="minorEastAsia" w:hAnsiTheme="minorEastAsia"/>
                <w:sz w:val="24"/>
                <w:szCs w:val="24"/>
              </w:rPr>
              <w:t xml:space="preserve">特定对象调研       </w:t>
            </w:r>
            <w:r>
              <w:rPr>
                <w:rFonts w:asciiTheme="minorEastAsia" w:hAnsiTheme="minorEastAsia"/>
                <w:sz w:val="24"/>
                <w:szCs w:val="24"/>
              </w:rPr>
              <w:t xml:space="preserve"> </w:t>
            </w:r>
            <w:r>
              <w:rPr>
                <w:rFonts w:hint="eastAsia" w:asciiTheme="minorEastAsia" w:hAnsiTheme="minorEastAsia"/>
                <w:bCs/>
                <w:iCs/>
                <w:color w:val="000000"/>
                <w:sz w:val="24"/>
                <w:szCs w:val="24"/>
              </w:rPr>
              <w:t>□</w:t>
            </w:r>
            <w:r>
              <w:rPr>
                <w:rFonts w:hint="eastAsia" w:asciiTheme="minorEastAsia" w:hAnsiTheme="minorEastAsia"/>
                <w:sz w:val="24"/>
                <w:szCs w:val="24"/>
              </w:rPr>
              <w:t>分析师会议</w:t>
            </w:r>
          </w:p>
          <w:p w14:paraId="3B0A8087">
            <w:pPr>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w:t>
            </w:r>
            <w:r>
              <w:rPr>
                <w:rFonts w:hint="eastAsia" w:asciiTheme="minorEastAsia" w:hAnsiTheme="minorEastAsia"/>
                <w:sz w:val="24"/>
                <w:szCs w:val="24"/>
              </w:rPr>
              <w:t xml:space="preserve">媒体采访            </w:t>
            </w:r>
            <w:r>
              <w:rPr>
                <w:rFonts w:hint="eastAsia" w:asciiTheme="minorEastAsia" w:hAnsiTheme="minorEastAsia"/>
                <w:bCs/>
                <w:iCs/>
                <w:color w:val="000000"/>
                <w:sz w:val="24"/>
                <w:szCs w:val="24"/>
              </w:rPr>
              <w:t>√</w:t>
            </w:r>
            <w:r>
              <w:rPr>
                <w:rFonts w:hint="eastAsia" w:asciiTheme="minorEastAsia" w:hAnsiTheme="minorEastAsia"/>
                <w:sz w:val="24"/>
                <w:szCs w:val="24"/>
              </w:rPr>
              <w:t>业绩说明会</w:t>
            </w:r>
          </w:p>
          <w:p w14:paraId="1CF19E40">
            <w:pPr>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w:t>
            </w:r>
            <w:r>
              <w:rPr>
                <w:rFonts w:hint="eastAsia" w:asciiTheme="minorEastAsia" w:hAnsiTheme="minorEastAsia"/>
                <w:sz w:val="24"/>
                <w:szCs w:val="24"/>
              </w:rPr>
              <w:t xml:space="preserve">新闻发布会          </w:t>
            </w:r>
            <w:r>
              <w:rPr>
                <w:rFonts w:hint="eastAsia" w:asciiTheme="minorEastAsia" w:hAnsiTheme="minorEastAsia"/>
                <w:bCs/>
                <w:iCs/>
                <w:color w:val="000000"/>
                <w:sz w:val="24"/>
                <w:szCs w:val="24"/>
              </w:rPr>
              <w:t>□</w:t>
            </w:r>
            <w:r>
              <w:rPr>
                <w:rFonts w:hint="eastAsia" w:asciiTheme="minorEastAsia" w:hAnsiTheme="minorEastAsia"/>
                <w:sz w:val="24"/>
                <w:szCs w:val="24"/>
              </w:rPr>
              <w:t>路演活动</w:t>
            </w:r>
          </w:p>
          <w:p w14:paraId="7C50C39B">
            <w:pPr>
              <w:tabs>
                <w:tab w:val="left" w:pos="2565"/>
                <w:tab w:val="center" w:pos="3199"/>
              </w:tabs>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w:t>
            </w:r>
            <w:r>
              <w:rPr>
                <w:rFonts w:hint="eastAsia" w:asciiTheme="minorEastAsia" w:hAnsiTheme="minorEastAsia"/>
                <w:sz w:val="24"/>
                <w:szCs w:val="24"/>
              </w:rPr>
              <w:t>现场参观</w:t>
            </w:r>
          </w:p>
          <w:p w14:paraId="416D00A7">
            <w:pPr>
              <w:tabs>
                <w:tab w:val="center" w:pos="3199"/>
              </w:tabs>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w:t>
            </w:r>
            <w:r>
              <w:rPr>
                <w:rFonts w:hint="eastAsia" w:asciiTheme="minorEastAsia" w:hAnsiTheme="minorEastAsia"/>
                <w:sz w:val="24"/>
                <w:szCs w:val="24"/>
              </w:rPr>
              <w:t>其他 （</w:t>
            </w:r>
            <w:r>
              <w:rPr>
                <w:rFonts w:hint="eastAsia" w:asciiTheme="minorEastAsia" w:hAnsiTheme="minorEastAsia"/>
                <w:sz w:val="24"/>
                <w:szCs w:val="24"/>
                <w:u w:val="single"/>
              </w:rPr>
              <w:t>请文字说明其他活动内容）</w:t>
            </w:r>
          </w:p>
        </w:tc>
      </w:tr>
      <w:tr w14:paraId="7C99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908" w:type="dxa"/>
            <w:tcBorders>
              <w:top w:val="single" w:color="auto" w:sz="4" w:space="0"/>
              <w:left w:val="single" w:color="auto" w:sz="4" w:space="0"/>
              <w:bottom w:val="single" w:color="auto" w:sz="4" w:space="0"/>
              <w:right w:val="single" w:color="auto" w:sz="4" w:space="0"/>
            </w:tcBorders>
            <w:vAlign w:val="center"/>
          </w:tcPr>
          <w:p w14:paraId="6E44B212">
            <w:pPr>
              <w:spacing w:line="480" w:lineRule="atLeast"/>
              <w:jc w:val="center"/>
              <w:rPr>
                <w:rFonts w:asciiTheme="minorEastAsia" w:hAnsiTheme="minorEastAsia"/>
                <w:bCs/>
                <w:iCs/>
                <w:color w:val="000000"/>
                <w:sz w:val="24"/>
              </w:rPr>
            </w:pPr>
            <w:r>
              <w:rPr>
                <w:rFonts w:hint="eastAsia" w:asciiTheme="minorEastAsia" w:hAnsiTheme="minorEastAsia"/>
                <w:bCs/>
                <w:iCs/>
                <w:color w:val="000000"/>
                <w:sz w:val="24"/>
              </w:rPr>
              <w:t>参与单位名称及人员姓名</w:t>
            </w:r>
          </w:p>
        </w:tc>
        <w:tc>
          <w:tcPr>
            <w:tcW w:w="6614" w:type="dxa"/>
            <w:tcBorders>
              <w:top w:val="single" w:color="auto" w:sz="4" w:space="0"/>
              <w:left w:val="single" w:color="auto" w:sz="4" w:space="0"/>
              <w:bottom w:val="single" w:color="auto" w:sz="4" w:space="0"/>
              <w:right w:val="single" w:color="auto" w:sz="4" w:space="0"/>
            </w:tcBorders>
            <w:vAlign w:val="center"/>
          </w:tcPr>
          <w:p w14:paraId="1D9F1FF2">
            <w:pPr>
              <w:spacing w:line="360" w:lineRule="auto"/>
              <w:rPr>
                <w:rFonts w:asciiTheme="minorEastAsia" w:hAnsiTheme="minorEastAsia"/>
                <w:bCs/>
                <w:iCs/>
                <w:color w:val="000000"/>
                <w:sz w:val="24"/>
                <w:szCs w:val="24"/>
              </w:rPr>
            </w:pPr>
            <w:r>
              <w:rPr>
                <w:rFonts w:hint="eastAsia" w:asciiTheme="minorEastAsia" w:hAnsiTheme="minorEastAsia"/>
                <w:bCs/>
                <w:iCs/>
                <w:color w:val="000000"/>
                <w:sz w:val="24"/>
                <w:szCs w:val="24"/>
              </w:rPr>
              <w:t>通过上证路演中心线上参与的所有投资者。</w:t>
            </w:r>
          </w:p>
        </w:tc>
      </w:tr>
      <w:tr w14:paraId="659D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908" w:type="dxa"/>
            <w:tcBorders>
              <w:top w:val="single" w:color="auto" w:sz="4" w:space="0"/>
              <w:left w:val="single" w:color="auto" w:sz="4" w:space="0"/>
              <w:bottom w:val="single" w:color="auto" w:sz="4" w:space="0"/>
              <w:right w:val="single" w:color="auto" w:sz="4" w:space="0"/>
            </w:tcBorders>
            <w:vAlign w:val="center"/>
          </w:tcPr>
          <w:p w14:paraId="1D78DEF8">
            <w:pPr>
              <w:spacing w:line="480" w:lineRule="atLeast"/>
              <w:jc w:val="center"/>
              <w:rPr>
                <w:rFonts w:asciiTheme="minorEastAsia" w:hAnsiTheme="minorEastAsia"/>
                <w:bCs/>
                <w:iCs/>
                <w:color w:val="000000"/>
                <w:sz w:val="24"/>
              </w:rPr>
            </w:pPr>
            <w:r>
              <w:rPr>
                <w:rFonts w:hint="eastAsia" w:asciiTheme="minorEastAsia" w:hAnsiTheme="minorEastAsia"/>
                <w:bCs/>
                <w:iCs/>
                <w:color w:val="000000"/>
                <w:sz w:val="24"/>
              </w:rPr>
              <w:t>时间</w:t>
            </w:r>
          </w:p>
        </w:tc>
        <w:tc>
          <w:tcPr>
            <w:tcW w:w="6614" w:type="dxa"/>
            <w:tcBorders>
              <w:top w:val="single" w:color="auto" w:sz="4" w:space="0"/>
              <w:left w:val="single" w:color="auto" w:sz="4" w:space="0"/>
              <w:bottom w:val="single" w:color="auto" w:sz="4" w:space="0"/>
              <w:right w:val="single" w:color="auto" w:sz="4" w:space="0"/>
            </w:tcBorders>
          </w:tcPr>
          <w:p w14:paraId="410E88AA">
            <w:pPr>
              <w:spacing w:line="480" w:lineRule="atLeast"/>
              <w:rPr>
                <w:rFonts w:asciiTheme="minorEastAsia" w:hAnsiTheme="minorEastAsia"/>
                <w:bCs/>
                <w:iCs/>
                <w:color w:val="000000"/>
                <w:sz w:val="24"/>
                <w:szCs w:val="24"/>
              </w:rPr>
            </w:pPr>
            <w:r>
              <w:rPr>
                <w:rFonts w:hint="eastAsia" w:asciiTheme="minorEastAsia" w:hAnsiTheme="minorEastAsia"/>
                <w:bCs/>
                <w:iCs/>
                <w:color w:val="000000"/>
                <w:sz w:val="24"/>
                <w:szCs w:val="24"/>
              </w:rPr>
              <w:t>2</w:t>
            </w:r>
            <w:r>
              <w:rPr>
                <w:rFonts w:asciiTheme="minorEastAsia" w:hAnsiTheme="minorEastAsia"/>
                <w:bCs/>
                <w:iCs/>
                <w:color w:val="000000"/>
                <w:sz w:val="24"/>
                <w:szCs w:val="24"/>
              </w:rPr>
              <w:t>02</w:t>
            </w:r>
            <w:r>
              <w:rPr>
                <w:rFonts w:hint="eastAsia" w:asciiTheme="minorEastAsia" w:hAnsiTheme="minorEastAsia"/>
                <w:bCs/>
                <w:iCs/>
                <w:color w:val="000000"/>
                <w:sz w:val="24"/>
                <w:szCs w:val="24"/>
                <w:lang w:val="en-US" w:eastAsia="zh-CN"/>
              </w:rPr>
              <w:t>6</w:t>
            </w:r>
            <w:r>
              <w:rPr>
                <w:rFonts w:hint="eastAsia" w:asciiTheme="minorEastAsia" w:hAnsiTheme="minorEastAsia"/>
                <w:bCs/>
                <w:iCs/>
                <w:color w:val="000000"/>
                <w:sz w:val="24"/>
                <w:szCs w:val="24"/>
              </w:rPr>
              <w:t>年</w:t>
            </w:r>
            <w:r>
              <w:rPr>
                <w:rFonts w:hint="eastAsia" w:asciiTheme="minorEastAsia" w:hAnsiTheme="minorEastAsia"/>
                <w:bCs/>
                <w:iCs/>
                <w:color w:val="000000"/>
                <w:sz w:val="24"/>
                <w:szCs w:val="24"/>
                <w:lang w:val="en-US" w:eastAsia="zh-CN"/>
              </w:rPr>
              <w:t>9</w:t>
            </w:r>
            <w:r>
              <w:rPr>
                <w:rFonts w:hint="eastAsia" w:asciiTheme="minorEastAsia" w:hAnsiTheme="minorEastAsia"/>
                <w:bCs/>
                <w:iCs/>
                <w:color w:val="000000"/>
                <w:sz w:val="24"/>
                <w:szCs w:val="24"/>
              </w:rPr>
              <w:t>月</w:t>
            </w:r>
            <w:r>
              <w:rPr>
                <w:rFonts w:hint="eastAsia" w:asciiTheme="minorEastAsia" w:hAnsiTheme="minorEastAsia"/>
                <w:bCs/>
                <w:iCs/>
                <w:color w:val="000000"/>
                <w:sz w:val="24"/>
                <w:szCs w:val="24"/>
                <w:lang w:val="en-US" w:eastAsia="zh-CN"/>
              </w:rPr>
              <w:t>10</w:t>
            </w:r>
            <w:r>
              <w:rPr>
                <w:rFonts w:hint="eastAsia" w:asciiTheme="minorEastAsia" w:hAnsiTheme="minorEastAsia"/>
                <w:bCs/>
                <w:iCs/>
                <w:color w:val="000000"/>
                <w:sz w:val="24"/>
                <w:szCs w:val="24"/>
              </w:rPr>
              <w:t>日</w:t>
            </w:r>
            <w:r>
              <w:rPr>
                <w:rFonts w:asciiTheme="minorEastAsia" w:hAnsiTheme="minorEastAsia"/>
                <w:bCs/>
                <w:iCs/>
                <w:color w:val="000000"/>
                <w:sz w:val="24"/>
                <w:szCs w:val="24"/>
              </w:rPr>
              <w:t xml:space="preserve"> 10:00-11:00</w:t>
            </w:r>
          </w:p>
        </w:tc>
      </w:tr>
      <w:tr w14:paraId="4216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908" w:type="dxa"/>
            <w:tcBorders>
              <w:top w:val="single" w:color="auto" w:sz="4" w:space="0"/>
              <w:left w:val="single" w:color="auto" w:sz="4" w:space="0"/>
              <w:bottom w:val="single" w:color="auto" w:sz="4" w:space="0"/>
              <w:right w:val="single" w:color="auto" w:sz="4" w:space="0"/>
            </w:tcBorders>
            <w:vAlign w:val="center"/>
          </w:tcPr>
          <w:p w14:paraId="6FFEC512">
            <w:pPr>
              <w:spacing w:line="360" w:lineRule="auto"/>
              <w:jc w:val="center"/>
              <w:rPr>
                <w:rFonts w:asciiTheme="minorEastAsia" w:hAnsiTheme="minorEastAsia"/>
                <w:bCs/>
                <w:iCs/>
                <w:color w:val="000000"/>
                <w:sz w:val="24"/>
              </w:rPr>
            </w:pPr>
            <w:r>
              <w:rPr>
                <w:rFonts w:hint="eastAsia" w:asciiTheme="minorEastAsia" w:hAnsiTheme="minorEastAsia"/>
                <w:bCs/>
                <w:iCs/>
                <w:color w:val="000000"/>
                <w:sz w:val="24"/>
              </w:rPr>
              <w:t>地点</w:t>
            </w:r>
          </w:p>
        </w:tc>
        <w:tc>
          <w:tcPr>
            <w:tcW w:w="6614" w:type="dxa"/>
            <w:tcBorders>
              <w:top w:val="single" w:color="auto" w:sz="4" w:space="0"/>
              <w:left w:val="single" w:color="auto" w:sz="4" w:space="0"/>
              <w:bottom w:val="single" w:color="auto" w:sz="4" w:space="0"/>
              <w:right w:val="single" w:color="auto" w:sz="4" w:space="0"/>
            </w:tcBorders>
            <w:vAlign w:val="center"/>
          </w:tcPr>
          <w:p w14:paraId="1BDB2B3E">
            <w:pPr>
              <w:spacing w:line="360" w:lineRule="auto"/>
              <w:rPr>
                <w:rFonts w:asciiTheme="minorEastAsia" w:hAnsiTheme="minorEastAsia"/>
                <w:bCs/>
                <w:iCs/>
                <w:color w:val="000000"/>
                <w:sz w:val="24"/>
                <w:szCs w:val="24"/>
              </w:rPr>
            </w:pPr>
            <w:r>
              <w:rPr>
                <w:rFonts w:ascii="Arial" w:hAnsi="Arial" w:cs="Arial"/>
                <w:sz w:val="24"/>
                <w:szCs w:val="24"/>
                <w:shd w:val="clear" w:color="auto" w:fill="FFFFFF"/>
              </w:rPr>
              <w:t>上证路演中心（http://roadshow.sseinfo.com/)</w:t>
            </w:r>
          </w:p>
        </w:tc>
      </w:tr>
      <w:tr w14:paraId="7BA0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7AD0C0CE">
            <w:pPr>
              <w:spacing w:line="276" w:lineRule="auto"/>
              <w:jc w:val="center"/>
              <w:rPr>
                <w:rFonts w:asciiTheme="minorEastAsia" w:hAnsiTheme="minorEastAsia"/>
                <w:bCs/>
                <w:iCs/>
                <w:color w:val="000000"/>
                <w:sz w:val="24"/>
              </w:rPr>
            </w:pPr>
            <w:r>
              <w:rPr>
                <w:rFonts w:hint="eastAsia" w:asciiTheme="minorEastAsia" w:hAnsiTheme="minorEastAsia"/>
                <w:bCs/>
                <w:iCs/>
                <w:color w:val="000000"/>
                <w:sz w:val="24"/>
              </w:rPr>
              <w:t>上市公司接待</w:t>
            </w:r>
          </w:p>
          <w:p w14:paraId="35818C02">
            <w:pPr>
              <w:spacing w:line="276" w:lineRule="auto"/>
              <w:jc w:val="center"/>
              <w:rPr>
                <w:rFonts w:asciiTheme="minorEastAsia" w:hAnsiTheme="minorEastAsia"/>
                <w:bCs/>
                <w:iCs/>
                <w:color w:val="000000"/>
                <w:sz w:val="24"/>
              </w:rPr>
            </w:pPr>
            <w:r>
              <w:rPr>
                <w:rFonts w:hint="eastAsia" w:asciiTheme="minorEastAsia" w:hAnsiTheme="minorEastAsia"/>
                <w:bCs/>
                <w:iCs/>
                <w:color w:val="000000"/>
                <w:sz w:val="24"/>
              </w:rPr>
              <w:t>人员姓名</w:t>
            </w:r>
          </w:p>
        </w:tc>
        <w:tc>
          <w:tcPr>
            <w:tcW w:w="6614" w:type="dxa"/>
            <w:tcBorders>
              <w:top w:val="single" w:color="auto" w:sz="4" w:space="0"/>
              <w:left w:val="single" w:color="auto" w:sz="4" w:space="0"/>
              <w:bottom w:val="single" w:color="auto" w:sz="4" w:space="0"/>
              <w:right w:val="single" w:color="auto" w:sz="4" w:space="0"/>
            </w:tcBorders>
            <w:vAlign w:val="center"/>
          </w:tcPr>
          <w:p w14:paraId="45E4F53A">
            <w:pPr>
              <w:spacing w:line="360" w:lineRule="auto"/>
              <w:rPr>
                <w:rFonts w:asciiTheme="minorEastAsia" w:hAnsiTheme="minorEastAsia"/>
                <w:bCs/>
                <w:iCs/>
                <w:color w:val="000000"/>
                <w:sz w:val="24"/>
                <w:szCs w:val="24"/>
              </w:rPr>
            </w:pPr>
            <w:r>
              <w:rPr>
                <w:rFonts w:hint="eastAsia" w:asciiTheme="minorEastAsia" w:hAnsiTheme="minorEastAsia"/>
                <w:bCs/>
                <w:iCs/>
                <w:color w:val="000000"/>
                <w:sz w:val="24"/>
                <w:szCs w:val="24"/>
              </w:rPr>
              <w:t>董事长、总经理 权晓文；副总经理、董事会秘书 袁先登；财务负责人 李慜丰；独立董事 谢青</w:t>
            </w:r>
          </w:p>
        </w:tc>
      </w:tr>
      <w:tr w14:paraId="5C17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5BC1FD2F">
            <w:pPr>
              <w:spacing w:line="360" w:lineRule="auto"/>
              <w:jc w:val="center"/>
              <w:rPr>
                <w:rFonts w:asciiTheme="minorEastAsia" w:hAnsiTheme="minorEastAsia"/>
                <w:bCs/>
                <w:iCs/>
                <w:color w:val="000000"/>
                <w:sz w:val="24"/>
              </w:rPr>
            </w:pPr>
            <w:r>
              <w:rPr>
                <w:rFonts w:hint="eastAsia" w:asciiTheme="minorEastAsia" w:hAnsiTheme="minorEastAsia"/>
                <w:bCs/>
                <w:iCs/>
                <w:color w:val="000000"/>
                <w:sz w:val="24"/>
              </w:rPr>
              <w:t>投资者关系活动主要内容介绍</w:t>
            </w:r>
          </w:p>
        </w:tc>
        <w:tc>
          <w:tcPr>
            <w:tcW w:w="6614" w:type="dxa"/>
            <w:tcBorders>
              <w:top w:val="single" w:color="auto" w:sz="4" w:space="0"/>
              <w:left w:val="single" w:color="auto" w:sz="4" w:space="0"/>
              <w:bottom w:val="single" w:color="auto" w:sz="4" w:space="0"/>
              <w:right w:val="single" w:color="auto" w:sz="4" w:space="0"/>
            </w:tcBorders>
          </w:tcPr>
          <w:p w14:paraId="26148C9A">
            <w:pPr>
              <w:pStyle w:val="10"/>
              <w:spacing w:line="360" w:lineRule="auto"/>
              <w:rPr>
                <w:rFonts w:hint="eastAsia" w:ascii="宋体" w:hAnsi="宋体" w:eastAsia="宋体" w:cs="宋体"/>
                <w:b/>
                <w:bCs/>
                <w:sz w:val="24"/>
                <w:szCs w:val="24"/>
                <w:lang w:val="en-US" w:eastAsia="zh-CN"/>
              </w:rPr>
            </w:pPr>
            <w:r>
              <w:rPr>
                <w:rFonts w:hint="default" w:hAnsi="宋体" w:cs="宋体"/>
                <w:b/>
                <w:bCs/>
                <w:sz w:val="24"/>
                <w:szCs w:val="24"/>
                <w:lang w:val="en-US" w:eastAsia="zh-CN"/>
              </w:rPr>
              <w:t>1</w:t>
            </w:r>
            <w:r>
              <w:rPr>
                <w:rFonts w:hint="eastAsia" w:ascii="宋体" w:hAnsi="宋体" w:eastAsia="宋体" w:cs="宋体"/>
                <w:b/>
                <w:bCs/>
                <w:sz w:val="24"/>
                <w:szCs w:val="24"/>
                <w:lang w:val="en-US" w:eastAsia="zh-CN"/>
              </w:rPr>
              <w:t>、公司低空与卫星互联网安全业务，今年落地进展如何？</w:t>
            </w:r>
          </w:p>
          <w:p w14:paraId="28BE8646">
            <w:pPr>
              <w:pStyle w:val="10"/>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尊敬的投资者，您好。公司坚持空天地一体化安全战略，低空、卫星互联网安全业务在产品迭代、场景试点、产业配套方面稳步推进。卫星互联网安全方面，公司在商业航天产业大会展出巨型星座测运控安全、星间激光链路安全、地面承载网通信安全、卫星终端接入安全四大方案；联合清华、北理工团队完成卫星互联网内生主动防御架构（EADA）研发。同时，面向远洋船舶“船-星-岸”通信、海洋监测浮标卫星数据回传场景开展方案落地验证。低空安全业务方面，公司低空无人飞行安全防护方案被收录进《低空智联网环境下的安全管控技术与应用研究》白皮书，其中应急救援低空网络安全管控为典型落地案例；公司还联合产业伙伴发布城市无人航空运营安全服务体系方案，面向城市低空运营、电力巡检、应急作业场景推进试点落地。依托与产业链合作伙伴的协同，持续拓展低空智联网安全管控项目，今年重点推进标杆项目验证，推动方案从技术试点向行业规模化应用转化。未来，公司将持续把握行业机遇，稳步拓展标杆客户与项目，相关业务重大进展请以公司后续公告及定期报告为准。感谢您的关注与支持！</w:t>
            </w:r>
          </w:p>
          <w:p w14:paraId="60750D86">
            <w:pPr>
              <w:pStyle w:val="10"/>
              <w:spacing w:line="360" w:lineRule="auto"/>
              <w:rPr>
                <w:rFonts w:hint="eastAsia" w:ascii="宋体" w:hAnsi="宋体" w:eastAsia="宋体" w:cs="宋体"/>
                <w:b w:val="0"/>
                <w:bCs w:val="0"/>
                <w:sz w:val="24"/>
                <w:szCs w:val="24"/>
                <w:lang w:val="en-US" w:eastAsia="zh-CN"/>
              </w:rPr>
            </w:pPr>
          </w:p>
          <w:p w14:paraId="011742A9">
            <w:pPr>
              <w:pStyle w:val="10"/>
              <w:spacing w:line="360" w:lineRule="auto"/>
              <w:rPr>
                <w:rFonts w:hint="eastAsia" w:ascii="宋体" w:hAnsi="宋体" w:eastAsia="宋体" w:cs="宋体"/>
                <w:b w:val="0"/>
                <w:bCs w:val="0"/>
                <w:sz w:val="24"/>
                <w:szCs w:val="24"/>
                <w:lang w:val="en-US" w:eastAsia="zh-CN"/>
              </w:rPr>
            </w:pPr>
            <w:r>
              <w:rPr>
                <w:rFonts w:hint="default" w:hAnsi="宋体" w:cs="宋体"/>
                <w:b/>
                <w:bCs/>
                <w:sz w:val="24"/>
                <w:szCs w:val="24"/>
                <w:lang w:val="en-US" w:eastAsia="zh-CN"/>
              </w:rPr>
              <w:t>2</w:t>
            </w:r>
            <w:r>
              <w:rPr>
                <w:rFonts w:hint="eastAsia" w:ascii="宋体" w:hAnsi="宋体" w:eastAsia="宋体" w:cs="宋体"/>
                <w:b/>
                <w:bCs/>
                <w:sz w:val="24"/>
                <w:szCs w:val="24"/>
                <w:lang w:val="en-US" w:eastAsia="zh-CN"/>
              </w:rPr>
              <w:t>、AI安全网关产品目前客户拓展情况怎样，何时能贡献明显营收？</w:t>
            </w:r>
          </w:p>
          <w:p w14:paraId="0A6BB1E9">
            <w:pPr>
              <w:pStyle w:val="10"/>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尊敬的投资者,您好。公司AI安全网关聚焦大模型应用接入侧安全防护，针对Prompt注入、数据泄露、模型投毒、权限越权、敏感内容输出等风险提供防护能力。在客户拓展方面，产品已完成多轮迭代优化，面向政企、金融、能源行业客户开展POC测试与试点落地，客户群体覆盖政府、金融机构、央企及重点企事业单位，多家客户完成产品测试验证，部分进入小规模商用部署阶段，典型场景包含政务大模型平台安全接入、企业私有大模型防护、行业知识库安全管控。公司依托现有网络安全客户资源，将AI安全网关融入现有安全解决方案打包推广，同时面向AI服务商开展生态合作。感谢您的关注与支持！</w:t>
            </w:r>
          </w:p>
          <w:p w14:paraId="5DFD044F">
            <w:pPr>
              <w:pStyle w:val="10"/>
              <w:spacing w:line="360" w:lineRule="auto"/>
              <w:rPr>
                <w:rFonts w:hint="eastAsia" w:ascii="宋体" w:hAnsi="宋体" w:eastAsia="宋体" w:cs="宋体"/>
                <w:b w:val="0"/>
                <w:bCs w:val="0"/>
                <w:sz w:val="24"/>
                <w:szCs w:val="24"/>
                <w:lang w:val="en-US" w:eastAsia="zh-CN"/>
              </w:rPr>
            </w:pPr>
          </w:p>
          <w:p w14:paraId="16C3A6CC">
            <w:pPr>
              <w:pStyle w:val="10"/>
              <w:spacing w:line="360" w:lineRule="auto"/>
              <w:rPr>
                <w:rFonts w:hint="eastAsia" w:ascii="宋体" w:hAnsi="宋体" w:eastAsia="宋体" w:cs="宋体"/>
                <w:b w:val="0"/>
                <w:bCs w:val="0"/>
                <w:sz w:val="24"/>
                <w:szCs w:val="24"/>
                <w:lang w:val="en-US" w:eastAsia="zh-CN"/>
              </w:rPr>
            </w:pPr>
            <w:r>
              <w:rPr>
                <w:rFonts w:hint="default" w:hAnsi="宋体" w:cs="宋体"/>
                <w:b/>
                <w:bCs/>
                <w:sz w:val="24"/>
                <w:szCs w:val="24"/>
                <w:lang w:val="en-US" w:eastAsia="zh-CN"/>
              </w:rPr>
              <w:t>3</w:t>
            </w:r>
            <w:r>
              <w:rPr>
                <w:rFonts w:hint="eastAsia" w:ascii="宋体" w:hAnsi="宋体" w:eastAsia="宋体" w:cs="宋体"/>
                <w:b/>
                <w:bCs/>
                <w:sz w:val="24"/>
                <w:szCs w:val="24"/>
                <w:lang w:val="en-US" w:eastAsia="zh-CN"/>
              </w:rPr>
              <w:t>、网络空间地图业务，后续在哪些行业会优先扩大推广？</w:t>
            </w:r>
          </w:p>
          <w:p w14:paraId="67040C01">
            <w:pPr>
              <w:pStyle w:val="10"/>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尊敬的投资者，您好。网络空间地图是网络技术、安全技术和地理信息技术深度交叉形成的前沿方向，公司在网络空间地图领域具备较强的先发优势和行业代表性。虽然受宏观环境和项目节奏影响，该板块短期商业化兑现节奏有所波动，但公司在技术研发、国家任务承担、标准参与、科研成果、数据资产沉淀和行业影响力等方面持续强化。未来公司将持续推进网络空间地图在资产测绘、情报融合、风险治理、卫星互联网测绘等方向的产品化和场景化推广和落地。网络空间地图业务的重点用户主要有公共安全部门、监管部门、智慧城市管理部门、电力能源等行业用户。感谢您的关注与支持！</w:t>
            </w:r>
          </w:p>
          <w:p w14:paraId="4D213ECD">
            <w:pPr>
              <w:pStyle w:val="10"/>
              <w:spacing w:line="360" w:lineRule="auto"/>
              <w:rPr>
                <w:rFonts w:hint="eastAsia" w:ascii="宋体" w:hAnsi="宋体" w:eastAsia="宋体" w:cs="宋体"/>
                <w:b w:val="0"/>
                <w:bCs w:val="0"/>
                <w:sz w:val="24"/>
                <w:szCs w:val="24"/>
                <w:lang w:val="en-US" w:eastAsia="zh-CN"/>
              </w:rPr>
            </w:pPr>
          </w:p>
          <w:p w14:paraId="6571358B">
            <w:pPr>
              <w:pStyle w:val="10"/>
              <w:spacing w:line="360" w:lineRule="auto"/>
              <w:rPr>
                <w:rFonts w:hint="eastAsia" w:ascii="宋体" w:hAnsi="宋体" w:eastAsia="宋体" w:cs="宋体"/>
                <w:b/>
                <w:bCs/>
                <w:sz w:val="24"/>
                <w:szCs w:val="24"/>
                <w:lang w:val="en-US" w:eastAsia="zh-CN"/>
              </w:rPr>
            </w:pPr>
            <w:r>
              <w:rPr>
                <w:rFonts w:hint="default" w:hAnsi="宋体" w:cs="宋体"/>
                <w:b/>
                <w:bCs/>
                <w:sz w:val="24"/>
                <w:szCs w:val="24"/>
                <w:lang w:val="en-US" w:eastAsia="zh-CN"/>
              </w:rPr>
              <w:t>4</w:t>
            </w:r>
            <w:bookmarkStart w:id="0" w:name="_GoBack"/>
            <w:bookmarkEnd w:id="0"/>
            <w:r>
              <w:rPr>
                <w:rFonts w:hint="eastAsia" w:ascii="宋体" w:hAnsi="宋体" w:eastAsia="宋体" w:cs="宋体"/>
                <w:b/>
                <w:bCs/>
                <w:sz w:val="24"/>
                <w:szCs w:val="24"/>
                <w:lang w:val="en-US" w:eastAsia="zh-CN"/>
              </w:rPr>
              <w:t>、管理层好，能否介绍智能通信安全研发制造基地项目的具体内容和最新项目进展？</w:t>
            </w:r>
          </w:p>
          <w:p w14:paraId="2914DAD3">
            <w:pPr>
              <w:pStyle w:val="10"/>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答:尊敬的投资者，您好。智能通信安全研发制造基地项目我们正在有序推进，并及时发布重大进展，最新情况请关注公司公告及公众号相关报道，感谢您的关注与支持！</w:t>
            </w:r>
          </w:p>
        </w:tc>
      </w:tr>
      <w:tr w14:paraId="3831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1F18ADBA">
            <w:pPr>
              <w:spacing w:line="360" w:lineRule="auto"/>
              <w:rPr>
                <w:rFonts w:asciiTheme="minorEastAsia" w:hAnsiTheme="minorEastAsia"/>
                <w:bCs/>
                <w:iCs/>
                <w:color w:val="000000"/>
                <w:sz w:val="24"/>
              </w:rPr>
            </w:pPr>
            <w:r>
              <w:rPr>
                <w:rFonts w:asciiTheme="minorEastAsia" w:hAnsiTheme="minorEastAsia"/>
                <w:bCs/>
                <w:iCs/>
                <w:color w:val="000000"/>
                <w:sz w:val="24"/>
              </w:rPr>
              <w:t>附件清单（如有）</w:t>
            </w:r>
          </w:p>
        </w:tc>
        <w:tc>
          <w:tcPr>
            <w:tcW w:w="6614" w:type="dxa"/>
            <w:tcBorders>
              <w:top w:val="single" w:color="auto" w:sz="4" w:space="0"/>
              <w:left w:val="single" w:color="auto" w:sz="4" w:space="0"/>
              <w:bottom w:val="single" w:color="auto" w:sz="4" w:space="0"/>
              <w:right w:val="single" w:color="auto" w:sz="4" w:space="0"/>
            </w:tcBorders>
            <w:vAlign w:val="center"/>
          </w:tcPr>
          <w:p w14:paraId="10CD89F2">
            <w:pPr>
              <w:spacing w:line="360" w:lineRule="auto"/>
              <w:rPr>
                <w:rFonts w:asciiTheme="minorEastAsia" w:hAnsiTheme="minorEastAsia"/>
                <w:bCs/>
                <w:iCs/>
                <w:color w:val="000000"/>
                <w:sz w:val="24"/>
              </w:rPr>
            </w:pPr>
            <w:r>
              <w:rPr>
                <w:rFonts w:hint="eastAsia" w:asciiTheme="minorEastAsia" w:hAnsiTheme="minorEastAsia"/>
                <w:bCs/>
                <w:iCs/>
                <w:color w:val="000000"/>
                <w:sz w:val="24"/>
              </w:rPr>
              <w:t>无</w:t>
            </w:r>
          </w:p>
        </w:tc>
      </w:tr>
      <w:tr w14:paraId="7AB2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689648AB">
            <w:pPr>
              <w:spacing w:line="360" w:lineRule="auto"/>
              <w:jc w:val="center"/>
              <w:rPr>
                <w:rFonts w:asciiTheme="minorEastAsia" w:hAnsiTheme="minorEastAsia"/>
                <w:bCs/>
                <w:iCs/>
                <w:color w:val="000000"/>
                <w:sz w:val="24"/>
              </w:rPr>
            </w:pPr>
            <w:r>
              <w:rPr>
                <w:rFonts w:hint="eastAsia" w:asciiTheme="minorEastAsia" w:hAnsiTheme="minorEastAsia"/>
                <w:bCs/>
                <w:iCs/>
                <w:color w:val="000000"/>
                <w:sz w:val="24"/>
              </w:rPr>
              <w:t>日期</w:t>
            </w:r>
          </w:p>
        </w:tc>
        <w:tc>
          <w:tcPr>
            <w:tcW w:w="6614" w:type="dxa"/>
            <w:tcBorders>
              <w:top w:val="single" w:color="auto" w:sz="4" w:space="0"/>
              <w:left w:val="single" w:color="auto" w:sz="4" w:space="0"/>
              <w:bottom w:val="single" w:color="auto" w:sz="4" w:space="0"/>
              <w:right w:val="single" w:color="auto" w:sz="4" w:space="0"/>
            </w:tcBorders>
            <w:vAlign w:val="center"/>
          </w:tcPr>
          <w:p w14:paraId="686EB8BC">
            <w:pPr>
              <w:spacing w:line="360" w:lineRule="auto"/>
              <w:rPr>
                <w:rFonts w:asciiTheme="minorEastAsia" w:hAnsiTheme="minorEastAsia"/>
                <w:bCs/>
                <w:iCs/>
                <w:color w:val="000000"/>
                <w:sz w:val="24"/>
              </w:rPr>
            </w:pPr>
            <w:r>
              <w:rPr>
                <w:rFonts w:hint="eastAsia" w:asciiTheme="minorEastAsia" w:hAnsiTheme="minorEastAsia"/>
                <w:bCs/>
                <w:iCs/>
                <w:color w:val="000000"/>
                <w:sz w:val="24"/>
              </w:rPr>
              <w:t>2</w:t>
            </w:r>
            <w:r>
              <w:rPr>
                <w:rFonts w:asciiTheme="minorEastAsia" w:hAnsiTheme="minorEastAsia"/>
                <w:bCs/>
                <w:iCs/>
                <w:color w:val="000000"/>
                <w:sz w:val="24"/>
              </w:rPr>
              <w:t>02</w:t>
            </w:r>
            <w:r>
              <w:rPr>
                <w:rFonts w:hint="eastAsia" w:asciiTheme="minorEastAsia" w:hAnsiTheme="minorEastAsia"/>
                <w:bCs/>
                <w:iCs/>
                <w:color w:val="000000"/>
                <w:sz w:val="24"/>
                <w:lang w:val="en-US" w:eastAsia="zh-CN"/>
              </w:rPr>
              <w:t>6</w:t>
            </w:r>
            <w:r>
              <w:rPr>
                <w:rFonts w:hint="eastAsia" w:asciiTheme="minorEastAsia" w:hAnsiTheme="minorEastAsia"/>
                <w:bCs/>
                <w:iCs/>
                <w:color w:val="000000"/>
                <w:sz w:val="24"/>
              </w:rPr>
              <w:t>年</w:t>
            </w:r>
            <w:r>
              <w:rPr>
                <w:rFonts w:hint="eastAsia" w:asciiTheme="minorEastAsia" w:hAnsiTheme="minorEastAsia"/>
                <w:bCs/>
                <w:iCs/>
                <w:color w:val="000000"/>
                <w:sz w:val="24"/>
                <w:lang w:val="en-US" w:eastAsia="zh-CN"/>
              </w:rPr>
              <w:t>9</w:t>
            </w:r>
            <w:r>
              <w:rPr>
                <w:rFonts w:hint="eastAsia" w:asciiTheme="minorEastAsia" w:hAnsiTheme="minorEastAsia"/>
                <w:bCs/>
                <w:iCs/>
                <w:color w:val="000000"/>
                <w:sz w:val="24"/>
              </w:rPr>
              <w:t>月</w:t>
            </w:r>
            <w:r>
              <w:rPr>
                <w:rFonts w:hint="eastAsia" w:asciiTheme="minorEastAsia" w:hAnsiTheme="minorEastAsia"/>
                <w:bCs/>
                <w:iCs/>
                <w:color w:val="000000"/>
                <w:sz w:val="24"/>
                <w:lang w:val="en-US" w:eastAsia="zh-CN"/>
              </w:rPr>
              <w:t>10</w:t>
            </w:r>
            <w:r>
              <w:rPr>
                <w:rFonts w:hint="eastAsia" w:asciiTheme="minorEastAsia" w:hAnsiTheme="minorEastAsia"/>
                <w:bCs/>
                <w:iCs/>
                <w:color w:val="000000"/>
                <w:sz w:val="24"/>
              </w:rPr>
              <w:t>日</w:t>
            </w:r>
          </w:p>
        </w:tc>
      </w:tr>
    </w:tbl>
    <w:p w14:paraId="1A6C13C9">
      <w:pPr>
        <w:rPr>
          <w:rFonts w:ascii="宋体" w:hAnsi="宋体"/>
          <w:bCs/>
          <w:iCs/>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2D2BC1"/>
    <w:rsid w:val="00001ED6"/>
    <w:rsid w:val="00012AB6"/>
    <w:rsid w:val="000161CA"/>
    <w:rsid w:val="000258EE"/>
    <w:rsid w:val="00027274"/>
    <w:rsid w:val="00045DD1"/>
    <w:rsid w:val="000A5718"/>
    <w:rsid w:val="000D7999"/>
    <w:rsid w:val="000E4703"/>
    <w:rsid w:val="0010700B"/>
    <w:rsid w:val="00127D74"/>
    <w:rsid w:val="00147ACA"/>
    <w:rsid w:val="00187C86"/>
    <w:rsid w:val="001A285D"/>
    <w:rsid w:val="001E594F"/>
    <w:rsid w:val="001E5956"/>
    <w:rsid w:val="001F27AC"/>
    <w:rsid w:val="00213C2F"/>
    <w:rsid w:val="00224AA7"/>
    <w:rsid w:val="0024755D"/>
    <w:rsid w:val="0027381C"/>
    <w:rsid w:val="00275BDE"/>
    <w:rsid w:val="002957BD"/>
    <w:rsid w:val="002B39AC"/>
    <w:rsid w:val="002D4462"/>
    <w:rsid w:val="00324BBE"/>
    <w:rsid w:val="00334BEE"/>
    <w:rsid w:val="0033589E"/>
    <w:rsid w:val="003515A4"/>
    <w:rsid w:val="003565D1"/>
    <w:rsid w:val="00376F9D"/>
    <w:rsid w:val="00393963"/>
    <w:rsid w:val="003A178C"/>
    <w:rsid w:val="003A2032"/>
    <w:rsid w:val="003A2128"/>
    <w:rsid w:val="003A3416"/>
    <w:rsid w:val="003B7B42"/>
    <w:rsid w:val="003E2C17"/>
    <w:rsid w:val="003E54EC"/>
    <w:rsid w:val="003F63A0"/>
    <w:rsid w:val="004831A6"/>
    <w:rsid w:val="00487241"/>
    <w:rsid w:val="004E7FE5"/>
    <w:rsid w:val="005172D7"/>
    <w:rsid w:val="00593EE8"/>
    <w:rsid w:val="005C3B8A"/>
    <w:rsid w:val="005D2C55"/>
    <w:rsid w:val="005F2386"/>
    <w:rsid w:val="006604EF"/>
    <w:rsid w:val="006D5440"/>
    <w:rsid w:val="006D7CFC"/>
    <w:rsid w:val="00704A4F"/>
    <w:rsid w:val="00737D54"/>
    <w:rsid w:val="007A61FF"/>
    <w:rsid w:val="007B6FDB"/>
    <w:rsid w:val="007D15FB"/>
    <w:rsid w:val="007D64F2"/>
    <w:rsid w:val="007F186C"/>
    <w:rsid w:val="007F1D94"/>
    <w:rsid w:val="008048EB"/>
    <w:rsid w:val="0082017E"/>
    <w:rsid w:val="0088250D"/>
    <w:rsid w:val="00906C21"/>
    <w:rsid w:val="00991B0D"/>
    <w:rsid w:val="009A5206"/>
    <w:rsid w:val="009B2336"/>
    <w:rsid w:val="009C1489"/>
    <w:rsid w:val="00A46702"/>
    <w:rsid w:val="00A548B2"/>
    <w:rsid w:val="00A66434"/>
    <w:rsid w:val="00A71D14"/>
    <w:rsid w:val="00AA4C23"/>
    <w:rsid w:val="00AB2959"/>
    <w:rsid w:val="00AB7D16"/>
    <w:rsid w:val="00AE3199"/>
    <w:rsid w:val="00B150CD"/>
    <w:rsid w:val="00B455CA"/>
    <w:rsid w:val="00B6649B"/>
    <w:rsid w:val="00BC6B58"/>
    <w:rsid w:val="00BD3F33"/>
    <w:rsid w:val="00BE1953"/>
    <w:rsid w:val="00BE7AD5"/>
    <w:rsid w:val="00BF0D55"/>
    <w:rsid w:val="00BF2263"/>
    <w:rsid w:val="00C1024A"/>
    <w:rsid w:val="00C561FE"/>
    <w:rsid w:val="00C57A77"/>
    <w:rsid w:val="00C67BB7"/>
    <w:rsid w:val="00C721A7"/>
    <w:rsid w:val="00CE22BA"/>
    <w:rsid w:val="00D567CE"/>
    <w:rsid w:val="00D56CEB"/>
    <w:rsid w:val="00D64893"/>
    <w:rsid w:val="00DA57E8"/>
    <w:rsid w:val="00DD4A86"/>
    <w:rsid w:val="00DE0700"/>
    <w:rsid w:val="00E40E16"/>
    <w:rsid w:val="00E62AEA"/>
    <w:rsid w:val="00E748C3"/>
    <w:rsid w:val="00E840FC"/>
    <w:rsid w:val="00EC4774"/>
    <w:rsid w:val="00EE2112"/>
    <w:rsid w:val="00EF172B"/>
    <w:rsid w:val="00EF5DC7"/>
    <w:rsid w:val="00EF6EC6"/>
    <w:rsid w:val="00F10BFD"/>
    <w:rsid w:val="00F14914"/>
    <w:rsid w:val="00F22D57"/>
    <w:rsid w:val="00F6579A"/>
    <w:rsid w:val="00F71DBE"/>
    <w:rsid w:val="00FB3997"/>
    <w:rsid w:val="00FC2758"/>
    <w:rsid w:val="00FC3508"/>
    <w:rsid w:val="00FE047D"/>
    <w:rsid w:val="080C21B4"/>
    <w:rsid w:val="11301209"/>
    <w:rsid w:val="12C611A8"/>
    <w:rsid w:val="16043C72"/>
    <w:rsid w:val="1C371CD4"/>
    <w:rsid w:val="1D1335C4"/>
    <w:rsid w:val="1DA76336"/>
    <w:rsid w:val="1EBC2277"/>
    <w:rsid w:val="2070232D"/>
    <w:rsid w:val="211E754D"/>
    <w:rsid w:val="25FD563E"/>
    <w:rsid w:val="28CB2B2E"/>
    <w:rsid w:val="29312CED"/>
    <w:rsid w:val="2F67492B"/>
    <w:rsid w:val="372D2BC1"/>
    <w:rsid w:val="3AA04DD3"/>
    <w:rsid w:val="3B807F36"/>
    <w:rsid w:val="3F5C616D"/>
    <w:rsid w:val="47F12E1A"/>
    <w:rsid w:val="52C43BD6"/>
    <w:rsid w:val="5A1F7FAB"/>
    <w:rsid w:val="5A243051"/>
    <w:rsid w:val="65507A25"/>
    <w:rsid w:val="78C46E0E"/>
    <w:rsid w:val="79C1406B"/>
    <w:rsid w:val="7F5639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6"/>
    <w:semiHidden/>
    <w:unhideWhenUsed/>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0"/>
    <w:rPr>
      <w:b/>
      <w:bCs/>
    </w:rPr>
  </w:style>
  <w:style w:type="character" w:styleId="9">
    <w:name w:val="annotation reference"/>
    <w:basedOn w:val="8"/>
    <w:semiHidden/>
    <w:unhideWhenUsed/>
    <w:qFormat/>
    <w:uiPriority w:val="0"/>
    <w:rPr>
      <w:sz w:val="21"/>
      <w:szCs w:val="21"/>
    </w:r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1">
    <w:name w:val="页眉 字符"/>
    <w:basedOn w:val="8"/>
    <w:link w:val="5"/>
    <w:qFormat/>
    <w:uiPriority w:val="99"/>
    <w:rPr>
      <w:kern w:val="2"/>
      <w:sz w:val="18"/>
      <w:szCs w:val="18"/>
    </w:rPr>
  </w:style>
  <w:style w:type="character" w:customStyle="1" w:styleId="12">
    <w:name w:val="页脚 字符"/>
    <w:basedOn w:val="8"/>
    <w:link w:val="4"/>
    <w:qFormat/>
    <w:uiPriority w:val="0"/>
    <w:rPr>
      <w:kern w:val="2"/>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8"/>
    <w:link w:val="2"/>
    <w:semiHidden/>
    <w:qFormat/>
    <w:uiPriority w:val="0"/>
    <w:rPr>
      <w:kern w:val="2"/>
      <w:sz w:val="21"/>
      <w:szCs w:val="22"/>
    </w:rPr>
  </w:style>
  <w:style w:type="character" w:customStyle="1" w:styleId="15">
    <w:name w:val="批注主题 字符"/>
    <w:basedOn w:val="14"/>
    <w:link w:val="6"/>
    <w:semiHidden/>
    <w:qFormat/>
    <w:uiPriority w:val="0"/>
    <w:rPr>
      <w:b/>
      <w:bCs/>
      <w:kern w:val="2"/>
      <w:sz w:val="21"/>
      <w:szCs w:val="22"/>
    </w:rPr>
  </w:style>
  <w:style w:type="character" w:customStyle="1" w:styleId="16">
    <w:name w:val="批注框文本 字符"/>
    <w:basedOn w:val="8"/>
    <w:link w:val="3"/>
    <w:semiHidden/>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1418</Words>
  <Characters>1490</Characters>
  <Lines>21</Lines>
  <Paragraphs>6</Paragraphs>
  <TotalTime>0</TotalTime>
  <ScaleCrop>false</ScaleCrop>
  <LinksUpToDate>false</LinksUpToDate>
  <CharactersWithSpaces>1615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2024-05-20T02:49:00Z</dcterms:created>
  <dc:creator>Lilac1425803577</dc:creator>
  <cp:lastModifiedBy>董怡君</cp:lastModifiedBy>
  <dcterms:modified xsi:type="dcterms:W3CDTF">2026-09-11T07:47:46Z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DEF6274FF81C4AD1B82D700B530FE32F_13</vt:lpwstr>
  </property>
  <property fmtid="{D5CDD505-2E9C-101B-9397-08002B2CF9AE}" pid="4" name="KSOTemplateDocerSaveRecord">
    <vt:lpwstr>eyJoZGlkIjoiNzAzZjcyNzBmNmJmMDBkZmIxNmJjZmEzMGEwMDY3NjIiLCJ1c2VySWQiOiIzNjk3NDExMjYifQ==</vt:lpwstr>
  </property>
</Properties>
</file>