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EC90C">
      <w:pPr>
        <w:spacing w:before="120" w:beforeLines="50" w:after="120" w:afterLines="50"/>
        <w:ind w:firstLine="643" w:firstLineChars="200"/>
        <w:jc w:val="center"/>
        <w:rPr>
          <w:rFonts w:hint="eastAsia" w:ascii="宋体" w:hAnsi="宋体" w:eastAsia="宋体" w:cs="宋体"/>
          <w:b/>
          <w:bCs/>
          <w:sz w:val="32"/>
          <w:szCs w:val="24"/>
        </w:rPr>
      </w:pPr>
      <w:r>
        <w:rPr>
          <w:rFonts w:hint="eastAsia" w:ascii="宋体" w:hAnsi="宋体" w:eastAsia="宋体" w:cs="宋体"/>
          <w:b/>
          <w:bCs/>
          <w:sz w:val="32"/>
          <w:szCs w:val="24"/>
        </w:rPr>
        <w:t>深圳市三旺通信股份有限公司</w:t>
      </w:r>
    </w:p>
    <w:p w14:paraId="19E3118B">
      <w:pPr>
        <w:spacing w:before="120" w:beforeLines="50" w:after="120" w:afterLines="50"/>
        <w:ind w:firstLine="643" w:firstLineChars="200"/>
        <w:jc w:val="center"/>
        <w:rPr>
          <w:rFonts w:hint="eastAsia" w:ascii="宋体" w:hAnsi="宋体" w:eastAsia="宋体" w:cs="宋体"/>
          <w:b/>
          <w:bCs/>
          <w:sz w:val="32"/>
          <w:szCs w:val="24"/>
        </w:rPr>
      </w:pPr>
      <w:r>
        <w:rPr>
          <w:rFonts w:hint="eastAsia" w:ascii="宋体" w:hAnsi="宋体" w:eastAsia="宋体" w:cs="宋体"/>
          <w:b/>
          <w:bCs/>
          <w:sz w:val="32"/>
          <w:szCs w:val="24"/>
        </w:rPr>
        <w:t>投资者关系活动记录表</w:t>
      </w:r>
    </w:p>
    <w:p w14:paraId="4CFA52AE">
      <w:pPr>
        <w:spacing w:after="240" w:afterLines="100"/>
        <w:ind w:firstLine="643" w:firstLineChars="200"/>
        <w:jc w:val="center"/>
        <w:rPr>
          <w:rFonts w:hint="eastAsia" w:ascii="宋体" w:hAnsi="宋体" w:eastAsia="宋体" w:cs="宋体"/>
          <w:b/>
          <w:bCs/>
          <w:sz w:val="32"/>
          <w:szCs w:val="24"/>
        </w:rPr>
      </w:pPr>
      <w:r>
        <w:rPr>
          <w:rFonts w:hint="eastAsia" w:ascii="宋体" w:hAnsi="宋体" w:eastAsia="宋体" w:cs="宋体"/>
          <w:b/>
          <w:bCs/>
          <w:sz w:val="32"/>
          <w:szCs w:val="24"/>
        </w:rPr>
        <w:t>（2</w:t>
      </w:r>
      <w:r>
        <w:rPr>
          <w:rFonts w:ascii="宋体" w:hAnsi="宋体" w:eastAsia="宋体" w:cs="宋体"/>
          <w:b/>
          <w:bCs/>
          <w:sz w:val="32"/>
          <w:szCs w:val="24"/>
        </w:rPr>
        <w:t>02</w:t>
      </w:r>
      <w:r>
        <w:rPr>
          <w:rFonts w:hint="eastAsia" w:ascii="宋体" w:hAnsi="宋体" w:eastAsia="宋体" w:cs="宋体"/>
          <w:b/>
          <w:bCs/>
          <w:sz w:val="32"/>
          <w:szCs w:val="24"/>
          <w:lang w:val="en-US" w:eastAsia="zh-CN"/>
        </w:rPr>
        <w:t>6</w:t>
      </w:r>
      <w:r>
        <w:rPr>
          <w:rFonts w:hint="eastAsia" w:ascii="宋体" w:hAnsi="宋体" w:eastAsia="宋体" w:cs="宋体"/>
          <w:b/>
          <w:bCs/>
          <w:sz w:val="32"/>
          <w:szCs w:val="24"/>
        </w:rPr>
        <w:t>年</w:t>
      </w:r>
      <w:r>
        <w:rPr>
          <w:rFonts w:hint="eastAsia" w:ascii="宋体" w:hAnsi="宋体" w:eastAsia="宋体" w:cs="宋体"/>
          <w:b/>
          <w:bCs/>
          <w:sz w:val="32"/>
          <w:szCs w:val="24"/>
          <w:lang w:val="en-US" w:eastAsia="zh-CN"/>
        </w:rPr>
        <w:t>9</w:t>
      </w:r>
      <w:r>
        <w:rPr>
          <w:rFonts w:hint="eastAsia" w:ascii="宋体" w:hAnsi="宋体" w:eastAsia="宋体" w:cs="宋体"/>
          <w:b/>
          <w:bCs/>
          <w:sz w:val="32"/>
          <w:szCs w:val="24"/>
        </w:rPr>
        <w:t>月）</w:t>
      </w:r>
    </w:p>
    <w:p w14:paraId="554B4094">
      <w:pPr>
        <w:spacing w:before="50" w:after="240" w:afterLines="100"/>
        <w:ind w:firstLine="480" w:firstLineChars="200"/>
        <w:jc w:val="center"/>
        <w:rPr>
          <w:rFonts w:hint="eastAsia" w:ascii="宋体" w:hAnsi="宋体" w:eastAsia="宋体" w:cs="宋体"/>
          <w:sz w:val="24"/>
          <w:szCs w:val="24"/>
          <w:lang w:val="en-US" w:eastAsia="zh-CN"/>
        </w:rPr>
      </w:pPr>
      <w:r>
        <w:rPr>
          <w:rFonts w:hint="eastAsia" w:ascii="宋体" w:hAnsi="宋体" w:eastAsia="宋体" w:cs="宋体"/>
          <w:sz w:val="24"/>
          <w:szCs w:val="24"/>
        </w:rPr>
        <w:t xml:space="preserve">证券简称：三旺通信 </w:t>
      </w:r>
      <w:r>
        <w:rPr>
          <w:rFonts w:ascii="宋体" w:hAnsi="宋体" w:eastAsia="宋体" w:cs="宋体"/>
          <w:sz w:val="24"/>
          <w:szCs w:val="24"/>
        </w:rPr>
        <w:t xml:space="preserve">     </w:t>
      </w:r>
      <w:r>
        <w:rPr>
          <w:rFonts w:hint="eastAsia" w:ascii="宋体" w:hAnsi="宋体" w:eastAsia="宋体" w:cs="宋体"/>
          <w:sz w:val="24"/>
          <w:szCs w:val="24"/>
        </w:rPr>
        <w:t>证券代码：6</w:t>
      </w:r>
      <w:r>
        <w:rPr>
          <w:rFonts w:ascii="宋体" w:hAnsi="宋体" w:eastAsia="宋体" w:cs="宋体"/>
          <w:sz w:val="24"/>
          <w:szCs w:val="24"/>
        </w:rPr>
        <w:t>88618</w:t>
      </w:r>
      <w:r>
        <w:rPr>
          <w:rFonts w:hint="eastAsia" w:ascii="宋体" w:hAnsi="宋体" w:eastAsia="宋体" w:cs="宋体"/>
          <w:sz w:val="24"/>
          <w:szCs w:val="24"/>
        </w:rPr>
        <w:t xml:space="preserve"> </w:t>
      </w:r>
      <w:r>
        <w:rPr>
          <w:rFonts w:ascii="宋体" w:hAnsi="宋体" w:eastAsia="宋体" w:cs="宋体"/>
          <w:sz w:val="24"/>
          <w:szCs w:val="24"/>
        </w:rPr>
        <w:t xml:space="preserve">     </w:t>
      </w:r>
      <w:r>
        <w:rPr>
          <w:rFonts w:hint="eastAsia" w:ascii="宋体" w:hAnsi="宋体" w:eastAsia="宋体" w:cs="宋体"/>
          <w:sz w:val="24"/>
          <w:szCs w:val="24"/>
        </w:rPr>
        <w:t>编号：</w:t>
      </w:r>
      <w:r>
        <w:rPr>
          <w:rFonts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w:t>
      </w:r>
      <w:r>
        <w:rPr>
          <w:rFonts w:ascii="宋体" w:hAnsi="宋体" w:eastAsia="宋体" w:cs="宋体"/>
          <w:sz w:val="24"/>
          <w:szCs w:val="24"/>
        </w:rPr>
        <w:t>0</w:t>
      </w:r>
      <w:r>
        <w:rPr>
          <w:rFonts w:hint="eastAsia" w:ascii="宋体" w:hAnsi="宋体" w:eastAsia="宋体" w:cs="宋体"/>
          <w:sz w:val="24"/>
          <w:szCs w:val="24"/>
          <w:lang w:val="en-US"/>
        </w:rPr>
        <w:t>0</w:t>
      </w:r>
      <w:r>
        <w:rPr>
          <w:rFonts w:hint="eastAsia" w:ascii="宋体" w:hAnsi="宋体" w:eastAsia="宋体" w:cs="宋体"/>
          <w:sz w:val="24"/>
          <w:szCs w:val="24"/>
          <w:lang w:val="en-US" w:eastAsia="zh-CN"/>
        </w:rPr>
        <w:t>7</w:t>
      </w:r>
    </w:p>
    <w:tbl>
      <w:tblPr>
        <w:tblStyle w:val="13"/>
        <w:tblW w:w="517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1"/>
        <w:gridCol w:w="7579"/>
      </w:tblGrid>
      <w:tr w14:paraId="5A39A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98" w:type="pct"/>
            <w:vAlign w:val="center"/>
          </w:tcPr>
          <w:p w14:paraId="7AF65630">
            <w:pPr>
              <w:pStyle w:val="21"/>
              <w:ind w:left="482" w:hanging="482" w:hangingChars="200"/>
              <w:rPr>
                <w:rFonts w:hint="eastAsia" w:ascii="宋体" w:hAnsi="宋体" w:eastAsia="宋体" w:cs="宋体"/>
                <w:b/>
                <w:bCs/>
                <w:sz w:val="24"/>
                <w:szCs w:val="24"/>
              </w:rPr>
            </w:pPr>
            <w:r>
              <w:rPr>
                <w:rFonts w:hint="eastAsia" w:ascii="宋体" w:hAnsi="宋体" w:eastAsia="宋体" w:cs="宋体"/>
                <w:b/>
                <w:bCs/>
                <w:sz w:val="24"/>
                <w:szCs w:val="24"/>
              </w:rPr>
              <w:t>投资者关系活动类别</w:t>
            </w:r>
          </w:p>
        </w:tc>
        <w:tc>
          <w:tcPr>
            <w:tcW w:w="4101" w:type="pct"/>
            <w:vAlign w:val="center"/>
          </w:tcPr>
          <w:p w14:paraId="39273654">
            <w:pPr>
              <w:pStyle w:val="21"/>
              <w:tabs>
                <w:tab w:val="left" w:pos="2418"/>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w:t>
            </w:r>
            <w:r>
              <w:rPr>
                <w:rFonts w:hint="eastAsia" w:ascii="宋体" w:hAnsi="宋体" w:eastAsia="宋体" w:cs="宋体"/>
                <w:spacing w:val="-3"/>
                <w:sz w:val="24"/>
                <w:szCs w:val="24"/>
              </w:rPr>
              <w:t>定</w:t>
            </w:r>
            <w:r>
              <w:rPr>
                <w:rFonts w:hint="eastAsia" w:ascii="宋体" w:hAnsi="宋体" w:eastAsia="宋体" w:cs="宋体"/>
                <w:sz w:val="24"/>
                <w:szCs w:val="24"/>
              </w:rPr>
              <w:t>对</w:t>
            </w:r>
            <w:r>
              <w:rPr>
                <w:rFonts w:hint="eastAsia" w:ascii="宋体" w:hAnsi="宋体" w:eastAsia="宋体" w:cs="宋体"/>
                <w:spacing w:val="-3"/>
                <w:sz w:val="24"/>
                <w:szCs w:val="24"/>
              </w:rPr>
              <w:t>象</w:t>
            </w:r>
            <w:r>
              <w:rPr>
                <w:rFonts w:hint="eastAsia" w:ascii="宋体" w:hAnsi="宋体" w:eastAsia="宋体" w:cs="宋体"/>
                <w:sz w:val="24"/>
                <w:szCs w:val="24"/>
              </w:rPr>
              <w:t>调研</w:t>
            </w:r>
            <w:r>
              <w:rPr>
                <w:rFonts w:hint="eastAsia" w:ascii="宋体" w:hAnsi="宋体" w:eastAsia="宋体" w:cs="宋体"/>
                <w:sz w:val="24"/>
                <w:szCs w:val="24"/>
              </w:rPr>
              <w:tab/>
            </w:r>
            <w:r>
              <w:rPr>
                <w:rFonts w:hint="eastAsia" w:ascii="宋体" w:hAnsi="宋体" w:eastAsia="宋体" w:cs="宋体"/>
                <w:sz w:val="24"/>
                <w:szCs w:val="24"/>
              </w:rPr>
              <w:t>□分</w:t>
            </w:r>
            <w:r>
              <w:rPr>
                <w:rFonts w:hint="eastAsia" w:ascii="宋体" w:hAnsi="宋体" w:eastAsia="宋体" w:cs="宋体"/>
                <w:spacing w:val="-3"/>
                <w:sz w:val="24"/>
                <w:szCs w:val="24"/>
              </w:rPr>
              <w:t>析</w:t>
            </w:r>
            <w:r>
              <w:rPr>
                <w:rFonts w:hint="eastAsia" w:ascii="宋体" w:hAnsi="宋体" w:eastAsia="宋体" w:cs="宋体"/>
                <w:sz w:val="24"/>
                <w:szCs w:val="24"/>
              </w:rPr>
              <w:t>师</w:t>
            </w:r>
            <w:r>
              <w:rPr>
                <w:rFonts w:hint="eastAsia" w:ascii="宋体" w:hAnsi="宋体" w:eastAsia="宋体" w:cs="宋体"/>
                <w:spacing w:val="-3"/>
                <w:sz w:val="24"/>
                <w:szCs w:val="24"/>
              </w:rPr>
              <w:t>会</w:t>
            </w:r>
            <w:r>
              <w:rPr>
                <w:rFonts w:hint="eastAsia" w:ascii="宋体" w:hAnsi="宋体" w:eastAsia="宋体" w:cs="宋体"/>
                <w:sz w:val="24"/>
                <w:szCs w:val="24"/>
              </w:rPr>
              <w:t>议</w:t>
            </w:r>
          </w:p>
          <w:p w14:paraId="2D17F10C">
            <w:pPr>
              <w:pStyle w:val="21"/>
              <w:tabs>
                <w:tab w:val="left" w:pos="2418"/>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□媒</w:t>
            </w:r>
            <w:r>
              <w:rPr>
                <w:rFonts w:hint="eastAsia" w:ascii="宋体" w:hAnsi="宋体" w:eastAsia="宋体" w:cs="宋体"/>
                <w:spacing w:val="-3"/>
                <w:sz w:val="24"/>
                <w:szCs w:val="24"/>
              </w:rPr>
              <w:t>体</w:t>
            </w:r>
            <w:r>
              <w:rPr>
                <w:rFonts w:hint="eastAsia" w:ascii="宋体" w:hAnsi="宋体" w:eastAsia="宋体" w:cs="宋体"/>
                <w:sz w:val="24"/>
                <w:szCs w:val="24"/>
              </w:rPr>
              <w:t>采访</w:t>
            </w:r>
            <w:r>
              <w:rPr>
                <w:rFonts w:hint="eastAsia" w:ascii="宋体" w:hAnsi="宋体" w:eastAsia="宋体" w:cs="宋体"/>
                <w:sz w:val="24"/>
                <w:szCs w:val="24"/>
              </w:rPr>
              <w:tab/>
            </w:r>
            <w:r>
              <w:rPr>
                <w:rFonts w:hint="eastAsia" w:ascii="宋体" w:hAnsi="宋体" w:eastAsia="宋体" w:cs="宋体"/>
                <w:sz w:val="24"/>
                <w:szCs w:val="24"/>
              </w:rPr>
              <w:t>□业</w:t>
            </w:r>
            <w:r>
              <w:rPr>
                <w:rFonts w:hint="eastAsia" w:ascii="宋体" w:hAnsi="宋体" w:eastAsia="宋体" w:cs="宋体"/>
                <w:spacing w:val="-3"/>
                <w:sz w:val="24"/>
                <w:szCs w:val="24"/>
              </w:rPr>
              <w:t>绩</w:t>
            </w:r>
            <w:r>
              <w:rPr>
                <w:rFonts w:hint="eastAsia" w:ascii="宋体" w:hAnsi="宋体" w:eastAsia="宋体" w:cs="宋体"/>
                <w:sz w:val="24"/>
                <w:szCs w:val="24"/>
              </w:rPr>
              <w:t>说</w:t>
            </w:r>
            <w:r>
              <w:rPr>
                <w:rFonts w:hint="eastAsia" w:ascii="宋体" w:hAnsi="宋体" w:eastAsia="宋体" w:cs="宋体"/>
                <w:spacing w:val="-3"/>
                <w:sz w:val="24"/>
                <w:szCs w:val="24"/>
              </w:rPr>
              <w:t>明</w:t>
            </w:r>
            <w:r>
              <w:rPr>
                <w:rFonts w:hint="eastAsia" w:ascii="宋体" w:hAnsi="宋体" w:eastAsia="宋体" w:cs="宋体"/>
                <w:sz w:val="24"/>
                <w:szCs w:val="24"/>
              </w:rPr>
              <w:t>会</w:t>
            </w:r>
          </w:p>
          <w:p w14:paraId="619A0406">
            <w:pPr>
              <w:pStyle w:val="21"/>
              <w:tabs>
                <w:tab w:val="left" w:pos="2418"/>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□新</w:t>
            </w:r>
            <w:r>
              <w:rPr>
                <w:rFonts w:hint="eastAsia" w:ascii="宋体" w:hAnsi="宋体" w:eastAsia="宋体" w:cs="宋体"/>
                <w:spacing w:val="-3"/>
                <w:sz w:val="24"/>
                <w:szCs w:val="24"/>
              </w:rPr>
              <w:t>闻</w:t>
            </w:r>
            <w:r>
              <w:rPr>
                <w:rFonts w:hint="eastAsia" w:ascii="宋体" w:hAnsi="宋体" w:eastAsia="宋体" w:cs="宋体"/>
                <w:sz w:val="24"/>
                <w:szCs w:val="24"/>
              </w:rPr>
              <w:t>发</w:t>
            </w:r>
            <w:r>
              <w:rPr>
                <w:rFonts w:hint="eastAsia" w:ascii="宋体" w:hAnsi="宋体" w:eastAsia="宋体" w:cs="宋体"/>
                <w:spacing w:val="-3"/>
                <w:sz w:val="24"/>
                <w:szCs w:val="24"/>
              </w:rPr>
              <w:t>布</w:t>
            </w:r>
            <w:r>
              <w:rPr>
                <w:rFonts w:hint="eastAsia" w:ascii="宋体" w:hAnsi="宋体" w:eastAsia="宋体" w:cs="宋体"/>
                <w:sz w:val="24"/>
                <w:szCs w:val="24"/>
              </w:rPr>
              <w:t>会</w:t>
            </w:r>
            <w:r>
              <w:rPr>
                <w:rFonts w:hint="eastAsia" w:ascii="宋体" w:hAnsi="宋体" w:eastAsia="宋体" w:cs="宋体"/>
                <w:sz w:val="24"/>
                <w:szCs w:val="24"/>
              </w:rPr>
              <w:tab/>
            </w:r>
            <w:r>
              <w:rPr>
                <w:rFonts w:hint="eastAsia" w:ascii="宋体" w:hAnsi="宋体" w:eastAsia="宋体" w:cs="宋体"/>
                <w:sz w:val="24"/>
                <w:szCs w:val="24"/>
                <w:lang w:eastAsia="zh-CN"/>
              </w:rPr>
              <w:t>□</w:t>
            </w:r>
            <w:r>
              <w:rPr>
                <w:rFonts w:hint="eastAsia" w:ascii="宋体" w:hAnsi="宋体" w:eastAsia="宋体" w:cs="宋体"/>
                <w:sz w:val="24"/>
                <w:szCs w:val="24"/>
              </w:rPr>
              <w:t>路</w:t>
            </w:r>
            <w:r>
              <w:rPr>
                <w:rFonts w:hint="eastAsia" w:ascii="宋体" w:hAnsi="宋体" w:eastAsia="宋体" w:cs="宋体"/>
                <w:spacing w:val="-3"/>
                <w:sz w:val="24"/>
                <w:szCs w:val="24"/>
              </w:rPr>
              <w:t>演</w:t>
            </w:r>
            <w:r>
              <w:rPr>
                <w:rFonts w:hint="eastAsia" w:ascii="宋体" w:hAnsi="宋体" w:eastAsia="宋体" w:cs="宋体"/>
                <w:sz w:val="24"/>
                <w:szCs w:val="24"/>
              </w:rPr>
              <w:t>活动</w:t>
            </w:r>
          </w:p>
          <w:p w14:paraId="541188AD">
            <w:pPr>
              <w:pStyle w:val="21"/>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 xml:space="preserve">■现场参观 </w:t>
            </w:r>
            <w:r>
              <w:rPr>
                <w:rFonts w:ascii="宋体" w:hAnsi="宋体" w:eastAsia="宋体" w:cs="宋体"/>
                <w:sz w:val="24"/>
                <w:szCs w:val="24"/>
              </w:rPr>
              <w:t xml:space="preserve">     </w:t>
            </w:r>
            <w:r>
              <w:rPr>
                <w:rFonts w:hint="eastAsia" w:ascii="宋体" w:hAnsi="宋体" w:eastAsia="宋体" w:cs="宋体"/>
                <w:sz w:val="24"/>
                <w:szCs w:val="24"/>
              </w:rPr>
              <w:t>■其他</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券商策略会</w:t>
            </w:r>
            <w:r>
              <w:rPr>
                <w:rFonts w:hint="eastAsia" w:ascii="宋体" w:hAnsi="宋体" w:eastAsia="宋体" w:cs="宋体"/>
                <w:sz w:val="24"/>
                <w:szCs w:val="24"/>
                <w:lang w:eastAsia="zh-CN"/>
              </w:rPr>
              <w:t>）</w:t>
            </w:r>
          </w:p>
        </w:tc>
      </w:tr>
      <w:tr w14:paraId="647C6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trPr>
        <w:tc>
          <w:tcPr>
            <w:tcW w:w="898" w:type="pct"/>
            <w:vAlign w:val="center"/>
          </w:tcPr>
          <w:p w14:paraId="37E4E239">
            <w:pPr>
              <w:pStyle w:val="21"/>
              <w:ind w:left="241" w:hanging="241" w:hangingChars="100"/>
              <w:rPr>
                <w:rFonts w:hint="eastAsia" w:ascii="宋体" w:hAnsi="宋体" w:eastAsia="宋体" w:cs="宋体"/>
                <w:b/>
                <w:bCs/>
                <w:sz w:val="24"/>
                <w:szCs w:val="24"/>
              </w:rPr>
            </w:pPr>
            <w:r>
              <w:rPr>
                <w:rFonts w:hint="eastAsia" w:ascii="宋体" w:hAnsi="宋体" w:eastAsia="宋体" w:cs="宋体"/>
                <w:b/>
                <w:bCs/>
                <w:sz w:val="24"/>
                <w:szCs w:val="24"/>
              </w:rPr>
              <w:t>参与单位名称及人员姓名</w:t>
            </w:r>
          </w:p>
        </w:tc>
        <w:tc>
          <w:tcPr>
            <w:tcW w:w="4101" w:type="pct"/>
            <w:vAlign w:val="center"/>
          </w:tcPr>
          <w:tbl>
            <w:tblPr>
              <w:tblStyle w:val="13"/>
              <w:tblW w:w="7227" w:type="dxa"/>
              <w:tblInd w:w="274" w:type="dxa"/>
              <w:tblLayout w:type="fixed"/>
              <w:tblCellMar>
                <w:top w:w="0" w:type="dxa"/>
                <w:left w:w="108" w:type="dxa"/>
                <w:bottom w:w="0" w:type="dxa"/>
                <w:right w:w="108" w:type="dxa"/>
              </w:tblCellMar>
            </w:tblPr>
            <w:tblGrid>
              <w:gridCol w:w="4420"/>
              <w:gridCol w:w="2807"/>
            </w:tblGrid>
            <w:tr w14:paraId="74E78C29">
              <w:tblPrEx>
                <w:tblCellMar>
                  <w:top w:w="0" w:type="dxa"/>
                  <w:left w:w="108" w:type="dxa"/>
                  <w:bottom w:w="0" w:type="dxa"/>
                  <w:right w:w="108" w:type="dxa"/>
                </w:tblCellMar>
              </w:tblPrEx>
              <w:trPr>
                <w:trHeight w:val="79" w:hRule="atLeast"/>
              </w:trPr>
              <w:tc>
                <w:tcPr>
                  <w:tcW w:w="4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B0A2">
                  <w:pPr>
                    <w:widowControl/>
                    <w:textAlignment w:val="center"/>
                    <w:rPr>
                      <w:rFonts w:hint="default" w:ascii="宋体" w:hAnsi="宋体" w:eastAsia="宋体" w:cs="宋体"/>
                      <w:color w:val="000000"/>
                      <w:sz w:val="22"/>
                      <w:szCs w:val="22"/>
                      <w:lang w:val="en-US" w:eastAsia="zh-CN"/>
                    </w:rPr>
                  </w:pPr>
                  <w:r>
                    <w:rPr>
                      <w:rFonts w:hint="default" w:ascii="宋体" w:hAnsi="宋体" w:eastAsia="宋体" w:cs="宋体"/>
                      <w:color w:val="000000"/>
                      <w:sz w:val="22"/>
                      <w:szCs w:val="22"/>
                      <w:lang w:val="en-US" w:eastAsia="zh-CN"/>
                    </w:rPr>
                    <w:t>初华资本有限公司</w:t>
                  </w:r>
                </w:p>
              </w:tc>
              <w:tc>
                <w:tcPr>
                  <w:tcW w:w="2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0E114">
                  <w:pPr>
                    <w:widowControl/>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李献红</w:t>
                  </w:r>
                </w:p>
              </w:tc>
            </w:tr>
            <w:tr w14:paraId="01120AEA">
              <w:tblPrEx>
                <w:tblCellMar>
                  <w:top w:w="0" w:type="dxa"/>
                  <w:left w:w="108" w:type="dxa"/>
                  <w:bottom w:w="0" w:type="dxa"/>
                  <w:right w:w="108" w:type="dxa"/>
                </w:tblCellMar>
              </w:tblPrEx>
              <w:trPr>
                <w:trHeight w:val="79" w:hRule="atLeast"/>
              </w:trPr>
              <w:tc>
                <w:tcPr>
                  <w:tcW w:w="4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0528C">
                  <w:pPr>
                    <w:widowControl/>
                    <w:textAlignment w:val="center"/>
                    <w:rPr>
                      <w:rFonts w:hint="default" w:ascii="宋体" w:hAnsi="宋体" w:eastAsia="宋体" w:cs="宋体"/>
                      <w:color w:val="000000"/>
                      <w:sz w:val="22"/>
                      <w:szCs w:val="22"/>
                      <w:lang w:val="en-US" w:eastAsia="zh-CN"/>
                    </w:rPr>
                  </w:pPr>
                  <w:r>
                    <w:rPr>
                      <w:rFonts w:hint="default" w:ascii="宋体" w:hAnsi="宋体" w:eastAsia="宋体" w:cs="宋体"/>
                      <w:color w:val="000000"/>
                      <w:sz w:val="22"/>
                      <w:szCs w:val="22"/>
                      <w:lang w:val="en-US" w:eastAsia="zh-CN"/>
                    </w:rPr>
                    <w:t>广州灏达投资控股有限公司</w:t>
                  </w:r>
                </w:p>
              </w:tc>
              <w:tc>
                <w:tcPr>
                  <w:tcW w:w="2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D21A3">
                  <w:pPr>
                    <w:widowControl/>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资香莲</w:t>
                  </w:r>
                </w:p>
              </w:tc>
            </w:tr>
            <w:tr w14:paraId="6CDDBA64">
              <w:tblPrEx>
                <w:tblCellMar>
                  <w:top w:w="0" w:type="dxa"/>
                  <w:left w:w="108" w:type="dxa"/>
                  <w:bottom w:w="0" w:type="dxa"/>
                  <w:right w:w="108" w:type="dxa"/>
                </w:tblCellMar>
              </w:tblPrEx>
              <w:trPr>
                <w:trHeight w:val="79" w:hRule="atLeast"/>
              </w:trPr>
              <w:tc>
                <w:tcPr>
                  <w:tcW w:w="4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64D3F">
                  <w:pPr>
                    <w:widowControl/>
                    <w:textAlignment w:val="center"/>
                    <w:rPr>
                      <w:rFonts w:hint="default" w:ascii="宋体" w:hAnsi="宋体" w:eastAsia="宋体" w:cs="宋体"/>
                      <w:color w:val="000000"/>
                      <w:sz w:val="22"/>
                      <w:szCs w:val="22"/>
                      <w:lang w:val="en-US" w:eastAsia="zh-CN"/>
                    </w:rPr>
                  </w:pPr>
                  <w:r>
                    <w:rPr>
                      <w:rFonts w:hint="default" w:ascii="宋体" w:hAnsi="宋体" w:eastAsia="宋体" w:cs="宋体"/>
                      <w:color w:val="000000"/>
                      <w:sz w:val="22"/>
                      <w:szCs w:val="22"/>
                      <w:lang w:val="en-US" w:eastAsia="zh-CN"/>
                    </w:rPr>
                    <w:t>深圳市博闻投资管理有限公司</w:t>
                  </w:r>
                </w:p>
              </w:tc>
              <w:tc>
                <w:tcPr>
                  <w:tcW w:w="2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957E">
                  <w:pPr>
                    <w:widowControl/>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曾元丰</w:t>
                  </w:r>
                </w:p>
              </w:tc>
            </w:tr>
            <w:tr w14:paraId="3B05BF17">
              <w:tblPrEx>
                <w:tblCellMar>
                  <w:top w:w="0" w:type="dxa"/>
                  <w:left w:w="108" w:type="dxa"/>
                  <w:bottom w:w="0" w:type="dxa"/>
                  <w:right w:w="108" w:type="dxa"/>
                </w:tblCellMar>
              </w:tblPrEx>
              <w:trPr>
                <w:trHeight w:val="79" w:hRule="atLeast"/>
              </w:trPr>
              <w:tc>
                <w:tcPr>
                  <w:tcW w:w="4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2F74B">
                  <w:pPr>
                    <w:widowControl/>
                    <w:textAlignment w:val="center"/>
                    <w:rPr>
                      <w:rFonts w:hint="default" w:ascii="宋体" w:hAnsi="宋体" w:eastAsia="宋体" w:cs="宋体"/>
                      <w:color w:val="000000"/>
                      <w:sz w:val="22"/>
                      <w:szCs w:val="22"/>
                      <w:lang w:val="en-US" w:eastAsia="zh-CN"/>
                    </w:rPr>
                  </w:pPr>
                  <w:r>
                    <w:rPr>
                      <w:rFonts w:hint="default" w:ascii="宋体" w:hAnsi="宋体" w:eastAsia="宋体" w:cs="宋体"/>
                      <w:color w:val="000000"/>
                      <w:sz w:val="22"/>
                      <w:szCs w:val="22"/>
                      <w:lang w:val="en-US" w:eastAsia="zh-CN"/>
                    </w:rPr>
                    <w:t>厦门国贸资本集团有限公司</w:t>
                  </w:r>
                </w:p>
              </w:tc>
              <w:tc>
                <w:tcPr>
                  <w:tcW w:w="2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24355">
                  <w:pPr>
                    <w:widowControl/>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杨尧尧</w:t>
                  </w:r>
                </w:p>
              </w:tc>
            </w:tr>
            <w:tr w14:paraId="08F62FFC">
              <w:tblPrEx>
                <w:tblCellMar>
                  <w:top w:w="0" w:type="dxa"/>
                  <w:left w:w="108" w:type="dxa"/>
                  <w:bottom w:w="0" w:type="dxa"/>
                  <w:right w:w="108" w:type="dxa"/>
                </w:tblCellMar>
              </w:tblPrEx>
              <w:trPr>
                <w:trHeight w:val="79" w:hRule="atLeast"/>
              </w:trPr>
              <w:tc>
                <w:tcPr>
                  <w:tcW w:w="4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CA138">
                  <w:pPr>
                    <w:widowControl/>
                    <w:textAlignment w:val="center"/>
                    <w:rPr>
                      <w:rFonts w:hint="default" w:ascii="宋体" w:hAnsi="宋体" w:eastAsia="宋体" w:cs="宋体"/>
                      <w:color w:val="000000"/>
                      <w:sz w:val="22"/>
                      <w:szCs w:val="22"/>
                      <w:lang w:val="en-US" w:eastAsia="zh-CN" w:bidi="zh-CN"/>
                    </w:rPr>
                  </w:pPr>
                  <w:r>
                    <w:rPr>
                      <w:rFonts w:hint="default" w:ascii="宋体" w:hAnsi="宋体" w:eastAsia="宋体" w:cs="宋体"/>
                      <w:color w:val="000000"/>
                      <w:sz w:val="22"/>
                      <w:szCs w:val="22"/>
                      <w:lang w:val="en-US" w:eastAsia="zh-CN"/>
                    </w:rPr>
                    <w:t>中金资本管理（广东）有限公司</w:t>
                  </w:r>
                </w:p>
              </w:tc>
              <w:tc>
                <w:tcPr>
                  <w:tcW w:w="2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46A15">
                  <w:pPr>
                    <w:widowControl/>
                    <w:textAlignment w:val="center"/>
                    <w:rPr>
                      <w:rFonts w:hint="eastAsia" w:ascii="宋体" w:hAnsi="宋体" w:eastAsia="宋体" w:cs="宋体"/>
                      <w:color w:val="000000"/>
                      <w:sz w:val="22"/>
                      <w:szCs w:val="22"/>
                      <w:lang w:val="en-US" w:eastAsia="zh-CN" w:bidi="zh-CN"/>
                    </w:rPr>
                  </w:pPr>
                  <w:r>
                    <w:rPr>
                      <w:rFonts w:hint="eastAsia" w:ascii="宋体" w:hAnsi="宋体" w:eastAsia="宋体" w:cs="宋体"/>
                      <w:color w:val="000000"/>
                      <w:sz w:val="22"/>
                      <w:szCs w:val="22"/>
                      <w:lang w:val="en-US" w:eastAsia="zh-CN"/>
                    </w:rPr>
                    <w:t>刘弦</w:t>
                  </w:r>
                </w:p>
              </w:tc>
            </w:tr>
            <w:tr w14:paraId="13EB80FA">
              <w:tblPrEx>
                <w:tblCellMar>
                  <w:top w:w="0" w:type="dxa"/>
                  <w:left w:w="108" w:type="dxa"/>
                  <w:bottom w:w="0" w:type="dxa"/>
                  <w:right w:w="108" w:type="dxa"/>
                </w:tblCellMar>
              </w:tblPrEx>
              <w:trPr>
                <w:trHeight w:val="79" w:hRule="atLeast"/>
              </w:trPr>
              <w:tc>
                <w:tcPr>
                  <w:tcW w:w="4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CCBEE">
                  <w:pPr>
                    <w:widowControl/>
                    <w:textAlignment w:val="center"/>
                    <w:rPr>
                      <w:rFonts w:hint="default" w:ascii="宋体" w:hAnsi="宋体" w:eastAsia="宋体" w:cs="宋体"/>
                      <w:color w:val="000000"/>
                      <w:sz w:val="22"/>
                      <w:szCs w:val="22"/>
                      <w:lang w:val="en-US" w:eastAsia="zh-CN"/>
                    </w:rPr>
                  </w:pPr>
                  <w:r>
                    <w:rPr>
                      <w:rFonts w:hint="default" w:ascii="宋体" w:hAnsi="宋体" w:eastAsia="宋体" w:cs="宋体"/>
                      <w:color w:val="000000"/>
                      <w:sz w:val="22"/>
                      <w:szCs w:val="22"/>
                      <w:lang w:val="en-US" w:eastAsia="zh-CN"/>
                    </w:rPr>
                    <w:t>广州泽恩投资控股有限公司</w:t>
                  </w:r>
                </w:p>
              </w:tc>
              <w:tc>
                <w:tcPr>
                  <w:tcW w:w="2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2B734">
                  <w:pPr>
                    <w:widowControl/>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曹盈盈、蔡晓霞</w:t>
                  </w:r>
                </w:p>
              </w:tc>
            </w:tr>
            <w:tr w14:paraId="021F829B">
              <w:tblPrEx>
                <w:tblCellMar>
                  <w:top w:w="0" w:type="dxa"/>
                  <w:left w:w="108" w:type="dxa"/>
                  <w:bottom w:w="0" w:type="dxa"/>
                  <w:right w:w="108" w:type="dxa"/>
                </w:tblCellMar>
              </w:tblPrEx>
              <w:trPr>
                <w:trHeight w:val="79" w:hRule="atLeast"/>
              </w:trPr>
              <w:tc>
                <w:tcPr>
                  <w:tcW w:w="4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0F1C">
                  <w:pPr>
                    <w:widowControl/>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深圳市将军咨询管理有限公司</w:t>
                  </w:r>
                </w:p>
              </w:tc>
              <w:tc>
                <w:tcPr>
                  <w:tcW w:w="2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D82B0">
                  <w:pPr>
                    <w:widowControl/>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葛兆峰</w:t>
                  </w:r>
                </w:p>
              </w:tc>
            </w:tr>
            <w:tr w14:paraId="71ED47AA">
              <w:tblPrEx>
                <w:tblCellMar>
                  <w:top w:w="0" w:type="dxa"/>
                  <w:left w:w="108" w:type="dxa"/>
                  <w:bottom w:w="0" w:type="dxa"/>
                  <w:right w:w="108" w:type="dxa"/>
                </w:tblCellMar>
              </w:tblPrEx>
              <w:trPr>
                <w:trHeight w:val="79" w:hRule="atLeast"/>
              </w:trPr>
              <w:tc>
                <w:tcPr>
                  <w:tcW w:w="4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EFB3">
                  <w:pPr>
                    <w:widowControl/>
                    <w:textAlignment w:val="center"/>
                    <w:rPr>
                      <w:rFonts w:hint="default" w:ascii="宋体" w:hAnsi="宋体" w:eastAsia="宋体" w:cs="宋体"/>
                      <w:color w:val="000000"/>
                      <w:sz w:val="22"/>
                      <w:szCs w:val="22"/>
                      <w:lang w:val="en-US" w:eastAsia="zh-CN"/>
                    </w:rPr>
                  </w:pPr>
                  <w:r>
                    <w:rPr>
                      <w:rFonts w:hint="default" w:ascii="宋体" w:hAnsi="宋体" w:eastAsia="宋体" w:cs="宋体"/>
                      <w:color w:val="000000"/>
                      <w:sz w:val="22"/>
                      <w:szCs w:val="22"/>
                      <w:lang w:val="en-US" w:eastAsia="zh-CN"/>
                    </w:rPr>
                    <w:t>深圳市麻王投资集团有限公司</w:t>
                  </w:r>
                </w:p>
              </w:tc>
              <w:tc>
                <w:tcPr>
                  <w:tcW w:w="2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5EC6">
                  <w:pPr>
                    <w:widowControl/>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冯健饶</w:t>
                  </w:r>
                </w:p>
              </w:tc>
            </w:tr>
            <w:tr w14:paraId="739376FC">
              <w:tblPrEx>
                <w:tblCellMar>
                  <w:top w:w="0" w:type="dxa"/>
                  <w:left w:w="108" w:type="dxa"/>
                  <w:bottom w:w="0" w:type="dxa"/>
                  <w:right w:w="108" w:type="dxa"/>
                </w:tblCellMar>
              </w:tblPrEx>
              <w:trPr>
                <w:trHeight w:val="79" w:hRule="atLeast"/>
              </w:trPr>
              <w:tc>
                <w:tcPr>
                  <w:tcW w:w="4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670A1">
                  <w:pPr>
                    <w:widowControl/>
                    <w:textAlignment w:val="center"/>
                    <w:rPr>
                      <w:rFonts w:hint="default" w:ascii="宋体" w:hAnsi="宋体" w:eastAsia="宋体" w:cs="宋体"/>
                      <w:color w:val="000000"/>
                      <w:sz w:val="22"/>
                      <w:szCs w:val="22"/>
                      <w:lang w:val="en-US" w:eastAsia="zh-CN"/>
                    </w:rPr>
                  </w:pPr>
                  <w:r>
                    <w:rPr>
                      <w:rFonts w:hint="default" w:ascii="宋体" w:hAnsi="宋体" w:eastAsia="宋体" w:cs="宋体"/>
                      <w:color w:val="000000"/>
                      <w:sz w:val="22"/>
                      <w:szCs w:val="22"/>
                      <w:lang w:val="en-US" w:eastAsia="zh-CN"/>
                    </w:rPr>
                    <w:t>双佰家办 (深圳) 咨询有限公司</w:t>
                  </w:r>
                </w:p>
              </w:tc>
              <w:tc>
                <w:tcPr>
                  <w:tcW w:w="2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C446E">
                  <w:pPr>
                    <w:widowControl/>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黄桢杰</w:t>
                  </w:r>
                </w:p>
              </w:tc>
            </w:tr>
            <w:tr w14:paraId="70B91A58">
              <w:tblPrEx>
                <w:tblCellMar>
                  <w:top w:w="0" w:type="dxa"/>
                  <w:left w:w="108" w:type="dxa"/>
                  <w:bottom w:w="0" w:type="dxa"/>
                  <w:right w:w="108" w:type="dxa"/>
                </w:tblCellMar>
              </w:tblPrEx>
              <w:trPr>
                <w:trHeight w:val="79" w:hRule="atLeast"/>
              </w:trPr>
              <w:tc>
                <w:tcPr>
                  <w:tcW w:w="4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330B8">
                  <w:pPr>
                    <w:widowControl/>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深圳市德居投资顾问有限公司</w:t>
                  </w:r>
                </w:p>
              </w:tc>
              <w:tc>
                <w:tcPr>
                  <w:tcW w:w="2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35B82">
                  <w:pPr>
                    <w:widowControl/>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崔文建、钟毅</w:t>
                  </w:r>
                </w:p>
              </w:tc>
            </w:tr>
            <w:tr w14:paraId="50965DDB">
              <w:tblPrEx>
                <w:tblCellMar>
                  <w:top w:w="0" w:type="dxa"/>
                  <w:left w:w="108" w:type="dxa"/>
                  <w:bottom w:w="0" w:type="dxa"/>
                  <w:right w:w="108" w:type="dxa"/>
                </w:tblCellMar>
              </w:tblPrEx>
              <w:trPr>
                <w:trHeight w:val="79" w:hRule="atLeast"/>
              </w:trPr>
              <w:tc>
                <w:tcPr>
                  <w:tcW w:w="4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F7404">
                  <w:pPr>
                    <w:widowControl/>
                    <w:textAlignment w:val="center"/>
                    <w:rPr>
                      <w:rFonts w:hint="default" w:ascii="宋体" w:hAnsi="宋体" w:eastAsia="宋体" w:cs="宋体"/>
                      <w:color w:val="000000"/>
                      <w:sz w:val="22"/>
                      <w:szCs w:val="22"/>
                      <w:lang w:val="en-US" w:eastAsia="zh-CN"/>
                    </w:rPr>
                  </w:pPr>
                  <w:r>
                    <w:rPr>
                      <w:rFonts w:ascii="宋体" w:hAnsi="宋体" w:eastAsia="宋体" w:cs="宋体"/>
                      <w:sz w:val="22"/>
                      <w:szCs w:val="22"/>
                    </w:rPr>
                    <w:t>长城证券</w:t>
                  </w:r>
                  <w:r>
                    <w:rPr>
                      <w:rFonts w:hint="eastAsia" w:ascii="宋体" w:hAnsi="宋体" w:eastAsia="宋体" w:cs="宋体"/>
                      <w:sz w:val="22"/>
                      <w:szCs w:val="22"/>
                      <w:lang w:val="en-US" w:eastAsia="zh-CN"/>
                    </w:rPr>
                    <w:t>股份有限公司</w:t>
                  </w:r>
                </w:p>
              </w:tc>
              <w:tc>
                <w:tcPr>
                  <w:tcW w:w="2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D9BFA">
                  <w:pPr>
                    <w:widowControl/>
                    <w:textAlignment w:val="center"/>
                    <w:rPr>
                      <w:rFonts w:hint="eastAsia" w:ascii="宋体" w:hAnsi="宋体" w:eastAsia="宋体" w:cs="宋体"/>
                      <w:color w:val="000000"/>
                      <w:sz w:val="22"/>
                      <w:szCs w:val="22"/>
                      <w:lang w:val="en-US" w:eastAsia="zh-CN"/>
                    </w:rPr>
                  </w:pPr>
                  <w:r>
                    <w:rPr>
                      <w:rFonts w:ascii="宋体" w:hAnsi="宋体" w:eastAsia="宋体" w:cs="宋体"/>
                      <w:sz w:val="22"/>
                      <w:szCs w:val="22"/>
                    </w:rPr>
                    <w:t>姚久花</w:t>
                  </w:r>
                  <w:r>
                    <w:rPr>
                      <w:rFonts w:hint="eastAsia" w:ascii="宋体" w:hAnsi="宋体" w:eastAsia="宋体" w:cs="宋体"/>
                      <w:sz w:val="22"/>
                      <w:szCs w:val="22"/>
                      <w:lang w:eastAsia="zh-CN"/>
                    </w:rPr>
                    <w:t>、</w:t>
                  </w:r>
                  <w:r>
                    <w:rPr>
                      <w:rFonts w:ascii="宋体" w:hAnsi="宋体" w:eastAsia="宋体" w:cs="宋体"/>
                      <w:sz w:val="22"/>
                      <w:szCs w:val="22"/>
                    </w:rPr>
                    <w:t>叶斌</w:t>
                  </w:r>
                </w:p>
              </w:tc>
            </w:tr>
          </w:tbl>
          <w:p w14:paraId="22090C37">
            <w:pPr>
              <w:pStyle w:val="21"/>
              <w:jc w:val="both"/>
              <w:rPr>
                <w:rFonts w:hint="eastAsia" w:ascii="宋体" w:hAnsi="宋体" w:eastAsia="宋体" w:cs="宋体"/>
                <w:sz w:val="24"/>
                <w:szCs w:val="24"/>
              </w:rPr>
            </w:pPr>
          </w:p>
        </w:tc>
      </w:tr>
      <w:tr w14:paraId="31E78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898" w:type="pct"/>
            <w:vAlign w:val="center"/>
          </w:tcPr>
          <w:p w14:paraId="393E37EA">
            <w:pPr>
              <w:pStyle w:val="21"/>
              <w:ind w:firstLine="482"/>
              <w:rPr>
                <w:rFonts w:hint="eastAsia" w:ascii="宋体" w:hAnsi="宋体" w:eastAsia="宋体" w:cs="宋体"/>
                <w:b/>
                <w:bCs/>
                <w:sz w:val="24"/>
                <w:szCs w:val="24"/>
              </w:rPr>
            </w:pPr>
            <w:r>
              <w:rPr>
                <w:rFonts w:hint="eastAsia" w:ascii="宋体" w:hAnsi="宋体" w:eastAsia="宋体" w:cs="宋体"/>
                <w:b/>
                <w:bCs/>
                <w:sz w:val="24"/>
                <w:szCs w:val="24"/>
              </w:rPr>
              <w:t>时间</w:t>
            </w:r>
          </w:p>
        </w:tc>
        <w:tc>
          <w:tcPr>
            <w:tcW w:w="4101" w:type="pct"/>
            <w:vAlign w:val="center"/>
          </w:tcPr>
          <w:p w14:paraId="475C350F">
            <w:pPr>
              <w:pStyle w:val="21"/>
              <w:ind w:firstLine="480" w:firstLineChars="200"/>
              <w:jc w:val="both"/>
              <w:rPr>
                <w:rFonts w:hint="default" w:ascii="宋体" w:hAnsi="宋体" w:eastAsia="宋体" w:cs="宋体"/>
                <w:color w:val="FF0000"/>
                <w:sz w:val="24"/>
                <w:szCs w:val="24"/>
                <w:lang w:val="en-US" w:eastAsia="zh-CN"/>
              </w:rPr>
            </w:pPr>
            <w:r>
              <w:rPr>
                <w:rFonts w:hint="eastAsia" w:ascii="宋体" w:hAnsi="宋体" w:eastAsia="宋体" w:cs="宋体"/>
                <w:sz w:val="24"/>
                <w:szCs w:val="24"/>
              </w:rPr>
              <w:t>2</w:t>
            </w:r>
            <w:r>
              <w:rPr>
                <w:rFonts w:ascii="宋体" w:hAnsi="宋体" w:eastAsia="宋体" w:cs="宋体"/>
                <w:sz w:val="24"/>
                <w:szCs w:val="24"/>
              </w:rPr>
              <w:t>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10</w:t>
            </w:r>
            <w:r>
              <w:rPr>
                <w:rFonts w:hint="eastAsia" w:ascii="宋体" w:hAnsi="宋体" w:eastAsia="宋体" w:cs="宋体"/>
                <w:sz w:val="24"/>
                <w:szCs w:val="24"/>
                <w:lang w:val="en-US"/>
              </w:rPr>
              <w:t>日</w:t>
            </w:r>
          </w:p>
        </w:tc>
      </w:tr>
      <w:tr w14:paraId="516F3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898" w:type="pct"/>
            <w:vAlign w:val="center"/>
          </w:tcPr>
          <w:p w14:paraId="31EE062C">
            <w:pPr>
              <w:pStyle w:val="21"/>
              <w:ind w:firstLine="482"/>
              <w:rPr>
                <w:rFonts w:hint="eastAsia" w:ascii="宋体" w:hAnsi="宋体" w:eastAsia="宋体" w:cs="宋体"/>
                <w:b/>
                <w:bCs/>
                <w:sz w:val="24"/>
                <w:szCs w:val="24"/>
              </w:rPr>
            </w:pPr>
            <w:r>
              <w:rPr>
                <w:rFonts w:hint="eastAsia" w:ascii="宋体" w:hAnsi="宋体" w:eastAsia="宋体" w:cs="宋体"/>
                <w:b/>
                <w:bCs/>
                <w:sz w:val="24"/>
                <w:szCs w:val="24"/>
              </w:rPr>
              <w:t>地点</w:t>
            </w:r>
          </w:p>
        </w:tc>
        <w:tc>
          <w:tcPr>
            <w:tcW w:w="4101" w:type="pct"/>
            <w:vAlign w:val="center"/>
          </w:tcPr>
          <w:p w14:paraId="3B318846">
            <w:pPr>
              <w:pStyle w:val="21"/>
              <w:ind w:firstLine="482"/>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深圳市</w:t>
            </w:r>
          </w:p>
        </w:tc>
      </w:tr>
      <w:tr w14:paraId="37026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8" w:hRule="atLeast"/>
        </w:trPr>
        <w:tc>
          <w:tcPr>
            <w:tcW w:w="898" w:type="pct"/>
            <w:vAlign w:val="center"/>
          </w:tcPr>
          <w:p w14:paraId="2930A183">
            <w:pPr>
              <w:pStyle w:val="21"/>
              <w:jc w:val="center"/>
              <w:rPr>
                <w:rFonts w:hint="eastAsia" w:ascii="宋体" w:hAnsi="宋体" w:eastAsia="宋体" w:cs="宋体"/>
                <w:b/>
                <w:bCs/>
                <w:sz w:val="24"/>
                <w:szCs w:val="24"/>
              </w:rPr>
            </w:pPr>
            <w:r>
              <w:rPr>
                <w:rFonts w:hint="eastAsia" w:ascii="宋体" w:hAnsi="宋体" w:eastAsia="宋体" w:cs="宋体"/>
                <w:b/>
                <w:bCs/>
                <w:sz w:val="24"/>
                <w:szCs w:val="24"/>
              </w:rPr>
              <w:t>公司接待人员</w:t>
            </w:r>
          </w:p>
          <w:p w14:paraId="6AF30631">
            <w:pPr>
              <w:pStyle w:val="21"/>
              <w:ind w:firstLine="482"/>
              <w:rPr>
                <w:rFonts w:hint="eastAsia" w:ascii="宋体" w:hAnsi="宋体" w:eastAsia="宋体" w:cs="宋体"/>
                <w:b/>
                <w:bCs/>
                <w:sz w:val="24"/>
                <w:szCs w:val="24"/>
              </w:rPr>
            </w:pPr>
            <w:r>
              <w:rPr>
                <w:rFonts w:hint="eastAsia" w:ascii="宋体" w:hAnsi="宋体" w:eastAsia="宋体" w:cs="宋体"/>
                <w:b/>
                <w:bCs/>
                <w:sz w:val="24"/>
                <w:szCs w:val="24"/>
              </w:rPr>
              <w:t>姓名</w:t>
            </w:r>
          </w:p>
        </w:tc>
        <w:tc>
          <w:tcPr>
            <w:tcW w:w="4101" w:type="pct"/>
            <w:vAlign w:val="center"/>
          </w:tcPr>
          <w:p w14:paraId="03D9B576">
            <w:pPr>
              <w:pStyle w:val="21"/>
              <w:spacing w:line="360" w:lineRule="auto"/>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董事会秘书：熊莹莹</w:t>
            </w:r>
          </w:p>
          <w:p w14:paraId="0F9125D3">
            <w:pPr>
              <w:pStyle w:val="21"/>
              <w:spacing w:line="360" w:lineRule="auto"/>
              <w:ind w:firstLine="480" w:firstLineChars="20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证券事务代表：邹榕容</w:t>
            </w:r>
          </w:p>
        </w:tc>
      </w:tr>
      <w:tr w14:paraId="65842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898" w:type="pct"/>
            <w:vAlign w:val="center"/>
          </w:tcPr>
          <w:p w14:paraId="746E3CA4">
            <w:pPr>
              <w:pStyle w:val="21"/>
              <w:jc w:val="center"/>
              <w:rPr>
                <w:rFonts w:hint="eastAsia" w:ascii="宋体" w:hAnsi="宋体" w:eastAsia="宋体" w:cs="宋体"/>
                <w:b/>
                <w:bCs/>
                <w:sz w:val="24"/>
                <w:szCs w:val="24"/>
              </w:rPr>
            </w:pPr>
            <w:r>
              <w:rPr>
                <w:rFonts w:hint="eastAsia" w:ascii="宋体" w:hAnsi="宋体" w:eastAsia="宋体" w:cs="宋体"/>
                <w:b/>
                <w:bCs/>
                <w:sz w:val="24"/>
                <w:szCs w:val="24"/>
              </w:rPr>
              <w:t>投资者关系活动主要内容介绍</w:t>
            </w:r>
          </w:p>
        </w:tc>
        <w:tc>
          <w:tcPr>
            <w:tcW w:w="4101" w:type="pct"/>
            <w:vAlign w:val="center"/>
          </w:tcPr>
          <w:p w14:paraId="4F010815">
            <w:pPr>
              <w:pStyle w:val="22"/>
              <w:autoSpaceDE/>
              <w:autoSpaceDN/>
              <w:spacing w:line="360" w:lineRule="auto"/>
              <w:ind w:firstLine="482"/>
              <w:jc w:val="both"/>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rPr>
              <w:t>问题</w:t>
            </w:r>
            <w:r>
              <w:rPr>
                <w:rFonts w:hint="eastAsia" w:ascii="宋体" w:hAnsi="宋体" w:eastAsia="宋体" w:cs="宋体"/>
                <w:b/>
                <w:bCs/>
                <w:sz w:val="24"/>
                <w:szCs w:val="24"/>
                <w:lang w:val="en-US" w:eastAsia="zh-CN"/>
              </w:rPr>
              <w:t>1</w:t>
            </w:r>
            <w:r>
              <w:rPr>
                <w:rFonts w:hint="eastAsia" w:ascii="宋体" w:hAnsi="宋体" w:eastAsia="宋体" w:cs="宋体"/>
                <w:b/>
                <w:bCs/>
                <w:sz w:val="24"/>
                <w:szCs w:val="24"/>
                <w:lang w:val="en-US"/>
              </w:rPr>
              <w:t>：</w:t>
            </w:r>
            <w:r>
              <w:rPr>
                <w:rFonts w:hint="eastAsia" w:ascii="宋体" w:hAnsi="宋体" w:eastAsia="宋体" w:cs="宋体"/>
                <w:b/>
                <w:bCs/>
                <w:sz w:val="24"/>
                <w:szCs w:val="24"/>
                <w:lang w:val="en-US" w:eastAsia="zh-CN"/>
              </w:rPr>
              <w:t>按照行业板块划分，公司上半年市场拓展情况如何？</w:t>
            </w:r>
          </w:p>
          <w:p w14:paraId="0D8C9B0D">
            <w:pPr>
              <w:pStyle w:val="22"/>
              <w:autoSpaceDE/>
              <w:autoSpaceDN/>
              <w:spacing w:line="360" w:lineRule="auto"/>
              <w:ind w:firstLine="482"/>
              <w:jc w:val="both"/>
              <w:rPr>
                <w:rFonts w:hint="eastAsia" w:ascii="宋体" w:hAnsi="宋体" w:eastAsia="宋体" w:cs="宋体"/>
                <w:sz w:val="24"/>
                <w:szCs w:val="24"/>
                <w:lang w:val="en-US" w:eastAsia="zh-CN"/>
              </w:rPr>
            </w:pPr>
            <w:r>
              <w:rPr>
                <w:rFonts w:hint="eastAsia" w:ascii="宋体" w:hAnsi="宋体" w:eastAsia="宋体" w:cs="宋体"/>
                <w:sz w:val="24"/>
                <w:szCs w:val="24"/>
                <w:lang w:val="en-US"/>
              </w:rPr>
              <w:t>回复：在轨道交通领域，公司对外深耕“根据地”城市并开拓新系统解决方案，对内聚焦降本增效与高效运营，完成了TSN多款轨道专用产品的开发与应用，并通过了ITxPT认证，为拓展欧洲等海外市场提供资质保障。在智能制造领域，公司基于“采-网-算-控”整体解决方案，在汽车、锂电、3C电子等高端制造领域深入开展行业洞察，已取得良好的标杆示范效应，有力推动制造业客户从“工业互联”向“智能制造”演进升级。在智慧矿山领域，公司主动锚定产业转型方向，积极布局5G、WTSN、空天地一体化等新技术新赛道，为业务增长培育核心动能。在传统电力及新能源领域，公司组建电网项目专项工作组，统筹协调市场、技术、生产、交付等关键环节资源，强化项目全生命周期管理能力，持续深化全流程成本管控，优化设计与制造环节协同，有效满足风电、光伏行业日趋严格的成本控制要求，为业务拓展提供有力支撑。在储能领域，公司大力推进生态协同体系建设，在传统单产品配套基础上，公司已具备整合软硬件资源、为客户提供部分子系统解决方案的能力，为后续承接更大规模集成项目奠定了能力基础。</w:t>
            </w:r>
          </w:p>
          <w:p w14:paraId="1A0D1FAF">
            <w:pPr>
              <w:pStyle w:val="22"/>
              <w:autoSpaceDE/>
              <w:autoSpaceDN/>
              <w:spacing w:line="360" w:lineRule="auto"/>
              <w:ind w:firstLine="482"/>
              <w:jc w:val="both"/>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rPr>
              <w:t>问题</w:t>
            </w:r>
            <w:r>
              <w:rPr>
                <w:rFonts w:hint="eastAsia" w:ascii="宋体" w:hAnsi="宋体" w:eastAsia="宋体" w:cs="宋体"/>
                <w:b/>
                <w:bCs/>
                <w:sz w:val="24"/>
                <w:szCs w:val="24"/>
                <w:lang w:val="en-US" w:eastAsia="zh-CN"/>
              </w:rPr>
              <w:t>2</w:t>
            </w:r>
            <w:r>
              <w:rPr>
                <w:rFonts w:hint="eastAsia" w:ascii="宋体" w:hAnsi="宋体" w:eastAsia="宋体" w:cs="宋体"/>
                <w:b/>
                <w:bCs/>
                <w:sz w:val="24"/>
                <w:szCs w:val="24"/>
                <w:lang w:val="en-US"/>
              </w:rPr>
              <w:t>：</w:t>
            </w:r>
            <w:r>
              <w:rPr>
                <w:rFonts w:hint="eastAsia" w:ascii="宋体" w:hAnsi="宋体" w:eastAsia="宋体" w:cs="宋体"/>
                <w:b/>
                <w:bCs/>
                <w:sz w:val="24"/>
                <w:szCs w:val="24"/>
                <w:lang w:val="en-US" w:eastAsia="zh-CN"/>
              </w:rPr>
              <w:t>公司上半年研发费用同比下降的原因是？</w:t>
            </w:r>
          </w:p>
          <w:p w14:paraId="0B4E59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szCs w:val="24"/>
                <w:lang w:val="en-US" w:eastAsia="zh-CN"/>
              </w:rPr>
            </w:pPr>
            <w:r>
              <w:rPr>
                <w:rFonts w:ascii="宋体" w:hAnsi="宋体" w:eastAsia="宋体" w:cs="宋体"/>
                <w:sz w:val="24"/>
                <w:szCs w:val="24"/>
              </w:rPr>
              <w:t>回复：</w:t>
            </w:r>
            <w:r>
              <w:rPr>
                <w:rFonts w:hint="eastAsia" w:ascii="宋体" w:hAnsi="宋体" w:eastAsia="宋体" w:cs="宋体"/>
                <w:sz w:val="24"/>
                <w:szCs w:val="24"/>
                <w:lang w:val="en-US" w:eastAsia="zh-CN"/>
              </w:rPr>
              <w:t>2026年上半年，公司研发费用同比下降21.07%，主要系去年同期存在特定研发项目的成果转化投入，导致同期基数较高，本期公司研发投入回归常态化布局。此外，公司持续优化研发团队架构，提升人均效能，研发人员数量相应减少，带动职工薪酬等费用同比下降。</w:t>
            </w:r>
          </w:p>
          <w:p w14:paraId="4B1BC2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rPr>
              <w:t>问题</w:t>
            </w:r>
            <w:r>
              <w:rPr>
                <w:rFonts w:hint="eastAsia" w:ascii="宋体" w:hAnsi="宋体" w:eastAsia="宋体" w:cs="宋体"/>
                <w:b/>
                <w:bCs/>
                <w:sz w:val="24"/>
                <w:szCs w:val="24"/>
                <w:lang w:val="en-US" w:eastAsia="zh-CN"/>
              </w:rPr>
              <w:t>3</w:t>
            </w:r>
            <w:r>
              <w:rPr>
                <w:rFonts w:hint="eastAsia" w:ascii="宋体" w:hAnsi="宋体" w:eastAsia="宋体" w:cs="宋体"/>
                <w:b/>
                <w:bCs/>
                <w:sz w:val="24"/>
                <w:szCs w:val="24"/>
                <w:lang w:val="en-US"/>
              </w:rPr>
              <w:t>：</w:t>
            </w:r>
            <w:r>
              <w:rPr>
                <w:rFonts w:hint="eastAsia" w:ascii="宋体" w:hAnsi="宋体" w:eastAsia="宋体" w:cs="宋体"/>
                <w:b/>
                <w:bCs/>
                <w:sz w:val="24"/>
                <w:szCs w:val="24"/>
                <w:lang w:val="en-US" w:eastAsia="zh-CN"/>
              </w:rPr>
              <w:t>公司石油石化行业上半年实现营业收入同比增长，请问公司在市场拓展、产品布局等方面有什么举措？</w:t>
            </w:r>
          </w:p>
          <w:p w14:paraId="164EB4FE">
            <w:pPr>
              <w:pStyle w:val="22"/>
              <w:autoSpaceDE/>
              <w:autoSpaceDN/>
              <w:spacing w:line="360" w:lineRule="auto"/>
              <w:ind w:firstLine="482"/>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回复：2026年上半年，国内石油石化行业市场竞争持续加剧，行业发展环境存在诸多不确定性，公司始终锚定核心增量赛道，持续深化行业战略布局，稳步推进各项经营工作落地见效，石油石化行业实现营业收入同比增长20.31%。市场拓展方面，公司持续深化优质客户的精细化运营与价值挖掘，提升存量客户粘性；通过生态合作、专属项目专班跟进、行业高端峰会等多元化渠道，持续强化行业客户拓展，精准聚焦重点区域服务需求。目前，公司已在华东、华北等石化行业聚集区域实现业务增量落地，市场渗透率稳步提升，为后续石油石化行业业务规模化复制、全域化拓展奠定了坚实基础。</w:t>
            </w:r>
          </w:p>
          <w:p w14:paraId="0A7FF92A">
            <w:pPr>
              <w:pStyle w:val="22"/>
              <w:autoSpaceDE/>
              <w:autoSpaceDN/>
              <w:spacing w:line="360" w:lineRule="auto"/>
              <w:ind w:firstLine="482"/>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产品及技术方面，公司持续补齐国产化替代产品矩阵，顺利完成多项行业国产化资质认证，以轻量化、低成本的产品升级方案，大幅提升产品市场适配力与综合竞争力；推进HaaS解决方案在石油石化行业的深度落地，依托HaaS平台软性服务能力，构建“服务+硬件”联动销售模式，有效带动主航道硬件产品销量与市场认可度双提升；实现前沿技术商业化落地突破，深耕以太网物理层（APL）技术在石化场景的应用，与国内多家DCS系统头部企业达成深度战略合作，开展技术方案适配、场景验证与性能测试。</w:t>
            </w:r>
          </w:p>
          <w:p w14:paraId="2040A179">
            <w:pPr>
              <w:pStyle w:val="22"/>
              <w:autoSpaceDE/>
              <w:autoSpaceDN/>
              <w:spacing w:line="360" w:lineRule="auto"/>
              <w:ind w:firstLine="482"/>
              <w:jc w:val="both"/>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rPr>
              <w:t>问题</w:t>
            </w:r>
            <w:r>
              <w:rPr>
                <w:rFonts w:hint="eastAsia" w:ascii="宋体" w:hAnsi="宋体" w:eastAsia="宋体" w:cs="宋体"/>
                <w:b/>
                <w:bCs/>
                <w:sz w:val="24"/>
                <w:szCs w:val="24"/>
                <w:lang w:val="en-US" w:eastAsia="zh-CN"/>
              </w:rPr>
              <w:t>4</w:t>
            </w:r>
            <w:r>
              <w:rPr>
                <w:rFonts w:hint="eastAsia" w:ascii="宋体" w:hAnsi="宋体" w:eastAsia="宋体" w:cs="宋体"/>
                <w:b/>
                <w:bCs/>
                <w:sz w:val="24"/>
                <w:szCs w:val="24"/>
                <w:lang w:val="en-US"/>
              </w:rPr>
              <w:t>：</w:t>
            </w:r>
            <w:r>
              <w:rPr>
                <w:rFonts w:hint="eastAsia" w:ascii="宋体" w:hAnsi="宋体" w:eastAsia="宋体" w:cs="宋体"/>
                <w:b/>
                <w:bCs/>
                <w:sz w:val="24"/>
                <w:szCs w:val="24"/>
                <w:lang w:val="en-US" w:eastAsia="zh-CN"/>
              </w:rPr>
              <w:t>2026年上半年，公司研发投入占营业收入的比重为22.53%，占比较高，请问公司研发进展情况如何？</w:t>
            </w:r>
          </w:p>
          <w:p w14:paraId="699CA7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回复：</w:t>
            </w:r>
            <w:r>
              <w:rPr>
                <w:rFonts w:hint="eastAsia" w:ascii="宋体" w:hAnsi="宋体" w:eastAsia="宋体" w:cs="宋体"/>
                <w:sz w:val="24"/>
                <w:szCs w:val="24"/>
                <w:lang w:val="en-US" w:eastAsia="zh-CN"/>
              </w:rPr>
              <w:t>公司以新质生产力为引领，持续加大前沿技术研发投入，围绕TSN融合应用、工业控制平台、现场总线、工业无线、SPE等重点方向，不断提升技术硬实力与软实力。公司基于市场动态、客户痛点与用户体验，持续优化创新产品功能与性能，推进关键元器件国产化替代，确保核心技术自主可控。在产品升级优化上，公司工业交换产品的性能和稳定性进一步提升，成本得到有效控制，市场竞争力增强。在智能制造领域，公司PN交换机、边缘计算网关、Wi-Fi6工业AP等产品矩阵，已实现从数据采集、网络传输到边缘计算与控制的全链条覆盖；在智慧交通领域，公司完成了TSN多款轨道专用产品的开发和应用，不断完善TSN网络整体解决方案，产品处于国内领先水平；在智慧能源领域，公司积极响应国产化政策，推进国产化产品研发，强化成本管控，提升产品竞争力。</w:t>
            </w:r>
          </w:p>
          <w:p w14:paraId="40EF941A">
            <w:pPr>
              <w:pStyle w:val="22"/>
              <w:autoSpaceDE/>
              <w:autoSpaceDN/>
              <w:spacing w:line="360" w:lineRule="auto"/>
              <w:ind w:firstLine="482"/>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问题5：能否谈谈公司在优化组织结构及人才培养方面的举措？</w:t>
            </w:r>
          </w:p>
          <w:p w14:paraId="3C0A47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回复：公司所处行业为技术密集型行业，掌握行业核心技术、经验丰富的管理人员以及技术研发人员是公司生存和发展的重要基础。2026年上半年，公司持续深耕人才队伍建设，搭建高素质研发人才梯队，深化人才发展体制机制改革，围绕员工全职业生命周期构建分层分级的系统化人才培养体系，搭建专业化、个性化、全能型人才发展平台，促进人才链与产业链深度融合，推动员工能力与组织效能协同提升。截至报告期末，公司研发人员共计175人，占公司总人数的34.58%。</w:t>
            </w:r>
          </w:p>
          <w:p w14:paraId="2A848A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公司持续优化以客户需求为核心的流程型组织架构，精简决策链路，打破部门壁垒，推进管</w:t>
            </w:r>
            <w:bookmarkStart w:id="0" w:name="_GoBack"/>
            <w:r>
              <w:rPr>
                <w:rFonts w:hint="default" w:ascii="宋体" w:hAnsi="宋体" w:eastAsia="宋体" w:cs="宋体"/>
                <w:sz w:val="24"/>
                <w:szCs w:val="24"/>
                <w:lang w:val="en-US" w:eastAsia="zh-CN"/>
              </w:rPr>
              <w:t>理体系从“</w:t>
            </w:r>
            <w:r>
              <w:rPr>
                <w:rFonts w:hint="eastAsia" w:ascii="宋体" w:hAnsi="宋体" w:eastAsia="宋体" w:cs="宋体"/>
                <w:sz w:val="24"/>
                <w:szCs w:val="24"/>
                <w:lang w:val="en-US" w:eastAsia="zh-CN"/>
              </w:rPr>
              <w:t>经验驱动</w:t>
            </w:r>
            <w:r>
              <w:rPr>
                <w:rFonts w:hint="default" w:ascii="宋体" w:hAnsi="宋体" w:eastAsia="宋体" w:cs="宋体"/>
                <w:sz w:val="24"/>
                <w:szCs w:val="24"/>
                <w:lang w:val="en-US" w:eastAsia="zh-CN"/>
              </w:rPr>
              <w:t>”向“</w:t>
            </w:r>
            <w:r>
              <w:rPr>
                <w:rFonts w:hint="eastAsia" w:ascii="宋体" w:hAnsi="宋体" w:eastAsia="宋体" w:cs="宋体"/>
                <w:sz w:val="24"/>
                <w:szCs w:val="24"/>
                <w:lang w:val="en-US" w:eastAsia="zh-CN"/>
              </w:rPr>
              <w:t>制度驱动</w:t>
            </w:r>
            <w:r>
              <w:rPr>
                <w:rFonts w:hint="default" w:ascii="宋体" w:hAnsi="宋体" w:eastAsia="宋体" w:cs="宋体"/>
                <w:sz w:val="24"/>
                <w:szCs w:val="24"/>
                <w:lang w:val="en-US" w:eastAsia="zh-CN"/>
              </w:rPr>
              <w:t>”转型，夯实组织安全运行制</w:t>
            </w:r>
            <w:bookmarkEnd w:id="0"/>
            <w:r>
              <w:rPr>
                <w:rFonts w:hint="default" w:ascii="宋体" w:hAnsi="宋体" w:eastAsia="宋体" w:cs="宋体"/>
                <w:sz w:val="24"/>
                <w:szCs w:val="24"/>
                <w:lang w:val="en-US" w:eastAsia="zh-CN"/>
              </w:rPr>
              <w:t>度根基。公司坚持客户中心与技术牵引双轮驱动，构建研发、产品、市场深度协同运营机制，深化绩效管理改革，强化考核结果在薪酬激励与晋升发展中的刚性应用；持续推进文化价值观IP渗透，打造标杆宣传阵地，以多元化方式激发组织活力，全面提升战略执行效能与业务落地效率，为企业高质量发展筑牢坚实组织底座。</w:t>
            </w:r>
          </w:p>
        </w:tc>
      </w:tr>
      <w:tr w14:paraId="4861A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898" w:type="pct"/>
            <w:vAlign w:val="center"/>
          </w:tcPr>
          <w:p w14:paraId="3C3B5D0A">
            <w:pPr>
              <w:pStyle w:val="21"/>
              <w:jc w:val="center"/>
              <w:rPr>
                <w:rFonts w:hint="eastAsia" w:ascii="宋体" w:hAnsi="宋体" w:eastAsia="宋体" w:cs="宋体"/>
                <w:b/>
                <w:bCs/>
                <w:sz w:val="24"/>
                <w:szCs w:val="24"/>
              </w:rPr>
            </w:pPr>
            <w:r>
              <w:rPr>
                <w:rFonts w:hint="eastAsia" w:ascii="宋体" w:hAnsi="宋体" w:eastAsia="宋体" w:cs="宋体"/>
                <w:b/>
                <w:bCs/>
                <w:sz w:val="24"/>
                <w:szCs w:val="24"/>
              </w:rPr>
              <w:t>附件清单</w:t>
            </w:r>
          </w:p>
          <w:p w14:paraId="19C55A63">
            <w:pPr>
              <w:pStyle w:val="21"/>
              <w:jc w:val="center"/>
              <w:rPr>
                <w:rFonts w:hint="eastAsia" w:ascii="宋体" w:hAnsi="宋体" w:eastAsia="宋体" w:cs="宋体"/>
                <w:b/>
                <w:bCs/>
                <w:sz w:val="24"/>
                <w:szCs w:val="24"/>
              </w:rPr>
            </w:pPr>
            <w:r>
              <w:rPr>
                <w:rFonts w:hint="eastAsia" w:ascii="宋体" w:hAnsi="宋体" w:eastAsia="宋体" w:cs="宋体"/>
                <w:b/>
                <w:bCs/>
                <w:sz w:val="24"/>
                <w:szCs w:val="24"/>
              </w:rPr>
              <w:t>（如有）</w:t>
            </w:r>
          </w:p>
        </w:tc>
        <w:tc>
          <w:tcPr>
            <w:tcW w:w="4101" w:type="pct"/>
            <w:vAlign w:val="center"/>
          </w:tcPr>
          <w:p w14:paraId="3CA0FE3E">
            <w:pPr>
              <w:pStyle w:val="21"/>
              <w:ind w:firstLine="480" w:firstLineChars="200"/>
              <w:rPr>
                <w:rFonts w:hint="eastAsia" w:ascii="宋体" w:hAnsi="宋体" w:eastAsia="宋体" w:cs="宋体"/>
                <w:sz w:val="24"/>
                <w:szCs w:val="24"/>
              </w:rPr>
            </w:pPr>
            <w:r>
              <w:rPr>
                <w:rFonts w:hint="eastAsia" w:ascii="宋体" w:hAnsi="宋体" w:eastAsia="宋体" w:cs="宋体"/>
                <w:sz w:val="24"/>
                <w:szCs w:val="24"/>
              </w:rPr>
              <w:t>无</w:t>
            </w:r>
          </w:p>
        </w:tc>
      </w:tr>
      <w:tr w14:paraId="6F0BC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201" w:hRule="atLeast"/>
        </w:trPr>
        <w:tc>
          <w:tcPr>
            <w:tcW w:w="898" w:type="pct"/>
            <w:vAlign w:val="center"/>
          </w:tcPr>
          <w:p w14:paraId="7DCBE8A6">
            <w:pPr>
              <w:pStyle w:val="21"/>
              <w:jc w:val="center"/>
              <w:rPr>
                <w:rFonts w:hint="eastAsia" w:ascii="宋体" w:hAnsi="宋体" w:eastAsia="宋体" w:cs="宋体"/>
                <w:b/>
                <w:bCs/>
                <w:sz w:val="24"/>
                <w:szCs w:val="24"/>
                <w:lang w:val="en-US"/>
              </w:rPr>
            </w:pPr>
            <w:r>
              <w:rPr>
                <w:rFonts w:hint="eastAsia" w:ascii="宋体" w:hAnsi="宋体" w:eastAsia="宋体" w:cs="宋体"/>
                <w:b/>
                <w:bCs/>
                <w:sz w:val="24"/>
                <w:szCs w:val="24"/>
                <w:lang w:val="en-US"/>
              </w:rPr>
              <w:t>是否涉及应披露重大信息的说明</w:t>
            </w:r>
          </w:p>
        </w:tc>
        <w:tc>
          <w:tcPr>
            <w:tcW w:w="4101" w:type="pct"/>
            <w:vAlign w:val="center"/>
          </w:tcPr>
          <w:p w14:paraId="221C1763">
            <w:pPr>
              <w:pStyle w:val="21"/>
              <w:spacing w:line="360" w:lineRule="auto"/>
              <w:ind w:firstLine="480" w:firstLineChars="200"/>
              <w:jc w:val="both"/>
              <w:rPr>
                <w:rFonts w:hint="eastAsia" w:ascii="宋体" w:hAnsi="宋体" w:eastAsia="宋体" w:cs="宋体"/>
                <w:sz w:val="24"/>
                <w:szCs w:val="24"/>
                <w:lang w:val="en-US"/>
              </w:rPr>
            </w:pPr>
            <w:r>
              <w:rPr>
                <w:rFonts w:hint="eastAsia" w:ascii="宋体" w:hAnsi="宋体" w:eastAsia="宋体" w:cs="宋体"/>
                <w:sz w:val="24"/>
                <w:szCs w:val="24"/>
                <w:lang w:val="en-US" w:eastAsia="zh-CN"/>
              </w:rPr>
              <w:t>交流</w:t>
            </w:r>
            <w:r>
              <w:rPr>
                <w:rFonts w:hint="eastAsia" w:ascii="宋体" w:hAnsi="宋体" w:eastAsia="宋体" w:cs="宋体"/>
                <w:sz w:val="24"/>
                <w:szCs w:val="24"/>
                <w:lang w:val="en-US"/>
              </w:rPr>
              <w:t>过程中，公司严格按照</w:t>
            </w:r>
            <w:r>
              <w:rPr>
                <w:rFonts w:hint="eastAsia" w:ascii="宋体" w:hAnsi="宋体" w:eastAsia="宋体" w:cs="宋体"/>
                <w:sz w:val="24"/>
                <w:szCs w:val="24"/>
                <w:lang w:val="en-US" w:eastAsia="zh-CN"/>
              </w:rPr>
              <w:t>相关法律法规及</w:t>
            </w:r>
            <w:r>
              <w:rPr>
                <w:rFonts w:hint="eastAsia" w:ascii="宋体" w:hAnsi="宋体" w:eastAsia="宋体" w:cs="宋体"/>
                <w:sz w:val="24"/>
                <w:szCs w:val="24"/>
                <w:lang w:val="en-US"/>
              </w:rPr>
              <w:t>《</w:t>
            </w:r>
            <w:r>
              <w:rPr>
                <w:rFonts w:hint="eastAsia" w:ascii="宋体" w:hAnsi="宋体" w:eastAsia="宋体" w:cs="宋体"/>
                <w:sz w:val="24"/>
                <w:szCs w:val="24"/>
                <w:lang w:val="en-US" w:eastAsia="zh-CN"/>
              </w:rPr>
              <w:t>深圳市三旺通信股份有限公司</w:t>
            </w:r>
            <w:r>
              <w:rPr>
                <w:rFonts w:hint="eastAsia" w:ascii="宋体" w:hAnsi="宋体" w:eastAsia="宋体" w:cs="宋体"/>
                <w:sz w:val="24"/>
                <w:szCs w:val="24"/>
                <w:lang w:val="en-US"/>
              </w:rPr>
              <w:t>信息披露管理制度》</w:t>
            </w:r>
            <w:r>
              <w:rPr>
                <w:rFonts w:hint="eastAsia" w:ascii="宋体" w:hAnsi="宋体" w:eastAsia="宋体" w:cs="宋体"/>
                <w:sz w:val="24"/>
                <w:szCs w:val="24"/>
                <w:lang w:val="en-US" w:eastAsia="zh-CN"/>
              </w:rPr>
              <w:t>的有关</w:t>
            </w:r>
            <w:r>
              <w:rPr>
                <w:rFonts w:hint="eastAsia" w:ascii="宋体" w:hAnsi="宋体" w:eastAsia="宋体" w:cs="宋体"/>
                <w:sz w:val="24"/>
                <w:szCs w:val="24"/>
                <w:lang w:val="en-US"/>
              </w:rPr>
              <w:t>规定，保证信息披露的真实、准确、完整、及时、公平，没有出现未公开重大</w:t>
            </w:r>
            <w:r>
              <w:rPr>
                <w:rFonts w:hint="eastAsia" w:ascii="宋体" w:hAnsi="宋体" w:eastAsia="宋体" w:cs="宋体"/>
                <w:sz w:val="24"/>
                <w:szCs w:val="24"/>
                <w:lang w:val="en-US" w:eastAsia="zh-CN"/>
              </w:rPr>
              <w:t>信息泄露</w:t>
            </w:r>
            <w:r>
              <w:rPr>
                <w:rFonts w:hint="eastAsia" w:ascii="宋体" w:hAnsi="宋体" w:eastAsia="宋体" w:cs="宋体"/>
                <w:sz w:val="24"/>
                <w:szCs w:val="24"/>
                <w:lang w:val="en-US"/>
              </w:rPr>
              <w:t>等情况。</w:t>
            </w:r>
          </w:p>
        </w:tc>
      </w:tr>
      <w:tr w14:paraId="25B95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125" w:hRule="atLeast"/>
        </w:trPr>
        <w:tc>
          <w:tcPr>
            <w:tcW w:w="898" w:type="pct"/>
            <w:vAlign w:val="center"/>
          </w:tcPr>
          <w:p w14:paraId="2E0DDFCF">
            <w:pPr>
              <w:pStyle w:val="21"/>
              <w:jc w:val="center"/>
              <w:rPr>
                <w:rFonts w:hint="eastAsia" w:ascii="宋体" w:hAnsi="宋体" w:eastAsia="宋体" w:cs="宋体"/>
                <w:b/>
                <w:bCs/>
                <w:sz w:val="24"/>
                <w:szCs w:val="24"/>
                <w:lang w:val="en-US"/>
              </w:rPr>
            </w:pPr>
            <w:r>
              <w:rPr>
                <w:rFonts w:hint="eastAsia" w:ascii="宋体" w:hAnsi="宋体" w:eastAsia="宋体" w:cs="宋体"/>
                <w:b/>
                <w:bCs/>
                <w:sz w:val="24"/>
                <w:szCs w:val="24"/>
                <w:lang w:val="en-US"/>
              </w:rPr>
              <w:t>风险提示</w:t>
            </w:r>
          </w:p>
        </w:tc>
        <w:tc>
          <w:tcPr>
            <w:tcW w:w="4101" w:type="pct"/>
            <w:vAlign w:val="center"/>
          </w:tcPr>
          <w:p w14:paraId="78F50374">
            <w:pPr>
              <w:pStyle w:val="21"/>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lang w:val="en-US"/>
              </w:rPr>
              <w:t>公司郑重提醒广大投资者，以上如涉及对行业</w:t>
            </w:r>
            <w:r>
              <w:rPr>
                <w:rFonts w:hint="eastAsia" w:ascii="宋体" w:hAnsi="宋体" w:eastAsia="宋体" w:cs="宋体"/>
                <w:sz w:val="24"/>
                <w:szCs w:val="24"/>
                <w:lang w:val="en-US" w:eastAsia="zh-CN"/>
              </w:rPr>
              <w:t>预测</w:t>
            </w:r>
            <w:r>
              <w:rPr>
                <w:rFonts w:hint="eastAsia" w:ascii="宋体" w:hAnsi="宋体" w:eastAsia="宋体" w:cs="宋体"/>
                <w:sz w:val="24"/>
                <w:szCs w:val="24"/>
                <w:lang w:val="en-US"/>
              </w:rPr>
              <w:t>、公司发展战略、未来</w:t>
            </w:r>
            <w:r>
              <w:rPr>
                <w:rFonts w:hint="eastAsia" w:ascii="宋体" w:hAnsi="宋体" w:eastAsia="宋体" w:cs="宋体"/>
                <w:sz w:val="24"/>
                <w:szCs w:val="24"/>
                <w:lang w:val="en-US" w:eastAsia="zh-CN"/>
              </w:rPr>
              <w:t>业务情况、经营计划</w:t>
            </w:r>
            <w:r>
              <w:rPr>
                <w:rFonts w:hint="eastAsia" w:ascii="宋体" w:hAnsi="宋体" w:eastAsia="宋体" w:cs="宋体"/>
                <w:sz w:val="24"/>
                <w:szCs w:val="24"/>
                <w:lang w:val="en-US"/>
              </w:rPr>
              <w:t>等前瞻性内容陈述，不能视为公司或公司管理层对行业、公司发展</w:t>
            </w:r>
            <w:r>
              <w:rPr>
                <w:rFonts w:hint="eastAsia" w:ascii="宋体" w:hAnsi="宋体" w:eastAsia="宋体" w:cs="宋体"/>
                <w:sz w:val="24"/>
                <w:szCs w:val="24"/>
                <w:lang w:val="en-US" w:eastAsia="zh-CN"/>
              </w:rPr>
              <w:t>或业绩</w:t>
            </w:r>
            <w:r>
              <w:rPr>
                <w:rFonts w:hint="eastAsia" w:ascii="宋体" w:hAnsi="宋体" w:eastAsia="宋体" w:cs="宋体"/>
                <w:sz w:val="24"/>
                <w:szCs w:val="24"/>
                <w:lang w:val="en-US"/>
              </w:rPr>
              <w:t>的承诺和保证</w:t>
            </w:r>
            <w:r>
              <w:rPr>
                <w:rFonts w:hint="eastAsia" w:ascii="宋体" w:hAnsi="宋体" w:eastAsia="宋体" w:cs="宋体"/>
                <w:sz w:val="24"/>
                <w:szCs w:val="24"/>
                <w:lang w:val="en-US" w:eastAsia="zh-CN"/>
              </w:rPr>
              <w:t>，投资者应当对此保持足够的风险认识，理解计划、预计、估计与承诺之间的差异。另外，公司后续</w:t>
            </w:r>
            <w:r>
              <w:rPr>
                <w:rFonts w:hint="eastAsia" w:ascii="宋体" w:hAnsi="宋体" w:eastAsia="宋体" w:cs="宋体"/>
                <w:sz w:val="24"/>
                <w:szCs w:val="24"/>
                <w:lang w:val="en-US"/>
              </w:rPr>
              <w:t>业务开展具有不确定性，敬请广大投资者理性判断，注意投资风险。有关信息请以公司在指定信息披露媒体《中国证券报》《上海证券报》《证券时报》以及上海证券交易所网站（www.sse.com.cn）披露的相关公告为准。</w:t>
            </w:r>
          </w:p>
        </w:tc>
      </w:tr>
      <w:tr w14:paraId="34E69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898" w:type="pct"/>
            <w:vAlign w:val="center"/>
          </w:tcPr>
          <w:p w14:paraId="105315CB">
            <w:pPr>
              <w:pStyle w:val="21"/>
              <w:jc w:val="center"/>
              <w:rPr>
                <w:rFonts w:hint="eastAsia" w:ascii="宋体" w:hAnsi="宋体" w:eastAsia="宋体" w:cs="宋体"/>
                <w:b/>
                <w:bCs/>
                <w:sz w:val="24"/>
                <w:szCs w:val="24"/>
              </w:rPr>
            </w:pPr>
            <w:r>
              <w:rPr>
                <w:rFonts w:hint="eastAsia" w:ascii="宋体" w:hAnsi="宋体" w:eastAsia="宋体" w:cs="宋体"/>
                <w:b/>
                <w:bCs/>
                <w:sz w:val="24"/>
                <w:szCs w:val="24"/>
              </w:rPr>
              <w:t>日期</w:t>
            </w:r>
          </w:p>
        </w:tc>
        <w:tc>
          <w:tcPr>
            <w:tcW w:w="4101" w:type="pct"/>
            <w:vAlign w:val="center"/>
          </w:tcPr>
          <w:p w14:paraId="2B4EA6E1">
            <w:pPr>
              <w:pStyle w:val="21"/>
              <w:ind w:firstLine="480" w:firstLineChars="200"/>
              <w:rPr>
                <w:rFonts w:hint="eastAsia" w:ascii="宋体"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10</w:t>
            </w:r>
            <w:r>
              <w:rPr>
                <w:rFonts w:hint="eastAsia" w:ascii="宋体" w:hAnsi="宋体" w:eastAsia="宋体" w:cs="宋体"/>
                <w:sz w:val="24"/>
                <w:szCs w:val="24"/>
              </w:rPr>
              <w:t>日</w:t>
            </w:r>
          </w:p>
        </w:tc>
      </w:tr>
    </w:tbl>
    <w:p w14:paraId="47E46934">
      <w:pPr>
        <w:rPr>
          <w:rFonts w:hint="eastAsia" w:ascii="宋体" w:hAnsi="宋体" w:eastAsia="宋体" w:cs="宋体"/>
          <w:sz w:val="24"/>
          <w:szCs w:val="24"/>
        </w:rPr>
      </w:pPr>
    </w:p>
    <w:sectPr>
      <w:footerReference r:id="rId3" w:type="default"/>
      <w:type w:val="continuous"/>
      <w:pgSz w:w="11910" w:h="16840"/>
      <w:pgMar w:top="1276" w:right="1474" w:bottom="1270" w:left="1502"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5729514"/>
    </w:sdtPr>
    <w:sdtContent>
      <w:p w14:paraId="44588A3E">
        <w:pPr>
          <w:pStyle w:val="8"/>
          <w:ind w:firstLine="440"/>
          <w:jc w:val="center"/>
          <w:rPr>
            <w:rFonts w:hint="eastAsia"/>
          </w:rPr>
        </w:pPr>
        <w:r>
          <w:fldChar w:fldCharType="begin"/>
        </w:r>
        <w:r>
          <w:instrText xml:space="preserve">PAGE   \* MERGEFORMAT</w:instrText>
        </w:r>
        <w:r>
          <w:fldChar w:fldCharType="separate"/>
        </w:r>
        <w:r>
          <w:t>3</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iNjZiZmM0NTA3MjM2NGIzZjgxY2YxMDY5YjczZWMifQ=="/>
  </w:docVars>
  <w:rsids>
    <w:rsidRoot w:val="00172A27"/>
    <w:rsid w:val="00000447"/>
    <w:rsid w:val="0000088C"/>
    <w:rsid w:val="00002818"/>
    <w:rsid w:val="00004202"/>
    <w:rsid w:val="00004FA2"/>
    <w:rsid w:val="000050CD"/>
    <w:rsid w:val="000051F4"/>
    <w:rsid w:val="000153D4"/>
    <w:rsid w:val="00015F08"/>
    <w:rsid w:val="00016255"/>
    <w:rsid w:val="000162BA"/>
    <w:rsid w:val="000162E3"/>
    <w:rsid w:val="000166B2"/>
    <w:rsid w:val="0002122F"/>
    <w:rsid w:val="00021EED"/>
    <w:rsid w:val="00022C02"/>
    <w:rsid w:val="00023768"/>
    <w:rsid w:val="00023BD7"/>
    <w:rsid w:val="000241F7"/>
    <w:rsid w:val="0002493B"/>
    <w:rsid w:val="00026F79"/>
    <w:rsid w:val="000307B2"/>
    <w:rsid w:val="00031C8A"/>
    <w:rsid w:val="00033011"/>
    <w:rsid w:val="0003448B"/>
    <w:rsid w:val="000419C2"/>
    <w:rsid w:val="00042A51"/>
    <w:rsid w:val="0004558D"/>
    <w:rsid w:val="000536EF"/>
    <w:rsid w:val="000548BD"/>
    <w:rsid w:val="00054EF2"/>
    <w:rsid w:val="00056240"/>
    <w:rsid w:val="0005663C"/>
    <w:rsid w:val="00056EF0"/>
    <w:rsid w:val="00057677"/>
    <w:rsid w:val="00057835"/>
    <w:rsid w:val="00061763"/>
    <w:rsid w:val="00063C70"/>
    <w:rsid w:val="00065E0F"/>
    <w:rsid w:val="0007055A"/>
    <w:rsid w:val="000757D1"/>
    <w:rsid w:val="0007670D"/>
    <w:rsid w:val="0008035B"/>
    <w:rsid w:val="0008050F"/>
    <w:rsid w:val="00081E91"/>
    <w:rsid w:val="0008240B"/>
    <w:rsid w:val="00084163"/>
    <w:rsid w:val="0008480F"/>
    <w:rsid w:val="000851D4"/>
    <w:rsid w:val="000874B7"/>
    <w:rsid w:val="00087E32"/>
    <w:rsid w:val="00090188"/>
    <w:rsid w:val="0009236F"/>
    <w:rsid w:val="00093043"/>
    <w:rsid w:val="00093DE4"/>
    <w:rsid w:val="00094CA9"/>
    <w:rsid w:val="000950EA"/>
    <w:rsid w:val="00095F12"/>
    <w:rsid w:val="000967E2"/>
    <w:rsid w:val="000968A4"/>
    <w:rsid w:val="000A08C8"/>
    <w:rsid w:val="000A1362"/>
    <w:rsid w:val="000A24E9"/>
    <w:rsid w:val="000A2D87"/>
    <w:rsid w:val="000A4B87"/>
    <w:rsid w:val="000A5782"/>
    <w:rsid w:val="000A6541"/>
    <w:rsid w:val="000A7CAC"/>
    <w:rsid w:val="000B00C1"/>
    <w:rsid w:val="000B04B6"/>
    <w:rsid w:val="000B1FAC"/>
    <w:rsid w:val="000B2CB0"/>
    <w:rsid w:val="000B7E83"/>
    <w:rsid w:val="000C04C6"/>
    <w:rsid w:val="000C0547"/>
    <w:rsid w:val="000C1461"/>
    <w:rsid w:val="000C2A2A"/>
    <w:rsid w:val="000C362C"/>
    <w:rsid w:val="000C3CE0"/>
    <w:rsid w:val="000C441B"/>
    <w:rsid w:val="000C4BE7"/>
    <w:rsid w:val="000C5F9B"/>
    <w:rsid w:val="000C6C5A"/>
    <w:rsid w:val="000D5C25"/>
    <w:rsid w:val="000D73EF"/>
    <w:rsid w:val="000E06D1"/>
    <w:rsid w:val="000E2CD5"/>
    <w:rsid w:val="000E4942"/>
    <w:rsid w:val="000E5CC1"/>
    <w:rsid w:val="000E7622"/>
    <w:rsid w:val="000E7A97"/>
    <w:rsid w:val="000F0532"/>
    <w:rsid w:val="000F102F"/>
    <w:rsid w:val="000F2A3D"/>
    <w:rsid w:val="000F51B9"/>
    <w:rsid w:val="000F5A37"/>
    <w:rsid w:val="000F650D"/>
    <w:rsid w:val="000F7D4F"/>
    <w:rsid w:val="0010362E"/>
    <w:rsid w:val="00105411"/>
    <w:rsid w:val="00106DF1"/>
    <w:rsid w:val="00111F34"/>
    <w:rsid w:val="00112443"/>
    <w:rsid w:val="001126B8"/>
    <w:rsid w:val="00112E6B"/>
    <w:rsid w:val="001148FD"/>
    <w:rsid w:val="00115FBA"/>
    <w:rsid w:val="001167E5"/>
    <w:rsid w:val="00117CBF"/>
    <w:rsid w:val="0012189C"/>
    <w:rsid w:val="00123A5B"/>
    <w:rsid w:val="00124128"/>
    <w:rsid w:val="0012576D"/>
    <w:rsid w:val="00126443"/>
    <w:rsid w:val="00126753"/>
    <w:rsid w:val="00127505"/>
    <w:rsid w:val="00127B1E"/>
    <w:rsid w:val="00127ECF"/>
    <w:rsid w:val="00130B6C"/>
    <w:rsid w:val="00130DFC"/>
    <w:rsid w:val="00134790"/>
    <w:rsid w:val="00136E46"/>
    <w:rsid w:val="001401D3"/>
    <w:rsid w:val="001412C7"/>
    <w:rsid w:val="001419DB"/>
    <w:rsid w:val="00142F97"/>
    <w:rsid w:val="00143E5E"/>
    <w:rsid w:val="00146E7F"/>
    <w:rsid w:val="00146FD9"/>
    <w:rsid w:val="00147587"/>
    <w:rsid w:val="001501F6"/>
    <w:rsid w:val="0015068A"/>
    <w:rsid w:val="00151A01"/>
    <w:rsid w:val="00151BD7"/>
    <w:rsid w:val="001534EC"/>
    <w:rsid w:val="001537F8"/>
    <w:rsid w:val="00154B29"/>
    <w:rsid w:val="001558DF"/>
    <w:rsid w:val="00155E96"/>
    <w:rsid w:val="001646D1"/>
    <w:rsid w:val="001649B5"/>
    <w:rsid w:val="001677BC"/>
    <w:rsid w:val="00167EA9"/>
    <w:rsid w:val="001709BC"/>
    <w:rsid w:val="00172A27"/>
    <w:rsid w:val="00173317"/>
    <w:rsid w:val="00173B1A"/>
    <w:rsid w:val="001750DA"/>
    <w:rsid w:val="00175935"/>
    <w:rsid w:val="00176232"/>
    <w:rsid w:val="00177484"/>
    <w:rsid w:val="001800BF"/>
    <w:rsid w:val="001811A5"/>
    <w:rsid w:val="00181A35"/>
    <w:rsid w:val="00184E2E"/>
    <w:rsid w:val="00190DA8"/>
    <w:rsid w:val="0019303D"/>
    <w:rsid w:val="00194601"/>
    <w:rsid w:val="00194D3D"/>
    <w:rsid w:val="00195115"/>
    <w:rsid w:val="001955BB"/>
    <w:rsid w:val="001A0B2F"/>
    <w:rsid w:val="001A380A"/>
    <w:rsid w:val="001A46B9"/>
    <w:rsid w:val="001A5DC1"/>
    <w:rsid w:val="001A5F3C"/>
    <w:rsid w:val="001A6091"/>
    <w:rsid w:val="001A6920"/>
    <w:rsid w:val="001A6C94"/>
    <w:rsid w:val="001B1B44"/>
    <w:rsid w:val="001C08E2"/>
    <w:rsid w:val="001C26DF"/>
    <w:rsid w:val="001C290E"/>
    <w:rsid w:val="001C43D6"/>
    <w:rsid w:val="001C7985"/>
    <w:rsid w:val="001C7D50"/>
    <w:rsid w:val="001D2086"/>
    <w:rsid w:val="001D3BE9"/>
    <w:rsid w:val="001D40DA"/>
    <w:rsid w:val="001D43E8"/>
    <w:rsid w:val="001D4B09"/>
    <w:rsid w:val="001D501F"/>
    <w:rsid w:val="001D5CB6"/>
    <w:rsid w:val="001D6234"/>
    <w:rsid w:val="001D6BBF"/>
    <w:rsid w:val="001D774B"/>
    <w:rsid w:val="001E130D"/>
    <w:rsid w:val="001E2EBF"/>
    <w:rsid w:val="001E4202"/>
    <w:rsid w:val="001E444B"/>
    <w:rsid w:val="001E486B"/>
    <w:rsid w:val="001E5EC8"/>
    <w:rsid w:val="001E6789"/>
    <w:rsid w:val="001E6ED3"/>
    <w:rsid w:val="001E7CAD"/>
    <w:rsid w:val="001F1AD9"/>
    <w:rsid w:val="002023CD"/>
    <w:rsid w:val="00202F5F"/>
    <w:rsid w:val="00207B6F"/>
    <w:rsid w:val="00210ED9"/>
    <w:rsid w:val="0021199E"/>
    <w:rsid w:val="00211E8C"/>
    <w:rsid w:val="0021385E"/>
    <w:rsid w:val="00213ADC"/>
    <w:rsid w:val="00214C8E"/>
    <w:rsid w:val="00216214"/>
    <w:rsid w:val="0021737F"/>
    <w:rsid w:val="0021738D"/>
    <w:rsid w:val="00220BA9"/>
    <w:rsid w:val="00223E94"/>
    <w:rsid w:val="00226472"/>
    <w:rsid w:val="00227705"/>
    <w:rsid w:val="00231911"/>
    <w:rsid w:val="0023238F"/>
    <w:rsid w:val="00234C97"/>
    <w:rsid w:val="00235DBA"/>
    <w:rsid w:val="00236781"/>
    <w:rsid w:val="00236B5E"/>
    <w:rsid w:val="00237CE6"/>
    <w:rsid w:val="00241A6F"/>
    <w:rsid w:val="00241F39"/>
    <w:rsid w:val="0024210D"/>
    <w:rsid w:val="002424D6"/>
    <w:rsid w:val="0024482A"/>
    <w:rsid w:val="00251E05"/>
    <w:rsid w:val="00252609"/>
    <w:rsid w:val="00253162"/>
    <w:rsid w:val="00253553"/>
    <w:rsid w:val="00257506"/>
    <w:rsid w:val="00261A17"/>
    <w:rsid w:val="00261D50"/>
    <w:rsid w:val="00262036"/>
    <w:rsid w:val="002621B3"/>
    <w:rsid w:val="00263A63"/>
    <w:rsid w:val="00263E15"/>
    <w:rsid w:val="00264D79"/>
    <w:rsid w:val="002663C2"/>
    <w:rsid w:val="00266898"/>
    <w:rsid w:val="00267244"/>
    <w:rsid w:val="002676DD"/>
    <w:rsid w:val="00267D6A"/>
    <w:rsid w:val="002714B5"/>
    <w:rsid w:val="00271B82"/>
    <w:rsid w:val="00274423"/>
    <w:rsid w:val="00274929"/>
    <w:rsid w:val="00276F19"/>
    <w:rsid w:val="00281090"/>
    <w:rsid w:val="002812FC"/>
    <w:rsid w:val="00284054"/>
    <w:rsid w:val="002845D9"/>
    <w:rsid w:val="00285763"/>
    <w:rsid w:val="00287506"/>
    <w:rsid w:val="002879D1"/>
    <w:rsid w:val="002922E2"/>
    <w:rsid w:val="002932FB"/>
    <w:rsid w:val="002A1795"/>
    <w:rsid w:val="002A347C"/>
    <w:rsid w:val="002A474F"/>
    <w:rsid w:val="002A5409"/>
    <w:rsid w:val="002A5AA8"/>
    <w:rsid w:val="002A5E1F"/>
    <w:rsid w:val="002A6BA5"/>
    <w:rsid w:val="002A70B2"/>
    <w:rsid w:val="002B104A"/>
    <w:rsid w:val="002B1CD2"/>
    <w:rsid w:val="002B1E25"/>
    <w:rsid w:val="002B23A6"/>
    <w:rsid w:val="002B2C58"/>
    <w:rsid w:val="002B3A1D"/>
    <w:rsid w:val="002B40A9"/>
    <w:rsid w:val="002B5281"/>
    <w:rsid w:val="002B61FE"/>
    <w:rsid w:val="002B69CB"/>
    <w:rsid w:val="002B6C39"/>
    <w:rsid w:val="002B7061"/>
    <w:rsid w:val="002B76C3"/>
    <w:rsid w:val="002C0789"/>
    <w:rsid w:val="002C0B38"/>
    <w:rsid w:val="002C1793"/>
    <w:rsid w:val="002C2382"/>
    <w:rsid w:val="002D11D0"/>
    <w:rsid w:val="002D2566"/>
    <w:rsid w:val="002D2670"/>
    <w:rsid w:val="002D2F52"/>
    <w:rsid w:val="002D4D69"/>
    <w:rsid w:val="002D56A4"/>
    <w:rsid w:val="002D5839"/>
    <w:rsid w:val="002D59A0"/>
    <w:rsid w:val="002D65C6"/>
    <w:rsid w:val="002D76BF"/>
    <w:rsid w:val="002E0BA7"/>
    <w:rsid w:val="002E0EA5"/>
    <w:rsid w:val="002E1224"/>
    <w:rsid w:val="002E1EE9"/>
    <w:rsid w:val="002E4247"/>
    <w:rsid w:val="002F1E29"/>
    <w:rsid w:val="002F34F5"/>
    <w:rsid w:val="002F49B3"/>
    <w:rsid w:val="002F669B"/>
    <w:rsid w:val="002F7DB2"/>
    <w:rsid w:val="0030405B"/>
    <w:rsid w:val="0030696E"/>
    <w:rsid w:val="00312764"/>
    <w:rsid w:val="00312E4F"/>
    <w:rsid w:val="00314102"/>
    <w:rsid w:val="00314F1A"/>
    <w:rsid w:val="00315D3A"/>
    <w:rsid w:val="00317045"/>
    <w:rsid w:val="0032046D"/>
    <w:rsid w:val="00320A9F"/>
    <w:rsid w:val="003242A9"/>
    <w:rsid w:val="00325627"/>
    <w:rsid w:val="00325FBF"/>
    <w:rsid w:val="003263BF"/>
    <w:rsid w:val="00327552"/>
    <w:rsid w:val="00327707"/>
    <w:rsid w:val="00327A46"/>
    <w:rsid w:val="003319BD"/>
    <w:rsid w:val="00331EAC"/>
    <w:rsid w:val="003322B1"/>
    <w:rsid w:val="003329BD"/>
    <w:rsid w:val="0033589D"/>
    <w:rsid w:val="0034003E"/>
    <w:rsid w:val="00340E9A"/>
    <w:rsid w:val="00342CE5"/>
    <w:rsid w:val="00343CBC"/>
    <w:rsid w:val="00343EFD"/>
    <w:rsid w:val="00344019"/>
    <w:rsid w:val="003442B6"/>
    <w:rsid w:val="00344550"/>
    <w:rsid w:val="00344E5D"/>
    <w:rsid w:val="00345CC2"/>
    <w:rsid w:val="00347330"/>
    <w:rsid w:val="00347CA3"/>
    <w:rsid w:val="00351BF9"/>
    <w:rsid w:val="00352964"/>
    <w:rsid w:val="00356BE8"/>
    <w:rsid w:val="00356E8C"/>
    <w:rsid w:val="00357037"/>
    <w:rsid w:val="00357ED1"/>
    <w:rsid w:val="00361621"/>
    <w:rsid w:val="00362285"/>
    <w:rsid w:val="00362CBF"/>
    <w:rsid w:val="00363688"/>
    <w:rsid w:val="00363DEA"/>
    <w:rsid w:val="00364F43"/>
    <w:rsid w:val="003652F2"/>
    <w:rsid w:val="00371FFB"/>
    <w:rsid w:val="003729D3"/>
    <w:rsid w:val="0037434B"/>
    <w:rsid w:val="00374B73"/>
    <w:rsid w:val="00376535"/>
    <w:rsid w:val="00376EBE"/>
    <w:rsid w:val="00377BF6"/>
    <w:rsid w:val="00381B81"/>
    <w:rsid w:val="00383D66"/>
    <w:rsid w:val="0038552B"/>
    <w:rsid w:val="003874C7"/>
    <w:rsid w:val="003947E8"/>
    <w:rsid w:val="00395AB1"/>
    <w:rsid w:val="00395C16"/>
    <w:rsid w:val="00396BFB"/>
    <w:rsid w:val="003A0F44"/>
    <w:rsid w:val="003A4501"/>
    <w:rsid w:val="003A476F"/>
    <w:rsid w:val="003A5DF1"/>
    <w:rsid w:val="003B025B"/>
    <w:rsid w:val="003B03CC"/>
    <w:rsid w:val="003B1E82"/>
    <w:rsid w:val="003B1F66"/>
    <w:rsid w:val="003B2C40"/>
    <w:rsid w:val="003B4194"/>
    <w:rsid w:val="003B5DC5"/>
    <w:rsid w:val="003B64B7"/>
    <w:rsid w:val="003B6C48"/>
    <w:rsid w:val="003B7405"/>
    <w:rsid w:val="003B79A3"/>
    <w:rsid w:val="003B7FBF"/>
    <w:rsid w:val="003C0AEC"/>
    <w:rsid w:val="003C2FE2"/>
    <w:rsid w:val="003C3323"/>
    <w:rsid w:val="003D1FE6"/>
    <w:rsid w:val="003D2E40"/>
    <w:rsid w:val="003D2F6A"/>
    <w:rsid w:val="003D4B64"/>
    <w:rsid w:val="003D64FD"/>
    <w:rsid w:val="003D703E"/>
    <w:rsid w:val="003E1F7A"/>
    <w:rsid w:val="003E223E"/>
    <w:rsid w:val="003E2637"/>
    <w:rsid w:val="003E2D0B"/>
    <w:rsid w:val="003E3373"/>
    <w:rsid w:val="003E3C0D"/>
    <w:rsid w:val="003E7CDE"/>
    <w:rsid w:val="003F20BA"/>
    <w:rsid w:val="003F4AFE"/>
    <w:rsid w:val="003F7CFD"/>
    <w:rsid w:val="003F7F64"/>
    <w:rsid w:val="004012A5"/>
    <w:rsid w:val="00402B77"/>
    <w:rsid w:val="00403D3F"/>
    <w:rsid w:val="004049EF"/>
    <w:rsid w:val="004067CF"/>
    <w:rsid w:val="004107E3"/>
    <w:rsid w:val="004111CD"/>
    <w:rsid w:val="00413CF8"/>
    <w:rsid w:val="00414E6C"/>
    <w:rsid w:val="004150FF"/>
    <w:rsid w:val="00415AA6"/>
    <w:rsid w:val="00416301"/>
    <w:rsid w:val="00416ECF"/>
    <w:rsid w:val="004221A5"/>
    <w:rsid w:val="00423091"/>
    <w:rsid w:val="00423FFF"/>
    <w:rsid w:val="0042563D"/>
    <w:rsid w:val="0042630A"/>
    <w:rsid w:val="00426D37"/>
    <w:rsid w:val="00427511"/>
    <w:rsid w:val="00427704"/>
    <w:rsid w:val="0043198E"/>
    <w:rsid w:val="004333F1"/>
    <w:rsid w:val="00433F10"/>
    <w:rsid w:val="004366E5"/>
    <w:rsid w:val="00440685"/>
    <w:rsid w:val="004409A5"/>
    <w:rsid w:val="004409D8"/>
    <w:rsid w:val="00442CEF"/>
    <w:rsid w:val="00443230"/>
    <w:rsid w:val="00444CA9"/>
    <w:rsid w:val="00445465"/>
    <w:rsid w:val="00446B17"/>
    <w:rsid w:val="00447F3C"/>
    <w:rsid w:val="004514AA"/>
    <w:rsid w:val="00452A80"/>
    <w:rsid w:val="0045688D"/>
    <w:rsid w:val="00456B4A"/>
    <w:rsid w:val="00457932"/>
    <w:rsid w:val="00457D45"/>
    <w:rsid w:val="0046008D"/>
    <w:rsid w:val="004618E2"/>
    <w:rsid w:val="0046268E"/>
    <w:rsid w:val="00462FA6"/>
    <w:rsid w:val="00466F49"/>
    <w:rsid w:val="00467F66"/>
    <w:rsid w:val="0047043F"/>
    <w:rsid w:val="00470834"/>
    <w:rsid w:val="0047132E"/>
    <w:rsid w:val="0047133F"/>
    <w:rsid w:val="00472419"/>
    <w:rsid w:val="00472C22"/>
    <w:rsid w:val="00475FEF"/>
    <w:rsid w:val="00480515"/>
    <w:rsid w:val="00481477"/>
    <w:rsid w:val="004837E7"/>
    <w:rsid w:val="00484C13"/>
    <w:rsid w:val="00485619"/>
    <w:rsid w:val="00486CF9"/>
    <w:rsid w:val="00487645"/>
    <w:rsid w:val="00491FA5"/>
    <w:rsid w:val="00492897"/>
    <w:rsid w:val="00492F30"/>
    <w:rsid w:val="004934CF"/>
    <w:rsid w:val="004939B0"/>
    <w:rsid w:val="0049506C"/>
    <w:rsid w:val="004963A5"/>
    <w:rsid w:val="00496468"/>
    <w:rsid w:val="00497040"/>
    <w:rsid w:val="004970AC"/>
    <w:rsid w:val="004A25E9"/>
    <w:rsid w:val="004A2F27"/>
    <w:rsid w:val="004A77E9"/>
    <w:rsid w:val="004A7A21"/>
    <w:rsid w:val="004A7C19"/>
    <w:rsid w:val="004B017C"/>
    <w:rsid w:val="004B0D33"/>
    <w:rsid w:val="004B361B"/>
    <w:rsid w:val="004B3F0C"/>
    <w:rsid w:val="004B4AB9"/>
    <w:rsid w:val="004B6EA2"/>
    <w:rsid w:val="004B7370"/>
    <w:rsid w:val="004C2353"/>
    <w:rsid w:val="004C47F4"/>
    <w:rsid w:val="004C4B21"/>
    <w:rsid w:val="004C51B3"/>
    <w:rsid w:val="004C554C"/>
    <w:rsid w:val="004C7117"/>
    <w:rsid w:val="004D3541"/>
    <w:rsid w:val="004D479F"/>
    <w:rsid w:val="004D55E1"/>
    <w:rsid w:val="004D7D84"/>
    <w:rsid w:val="004E0CED"/>
    <w:rsid w:val="004E1ACA"/>
    <w:rsid w:val="004E2B03"/>
    <w:rsid w:val="004F10E5"/>
    <w:rsid w:val="004F2321"/>
    <w:rsid w:val="004F3D54"/>
    <w:rsid w:val="004F5F43"/>
    <w:rsid w:val="004F6B26"/>
    <w:rsid w:val="00500D60"/>
    <w:rsid w:val="00500EE9"/>
    <w:rsid w:val="005025B7"/>
    <w:rsid w:val="00504C2D"/>
    <w:rsid w:val="00510050"/>
    <w:rsid w:val="00510970"/>
    <w:rsid w:val="00512A88"/>
    <w:rsid w:val="00512D89"/>
    <w:rsid w:val="0051322C"/>
    <w:rsid w:val="00515A3B"/>
    <w:rsid w:val="0052053F"/>
    <w:rsid w:val="00520A0A"/>
    <w:rsid w:val="00521764"/>
    <w:rsid w:val="0052244C"/>
    <w:rsid w:val="00522A30"/>
    <w:rsid w:val="00523045"/>
    <w:rsid w:val="00523751"/>
    <w:rsid w:val="00525AE2"/>
    <w:rsid w:val="005277C0"/>
    <w:rsid w:val="0052786B"/>
    <w:rsid w:val="00527B16"/>
    <w:rsid w:val="00530F55"/>
    <w:rsid w:val="0053112E"/>
    <w:rsid w:val="00531E1F"/>
    <w:rsid w:val="0053214B"/>
    <w:rsid w:val="00532ECB"/>
    <w:rsid w:val="00532FE2"/>
    <w:rsid w:val="0053362B"/>
    <w:rsid w:val="005348E4"/>
    <w:rsid w:val="005353D0"/>
    <w:rsid w:val="00536965"/>
    <w:rsid w:val="00540B85"/>
    <w:rsid w:val="00540D11"/>
    <w:rsid w:val="0054479E"/>
    <w:rsid w:val="0054760D"/>
    <w:rsid w:val="0054765D"/>
    <w:rsid w:val="00550E87"/>
    <w:rsid w:val="00551879"/>
    <w:rsid w:val="00554306"/>
    <w:rsid w:val="005543A7"/>
    <w:rsid w:val="005612EB"/>
    <w:rsid w:val="00561817"/>
    <w:rsid w:val="005629FC"/>
    <w:rsid w:val="00562DFE"/>
    <w:rsid w:val="005633FC"/>
    <w:rsid w:val="00563E10"/>
    <w:rsid w:val="00564950"/>
    <w:rsid w:val="00565F86"/>
    <w:rsid w:val="0056640C"/>
    <w:rsid w:val="00567065"/>
    <w:rsid w:val="00567A21"/>
    <w:rsid w:val="00571D6A"/>
    <w:rsid w:val="005750E9"/>
    <w:rsid w:val="00575692"/>
    <w:rsid w:val="0057769B"/>
    <w:rsid w:val="00582FD5"/>
    <w:rsid w:val="00583545"/>
    <w:rsid w:val="0058381F"/>
    <w:rsid w:val="00583A47"/>
    <w:rsid w:val="005860C1"/>
    <w:rsid w:val="00587A18"/>
    <w:rsid w:val="00591D96"/>
    <w:rsid w:val="0059366B"/>
    <w:rsid w:val="0059406A"/>
    <w:rsid w:val="005958B7"/>
    <w:rsid w:val="00595B51"/>
    <w:rsid w:val="00596AD0"/>
    <w:rsid w:val="00597D10"/>
    <w:rsid w:val="005A0A45"/>
    <w:rsid w:val="005A0AC6"/>
    <w:rsid w:val="005A1E59"/>
    <w:rsid w:val="005A26C7"/>
    <w:rsid w:val="005A2CF4"/>
    <w:rsid w:val="005A32DB"/>
    <w:rsid w:val="005A40EA"/>
    <w:rsid w:val="005A4511"/>
    <w:rsid w:val="005A4662"/>
    <w:rsid w:val="005A614B"/>
    <w:rsid w:val="005B063C"/>
    <w:rsid w:val="005B0C07"/>
    <w:rsid w:val="005B20A7"/>
    <w:rsid w:val="005B2892"/>
    <w:rsid w:val="005B2D33"/>
    <w:rsid w:val="005B3ED0"/>
    <w:rsid w:val="005B603F"/>
    <w:rsid w:val="005C147F"/>
    <w:rsid w:val="005C4306"/>
    <w:rsid w:val="005C4BE3"/>
    <w:rsid w:val="005C60C6"/>
    <w:rsid w:val="005C68AB"/>
    <w:rsid w:val="005C775C"/>
    <w:rsid w:val="005D0D9F"/>
    <w:rsid w:val="005D1207"/>
    <w:rsid w:val="005D1FDF"/>
    <w:rsid w:val="005D37C8"/>
    <w:rsid w:val="005D3B5A"/>
    <w:rsid w:val="005D5667"/>
    <w:rsid w:val="005D65C4"/>
    <w:rsid w:val="005E1434"/>
    <w:rsid w:val="005E1D99"/>
    <w:rsid w:val="005F271A"/>
    <w:rsid w:val="005F2A20"/>
    <w:rsid w:val="005F6D94"/>
    <w:rsid w:val="005F78B9"/>
    <w:rsid w:val="005F7A90"/>
    <w:rsid w:val="00600628"/>
    <w:rsid w:val="006032B3"/>
    <w:rsid w:val="00603CAB"/>
    <w:rsid w:val="0060454F"/>
    <w:rsid w:val="0060494D"/>
    <w:rsid w:val="0060513D"/>
    <w:rsid w:val="0061212E"/>
    <w:rsid w:val="006145DE"/>
    <w:rsid w:val="00614F78"/>
    <w:rsid w:val="00614FC5"/>
    <w:rsid w:val="0061530C"/>
    <w:rsid w:val="006153E3"/>
    <w:rsid w:val="00615D74"/>
    <w:rsid w:val="00615E37"/>
    <w:rsid w:val="00616F5D"/>
    <w:rsid w:val="00617A8B"/>
    <w:rsid w:val="00617DA4"/>
    <w:rsid w:val="0062231A"/>
    <w:rsid w:val="00622D49"/>
    <w:rsid w:val="00623C16"/>
    <w:rsid w:val="00623F59"/>
    <w:rsid w:val="0062581E"/>
    <w:rsid w:val="006339DE"/>
    <w:rsid w:val="006361D1"/>
    <w:rsid w:val="00637E5D"/>
    <w:rsid w:val="00640A99"/>
    <w:rsid w:val="00641BA1"/>
    <w:rsid w:val="006461CF"/>
    <w:rsid w:val="006515D1"/>
    <w:rsid w:val="00651F59"/>
    <w:rsid w:val="00655427"/>
    <w:rsid w:val="00661C21"/>
    <w:rsid w:val="00662459"/>
    <w:rsid w:val="00662C4E"/>
    <w:rsid w:val="00665810"/>
    <w:rsid w:val="00666342"/>
    <w:rsid w:val="00666BB1"/>
    <w:rsid w:val="00666CD3"/>
    <w:rsid w:val="00667224"/>
    <w:rsid w:val="00670CC4"/>
    <w:rsid w:val="00670EB3"/>
    <w:rsid w:val="00677776"/>
    <w:rsid w:val="00680FA4"/>
    <w:rsid w:val="00681B4C"/>
    <w:rsid w:val="00682A0C"/>
    <w:rsid w:val="0068389F"/>
    <w:rsid w:val="00683E36"/>
    <w:rsid w:val="00684848"/>
    <w:rsid w:val="006853ED"/>
    <w:rsid w:val="00685B98"/>
    <w:rsid w:val="0068645E"/>
    <w:rsid w:val="00687505"/>
    <w:rsid w:val="0069479A"/>
    <w:rsid w:val="006954C1"/>
    <w:rsid w:val="00696F9E"/>
    <w:rsid w:val="00696FB0"/>
    <w:rsid w:val="006A00B1"/>
    <w:rsid w:val="006A0568"/>
    <w:rsid w:val="006A348A"/>
    <w:rsid w:val="006A5F54"/>
    <w:rsid w:val="006A67E2"/>
    <w:rsid w:val="006A7EE2"/>
    <w:rsid w:val="006B0317"/>
    <w:rsid w:val="006B260B"/>
    <w:rsid w:val="006B2C19"/>
    <w:rsid w:val="006B318F"/>
    <w:rsid w:val="006B3462"/>
    <w:rsid w:val="006B549A"/>
    <w:rsid w:val="006C0970"/>
    <w:rsid w:val="006C18AE"/>
    <w:rsid w:val="006C2DD6"/>
    <w:rsid w:val="006C2EC2"/>
    <w:rsid w:val="006C3613"/>
    <w:rsid w:val="006C4909"/>
    <w:rsid w:val="006C66B8"/>
    <w:rsid w:val="006D23C2"/>
    <w:rsid w:val="006D3261"/>
    <w:rsid w:val="006D58EA"/>
    <w:rsid w:val="006D7714"/>
    <w:rsid w:val="006E026A"/>
    <w:rsid w:val="006E114C"/>
    <w:rsid w:val="006E1202"/>
    <w:rsid w:val="006E345B"/>
    <w:rsid w:val="006E3911"/>
    <w:rsid w:val="006E54AA"/>
    <w:rsid w:val="006E6D8B"/>
    <w:rsid w:val="006E733F"/>
    <w:rsid w:val="006F126D"/>
    <w:rsid w:val="006F2AFD"/>
    <w:rsid w:val="006F359A"/>
    <w:rsid w:val="006F3CE8"/>
    <w:rsid w:val="006F4E8D"/>
    <w:rsid w:val="006F7750"/>
    <w:rsid w:val="006F7EEE"/>
    <w:rsid w:val="00701963"/>
    <w:rsid w:val="00703871"/>
    <w:rsid w:val="00706530"/>
    <w:rsid w:val="00707EBD"/>
    <w:rsid w:val="0071096D"/>
    <w:rsid w:val="007115CE"/>
    <w:rsid w:val="00715AB2"/>
    <w:rsid w:val="007164DD"/>
    <w:rsid w:val="0071753E"/>
    <w:rsid w:val="00717DFC"/>
    <w:rsid w:val="00723459"/>
    <w:rsid w:val="007276B4"/>
    <w:rsid w:val="00727BA9"/>
    <w:rsid w:val="00730640"/>
    <w:rsid w:val="00731805"/>
    <w:rsid w:val="00731EFC"/>
    <w:rsid w:val="00740E49"/>
    <w:rsid w:val="007456A6"/>
    <w:rsid w:val="007463D2"/>
    <w:rsid w:val="00746711"/>
    <w:rsid w:val="0074722B"/>
    <w:rsid w:val="007472F6"/>
    <w:rsid w:val="00747915"/>
    <w:rsid w:val="007508CF"/>
    <w:rsid w:val="00751865"/>
    <w:rsid w:val="00751D84"/>
    <w:rsid w:val="00752687"/>
    <w:rsid w:val="007537CE"/>
    <w:rsid w:val="00753EA3"/>
    <w:rsid w:val="00754B5E"/>
    <w:rsid w:val="0075590E"/>
    <w:rsid w:val="0076066C"/>
    <w:rsid w:val="00760869"/>
    <w:rsid w:val="00764E78"/>
    <w:rsid w:val="00765ABA"/>
    <w:rsid w:val="00765FAD"/>
    <w:rsid w:val="00767840"/>
    <w:rsid w:val="007733AD"/>
    <w:rsid w:val="0077443F"/>
    <w:rsid w:val="00774ACA"/>
    <w:rsid w:val="007764B8"/>
    <w:rsid w:val="0077757E"/>
    <w:rsid w:val="00782571"/>
    <w:rsid w:val="00783CD0"/>
    <w:rsid w:val="00785008"/>
    <w:rsid w:val="00785C52"/>
    <w:rsid w:val="00786250"/>
    <w:rsid w:val="00786347"/>
    <w:rsid w:val="00787664"/>
    <w:rsid w:val="00790B18"/>
    <w:rsid w:val="00790EC8"/>
    <w:rsid w:val="00791C3C"/>
    <w:rsid w:val="00792ABC"/>
    <w:rsid w:val="00792E60"/>
    <w:rsid w:val="007948A7"/>
    <w:rsid w:val="0079513D"/>
    <w:rsid w:val="007951F3"/>
    <w:rsid w:val="00795663"/>
    <w:rsid w:val="00796020"/>
    <w:rsid w:val="00796934"/>
    <w:rsid w:val="007A097C"/>
    <w:rsid w:val="007A2C32"/>
    <w:rsid w:val="007A4887"/>
    <w:rsid w:val="007A585C"/>
    <w:rsid w:val="007A5BE5"/>
    <w:rsid w:val="007B08FB"/>
    <w:rsid w:val="007B21B1"/>
    <w:rsid w:val="007B2B01"/>
    <w:rsid w:val="007B5112"/>
    <w:rsid w:val="007B79DA"/>
    <w:rsid w:val="007C0DAD"/>
    <w:rsid w:val="007C1D7C"/>
    <w:rsid w:val="007C28BF"/>
    <w:rsid w:val="007C3198"/>
    <w:rsid w:val="007C3A7C"/>
    <w:rsid w:val="007C3A86"/>
    <w:rsid w:val="007C4ED4"/>
    <w:rsid w:val="007C649C"/>
    <w:rsid w:val="007C6866"/>
    <w:rsid w:val="007C7E08"/>
    <w:rsid w:val="007C7E36"/>
    <w:rsid w:val="007D15E8"/>
    <w:rsid w:val="007D43A1"/>
    <w:rsid w:val="007D4ADB"/>
    <w:rsid w:val="007D778E"/>
    <w:rsid w:val="007D7D8C"/>
    <w:rsid w:val="007E0493"/>
    <w:rsid w:val="007E0C0F"/>
    <w:rsid w:val="007E368D"/>
    <w:rsid w:val="007E4473"/>
    <w:rsid w:val="007E7B3C"/>
    <w:rsid w:val="007F3C7B"/>
    <w:rsid w:val="007F5D00"/>
    <w:rsid w:val="00800518"/>
    <w:rsid w:val="00800F73"/>
    <w:rsid w:val="00800FB8"/>
    <w:rsid w:val="00802876"/>
    <w:rsid w:val="008044C3"/>
    <w:rsid w:val="00811A90"/>
    <w:rsid w:val="0081221B"/>
    <w:rsid w:val="00812BE7"/>
    <w:rsid w:val="00813A4B"/>
    <w:rsid w:val="00813C29"/>
    <w:rsid w:val="00813C98"/>
    <w:rsid w:val="00815DC2"/>
    <w:rsid w:val="00817B7C"/>
    <w:rsid w:val="008206F9"/>
    <w:rsid w:val="008213F3"/>
    <w:rsid w:val="00822ACE"/>
    <w:rsid w:val="00824902"/>
    <w:rsid w:val="00832824"/>
    <w:rsid w:val="00832CC0"/>
    <w:rsid w:val="008351D8"/>
    <w:rsid w:val="00840303"/>
    <w:rsid w:val="008407B6"/>
    <w:rsid w:val="00840D40"/>
    <w:rsid w:val="008410EB"/>
    <w:rsid w:val="00841556"/>
    <w:rsid w:val="00842141"/>
    <w:rsid w:val="00842AF6"/>
    <w:rsid w:val="00843C4C"/>
    <w:rsid w:val="00844A3E"/>
    <w:rsid w:val="00845D14"/>
    <w:rsid w:val="00846B71"/>
    <w:rsid w:val="00847609"/>
    <w:rsid w:val="00847E7F"/>
    <w:rsid w:val="00852BCF"/>
    <w:rsid w:val="008549A3"/>
    <w:rsid w:val="00855B13"/>
    <w:rsid w:val="0085695F"/>
    <w:rsid w:val="00857FC9"/>
    <w:rsid w:val="0086064A"/>
    <w:rsid w:val="00861677"/>
    <w:rsid w:val="00861A94"/>
    <w:rsid w:val="00861E6C"/>
    <w:rsid w:val="0086382E"/>
    <w:rsid w:val="00865359"/>
    <w:rsid w:val="00866AD0"/>
    <w:rsid w:val="00870888"/>
    <w:rsid w:val="00872481"/>
    <w:rsid w:val="00872593"/>
    <w:rsid w:val="008758E7"/>
    <w:rsid w:val="008770AC"/>
    <w:rsid w:val="00881AFB"/>
    <w:rsid w:val="00882F27"/>
    <w:rsid w:val="00884AD5"/>
    <w:rsid w:val="00885D61"/>
    <w:rsid w:val="0088662E"/>
    <w:rsid w:val="00886725"/>
    <w:rsid w:val="00886C3E"/>
    <w:rsid w:val="0088741F"/>
    <w:rsid w:val="008875BA"/>
    <w:rsid w:val="008914B2"/>
    <w:rsid w:val="0089400C"/>
    <w:rsid w:val="008946EF"/>
    <w:rsid w:val="008950B3"/>
    <w:rsid w:val="008959B2"/>
    <w:rsid w:val="00895D74"/>
    <w:rsid w:val="00896F85"/>
    <w:rsid w:val="00897046"/>
    <w:rsid w:val="008A2217"/>
    <w:rsid w:val="008A331E"/>
    <w:rsid w:val="008A4042"/>
    <w:rsid w:val="008A4C02"/>
    <w:rsid w:val="008A59E0"/>
    <w:rsid w:val="008A60E2"/>
    <w:rsid w:val="008A6B79"/>
    <w:rsid w:val="008B061B"/>
    <w:rsid w:val="008B1C09"/>
    <w:rsid w:val="008B2A58"/>
    <w:rsid w:val="008B2EFD"/>
    <w:rsid w:val="008B30E8"/>
    <w:rsid w:val="008B4E32"/>
    <w:rsid w:val="008B552F"/>
    <w:rsid w:val="008B73A6"/>
    <w:rsid w:val="008B7994"/>
    <w:rsid w:val="008B7ABB"/>
    <w:rsid w:val="008C0EB9"/>
    <w:rsid w:val="008C105E"/>
    <w:rsid w:val="008C36DD"/>
    <w:rsid w:val="008C4FCE"/>
    <w:rsid w:val="008C6F79"/>
    <w:rsid w:val="008C74C3"/>
    <w:rsid w:val="008D016E"/>
    <w:rsid w:val="008D0D0E"/>
    <w:rsid w:val="008D1E59"/>
    <w:rsid w:val="008D31FD"/>
    <w:rsid w:val="008D4AEA"/>
    <w:rsid w:val="008D5A82"/>
    <w:rsid w:val="008D5CC0"/>
    <w:rsid w:val="008D64E5"/>
    <w:rsid w:val="008E0420"/>
    <w:rsid w:val="008E0B81"/>
    <w:rsid w:val="008E169F"/>
    <w:rsid w:val="008E1C73"/>
    <w:rsid w:val="008E2065"/>
    <w:rsid w:val="008E3FA4"/>
    <w:rsid w:val="008E4807"/>
    <w:rsid w:val="008E4F04"/>
    <w:rsid w:val="008E6DB2"/>
    <w:rsid w:val="008F0547"/>
    <w:rsid w:val="008F05C4"/>
    <w:rsid w:val="008F379F"/>
    <w:rsid w:val="008F42C5"/>
    <w:rsid w:val="008F55B5"/>
    <w:rsid w:val="008F5728"/>
    <w:rsid w:val="008F5D3F"/>
    <w:rsid w:val="00901D90"/>
    <w:rsid w:val="00903C0B"/>
    <w:rsid w:val="009053B2"/>
    <w:rsid w:val="00905E43"/>
    <w:rsid w:val="00911831"/>
    <w:rsid w:val="00912AD6"/>
    <w:rsid w:val="00915E59"/>
    <w:rsid w:val="0091691F"/>
    <w:rsid w:val="00916F27"/>
    <w:rsid w:val="00917070"/>
    <w:rsid w:val="00917F40"/>
    <w:rsid w:val="0092009F"/>
    <w:rsid w:val="0092381A"/>
    <w:rsid w:val="00923B87"/>
    <w:rsid w:val="00923D86"/>
    <w:rsid w:val="009249DE"/>
    <w:rsid w:val="00924DE2"/>
    <w:rsid w:val="009259E6"/>
    <w:rsid w:val="00926240"/>
    <w:rsid w:val="0092695A"/>
    <w:rsid w:val="009273A9"/>
    <w:rsid w:val="00930103"/>
    <w:rsid w:val="0093054E"/>
    <w:rsid w:val="00930FEE"/>
    <w:rsid w:val="009330BD"/>
    <w:rsid w:val="00933207"/>
    <w:rsid w:val="00934833"/>
    <w:rsid w:val="00934BEB"/>
    <w:rsid w:val="009353A0"/>
    <w:rsid w:val="0093559A"/>
    <w:rsid w:val="00936324"/>
    <w:rsid w:val="00937C5E"/>
    <w:rsid w:val="0094296B"/>
    <w:rsid w:val="00942B42"/>
    <w:rsid w:val="00942E0D"/>
    <w:rsid w:val="009445D0"/>
    <w:rsid w:val="00947027"/>
    <w:rsid w:val="0094759A"/>
    <w:rsid w:val="0095233E"/>
    <w:rsid w:val="00952C0D"/>
    <w:rsid w:val="009565F7"/>
    <w:rsid w:val="00964D33"/>
    <w:rsid w:val="0096605B"/>
    <w:rsid w:val="0096667A"/>
    <w:rsid w:val="00970947"/>
    <w:rsid w:val="00972759"/>
    <w:rsid w:val="00972F70"/>
    <w:rsid w:val="009730A9"/>
    <w:rsid w:val="00973AF0"/>
    <w:rsid w:val="0097400A"/>
    <w:rsid w:val="00974BAE"/>
    <w:rsid w:val="009754F9"/>
    <w:rsid w:val="0097574E"/>
    <w:rsid w:val="009772A0"/>
    <w:rsid w:val="009838C3"/>
    <w:rsid w:val="00983FC0"/>
    <w:rsid w:val="00985458"/>
    <w:rsid w:val="00985633"/>
    <w:rsid w:val="00986059"/>
    <w:rsid w:val="00992297"/>
    <w:rsid w:val="009945AB"/>
    <w:rsid w:val="00994841"/>
    <w:rsid w:val="0099541A"/>
    <w:rsid w:val="00995E90"/>
    <w:rsid w:val="00996553"/>
    <w:rsid w:val="009A02C8"/>
    <w:rsid w:val="009A2255"/>
    <w:rsid w:val="009A28E1"/>
    <w:rsid w:val="009A3607"/>
    <w:rsid w:val="009A46B4"/>
    <w:rsid w:val="009A6C5D"/>
    <w:rsid w:val="009B1ADD"/>
    <w:rsid w:val="009B2539"/>
    <w:rsid w:val="009B4527"/>
    <w:rsid w:val="009B5DF9"/>
    <w:rsid w:val="009B70D4"/>
    <w:rsid w:val="009C1202"/>
    <w:rsid w:val="009C25C8"/>
    <w:rsid w:val="009C3206"/>
    <w:rsid w:val="009C4523"/>
    <w:rsid w:val="009C4C24"/>
    <w:rsid w:val="009C5308"/>
    <w:rsid w:val="009C564C"/>
    <w:rsid w:val="009C6CE4"/>
    <w:rsid w:val="009D061D"/>
    <w:rsid w:val="009D11C9"/>
    <w:rsid w:val="009D2981"/>
    <w:rsid w:val="009D4A43"/>
    <w:rsid w:val="009E3B0E"/>
    <w:rsid w:val="009F11D2"/>
    <w:rsid w:val="009F166B"/>
    <w:rsid w:val="009F2F90"/>
    <w:rsid w:val="009F31AB"/>
    <w:rsid w:val="009F43BE"/>
    <w:rsid w:val="009F4940"/>
    <w:rsid w:val="00A013C4"/>
    <w:rsid w:val="00A01755"/>
    <w:rsid w:val="00A0191C"/>
    <w:rsid w:val="00A01F99"/>
    <w:rsid w:val="00A03AF4"/>
    <w:rsid w:val="00A05AB9"/>
    <w:rsid w:val="00A062B3"/>
    <w:rsid w:val="00A10C44"/>
    <w:rsid w:val="00A11C31"/>
    <w:rsid w:val="00A1428A"/>
    <w:rsid w:val="00A14A08"/>
    <w:rsid w:val="00A14E67"/>
    <w:rsid w:val="00A1527A"/>
    <w:rsid w:val="00A15FB1"/>
    <w:rsid w:val="00A2248F"/>
    <w:rsid w:val="00A22AEE"/>
    <w:rsid w:val="00A23E78"/>
    <w:rsid w:val="00A25CB1"/>
    <w:rsid w:val="00A27E8E"/>
    <w:rsid w:val="00A31364"/>
    <w:rsid w:val="00A37587"/>
    <w:rsid w:val="00A37F27"/>
    <w:rsid w:val="00A4225F"/>
    <w:rsid w:val="00A43C51"/>
    <w:rsid w:val="00A43F50"/>
    <w:rsid w:val="00A4479E"/>
    <w:rsid w:val="00A448E9"/>
    <w:rsid w:val="00A46135"/>
    <w:rsid w:val="00A4691B"/>
    <w:rsid w:val="00A46A89"/>
    <w:rsid w:val="00A5022F"/>
    <w:rsid w:val="00A51C79"/>
    <w:rsid w:val="00A5484A"/>
    <w:rsid w:val="00A54A52"/>
    <w:rsid w:val="00A54D93"/>
    <w:rsid w:val="00A57F11"/>
    <w:rsid w:val="00A61C94"/>
    <w:rsid w:val="00A6449A"/>
    <w:rsid w:val="00A64DAB"/>
    <w:rsid w:val="00A66501"/>
    <w:rsid w:val="00A67213"/>
    <w:rsid w:val="00A67766"/>
    <w:rsid w:val="00A7119B"/>
    <w:rsid w:val="00A71A8A"/>
    <w:rsid w:val="00A7451A"/>
    <w:rsid w:val="00A74C99"/>
    <w:rsid w:val="00A756E2"/>
    <w:rsid w:val="00A758EE"/>
    <w:rsid w:val="00A75C9E"/>
    <w:rsid w:val="00A81AE6"/>
    <w:rsid w:val="00A922AA"/>
    <w:rsid w:val="00A94B3C"/>
    <w:rsid w:val="00A95D2C"/>
    <w:rsid w:val="00A968FA"/>
    <w:rsid w:val="00A9716D"/>
    <w:rsid w:val="00AA2642"/>
    <w:rsid w:val="00AA4844"/>
    <w:rsid w:val="00AA4B40"/>
    <w:rsid w:val="00AA534A"/>
    <w:rsid w:val="00AA5712"/>
    <w:rsid w:val="00AA6C1B"/>
    <w:rsid w:val="00AA6EC1"/>
    <w:rsid w:val="00AB06B0"/>
    <w:rsid w:val="00AB15EF"/>
    <w:rsid w:val="00AB2269"/>
    <w:rsid w:val="00AB28AC"/>
    <w:rsid w:val="00AB3648"/>
    <w:rsid w:val="00AB55F0"/>
    <w:rsid w:val="00AB6AA1"/>
    <w:rsid w:val="00AB6E06"/>
    <w:rsid w:val="00AB7DC6"/>
    <w:rsid w:val="00AC0CDA"/>
    <w:rsid w:val="00AC1374"/>
    <w:rsid w:val="00AC2C30"/>
    <w:rsid w:val="00AC3A5E"/>
    <w:rsid w:val="00AC4B67"/>
    <w:rsid w:val="00AD14AD"/>
    <w:rsid w:val="00AD33C8"/>
    <w:rsid w:val="00AD41E3"/>
    <w:rsid w:val="00AD4B70"/>
    <w:rsid w:val="00AD4E81"/>
    <w:rsid w:val="00AD59C2"/>
    <w:rsid w:val="00AD71AA"/>
    <w:rsid w:val="00AE3244"/>
    <w:rsid w:val="00AE45B2"/>
    <w:rsid w:val="00AE46FF"/>
    <w:rsid w:val="00AE5AFE"/>
    <w:rsid w:val="00AF3203"/>
    <w:rsid w:val="00AF3787"/>
    <w:rsid w:val="00AF4336"/>
    <w:rsid w:val="00B00E2A"/>
    <w:rsid w:val="00B01018"/>
    <w:rsid w:val="00B02BAE"/>
    <w:rsid w:val="00B03361"/>
    <w:rsid w:val="00B036AC"/>
    <w:rsid w:val="00B04A3A"/>
    <w:rsid w:val="00B04A82"/>
    <w:rsid w:val="00B04FAB"/>
    <w:rsid w:val="00B10251"/>
    <w:rsid w:val="00B108FF"/>
    <w:rsid w:val="00B129EC"/>
    <w:rsid w:val="00B13575"/>
    <w:rsid w:val="00B14EE8"/>
    <w:rsid w:val="00B1500E"/>
    <w:rsid w:val="00B151E4"/>
    <w:rsid w:val="00B15371"/>
    <w:rsid w:val="00B166AE"/>
    <w:rsid w:val="00B17669"/>
    <w:rsid w:val="00B215D2"/>
    <w:rsid w:val="00B21EAC"/>
    <w:rsid w:val="00B21FCB"/>
    <w:rsid w:val="00B2215F"/>
    <w:rsid w:val="00B22270"/>
    <w:rsid w:val="00B25559"/>
    <w:rsid w:val="00B27D7F"/>
    <w:rsid w:val="00B3142C"/>
    <w:rsid w:val="00B3160B"/>
    <w:rsid w:val="00B334DD"/>
    <w:rsid w:val="00B34BE8"/>
    <w:rsid w:val="00B40D6B"/>
    <w:rsid w:val="00B415C1"/>
    <w:rsid w:val="00B4188A"/>
    <w:rsid w:val="00B41C7B"/>
    <w:rsid w:val="00B444AF"/>
    <w:rsid w:val="00B460FE"/>
    <w:rsid w:val="00B47BC3"/>
    <w:rsid w:val="00B53EE4"/>
    <w:rsid w:val="00B552B7"/>
    <w:rsid w:val="00B55CDD"/>
    <w:rsid w:val="00B57AC9"/>
    <w:rsid w:val="00B638ED"/>
    <w:rsid w:val="00B6490B"/>
    <w:rsid w:val="00B64AD7"/>
    <w:rsid w:val="00B67E02"/>
    <w:rsid w:val="00B75541"/>
    <w:rsid w:val="00B800B0"/>
    <w:rsid w:val="00B81A6F"/>
    <w:rsid w:val="00B827BC"/>
    <w:rsid w:val="00B82F13"/>
    <w:rsid w:val="00B87EAB"/>
    <w:rsid w:val="00B900A0"/>
    <w:rsid w:val="00B90A13"/>
    <w:rsid w:val="00B9425D"/>
    <w:rsid w:val="00B946D7"/>
    <w:rsid w:val="00B963BE"/>
    <w:rsid w:val="00B9674A"/>
    <w:rsid w:val="00B97ED0"/>
    <w:rsid w:val="00B97F42"/>
    <w:rsid w:val="00BA006E"/>
    <w:rsid w:val="00BA01DE"/>
    <w:rsid w:val="00BA0386"/>
    <w:rsid w:val="00BA3369"/>
    <w:rsid w:val="00BA39F3"/>
    <w:rsid w:val="00BA56C2"/>
    <w:rsid w:val="00BA6722"/>
    <w:rsid w:val="00BA6AE5"/>
    <w:rsid w:val="00BA727C"/>
    <w:rsid w:val="00BA7DEF"/>
    <w:rsid w:val="00BB1DAF"/>
    <w:rsid w:val="00BB4147"/>
    <w:rsid w:val="00BB5782"/>
    <w:rsid w:val="00BC167D"/>
    <w:rsid w:val="00BC1C78"/>
    <w:rsid w:val="00BC39BD"/>
    <w:rsid w:val="00BC601B"/>
    <w:rsid w:val="00BC648D"/>
    <w:rsid w:val="00BC78D3"/>
    <w:rsid w:val="00BD03E0"/>
    <w:rsid w:val="00BD0F88"/>
    <w:rsid w:val="00BD1184"/>
    <w:rsid w:val="00BD1B52"/>
    <w:rsid w:val="00BD1E47"/>
    <w:rsid w:val="00BD37EA"/>
    <w:rsid w:val="00BD5EA8"/>
    <w:rsid w:val="00BD6F57"/>
    <w:rsid w:val="00BD70FE"/>
    <w:rsid w:val="00BD7277"/>
    <w:rsid w:val="00BE1CCA"/>
    <w:rsid w:val="00BE1DE2"/>
    <w:rsid w:val="00BE29A4"/>
    <w:rsid w:val="00BE45DB"/>
    <w:rsid w:val="00BE6770"/>
    <w:rsid w:val="00BE7601"/>
    <w:rsid w:val="00BF3088"/>
    <w:rsid w:val="00C00C16"/>
    <w:rsid w:val="00C01CD0"/>
    <w:rsid w:val="00C03AF8"/>
    <w:rsid w:val="00C04ACF"/>
    <w:rsid w:val="00C05134"/>
    <w:rsid w:val="00C05163"/>
    <w:rsid w:val="00C0548F"/>
    <w:rsid w:val="00C061CF"/>
    <w:rsid w:val="00C06BF2"/>
    <w:rsid w:val="00C105CA"/>
    <w:rsid w:val="00C11786"/>
    <w:rsid w:val="00C149AA"/>
    <w:rsid w:val="00C150F9"/>
    <w:rsid w:val="00C16263"/>
    <w:rsid w:val="00C17D56"/>
    <w:rsid w:val="00C20028"/>
    <w:rsid w:val="00C235F2"/>
    <w:rsid w:val="00C23F4F"/>
    <w:rsid w:val="00C24456"/>
    <w:rsid w:val="00C246F2"/>
    <w:rsid w:val="00C25D64"/>
    <w:rsid w:val="00C26FCF"/>
    <w:rsid w:val="00C2773E"/>
    <w:rsid w:val="00C309FC"/>
    <w:rsid w:val="00C31AD6"/>
    <w:rsid w:val="00C322F8"/>
    <w:rsid w:val="00C40A40"/>
    <w:rsid w:val="00C40AA7"/>
    <w:rsid w:val="00C42497"/>
    <w:rsid w:val="00C42588"/>
    <w:rsid w:val="00C42BBC"/>
    <w:rsid w:val="00C43E50"/>
    <w:rsid w:val="00C44AF2"/>
    <w:rsid w:val="00C45F2A"/>
    <w:rsid w:val="00C471A6"/>
    <w:rsid w:val="00C50EBF"/>
    <w:rsid w:val="00C50F61"/>
    <w:rsid w:val="00C5268B"/>
    <w:rsid w:val="00C52F30"/>
    <w:rsid w:val="00C53499"/>
    <w:rsid w:val="00C534EE"/>
    <w:rsid w:val="00C5742B"/>
    <w:rsid w:val="00C60A50"/>
    <w:rsid w:val="00C61272"/>
    <w:rsid w:val="00C61E45"/>
    <w:rsid w:val="00C636B6"/>
    <w:rsid w:val="00C649CA"/>
    <w:rsid w:val="00C64AC0"/>
    <w:rsid w:val="00C66B51"/>
    <w:rsid w:val="00C6702C"/>
    <w:rsid w:val="00C6738F"/>
    <w:rsid w:val="00C67A0F"/>
    <w:rsid w:val="00C70001"/>
    <w:rsid w:val="00C72033"/>
    <w:rsid w:val="00C73ED7"/>
    <w:rsid w:val="00C75550"/>
    <w:rsid w:val="00C75EC6"/>
    <w:rsid w:val="00C76E23"/>
    <w:rsid w:val="00C80501"/>
    <w:rsid w:val="00C833E7"/>
    <w:rsid w:val="00C840E3"/>
    <w:rsid w:val="00C84F50"/>
    <w:rsid w:val="00C84FBF"/>
    <w:rsid w:val="00C8664B"/>
    <w:rsid w:val="00C86979"/>
    <w:rsid w:val="00C9042A"/>
    <w:rsid w:val="00C9119B"/>
    <w:rsid w:val="00C93CFA"/>
    <w:rsid w:val="00C95D36"/>
    <w:rsid w:val="00C96DD8"/>
    <w:rsid w:val="00C9730D"/>
    <w:rsid w:val="00CA4A68"/>
    <w:rsid w:val="00CA65D2"/>
    <w:rsid w:val="00CA6B7C"/>
    <w:rsid w:val="00CB0BCA"/>
    <w:rsid w:val="00CB1CC7"/>
    <w:rsid w:val="00CB2DE2"/>
    <w:rsid w:val="00CB50BB"/>
    <w:rsid w:val="00CB5184"/>
    <w:rsid w:val="00CB5971"/>
    <w:rsid w:val="00CB5FE7"/>
    <w:rsid w:val="00CB6B42"/>
    <w:rsid w:val="00CC2AA6"/>
    <w:rsid w:val="00CC40BB"/>
    <w:rsid w:val="00CC7A06"/>
    <w:rsid w:val="00CD045A"/>
    <w:rsid w:val="00CD1794"/>
    <w:rsid w:val="00CD3666"/>
    <w:rsid w:val="00CD46D1"/>
    <w:rsid w:val="00CD4F16"/>
    <w:rsid w:val="00CD5B2C"/>
    <w:rsid w:val="00CD6E0F"/>
    <w:rsid w:val="00CD76B0"/>
    <w:rsid w:val="00CD7BA0"/>
    <w:rsid w:val="00CE25DB"/>
    <w:rsid w:val="00CE3DEE"/>
    <w:rsid w:val="00CE5E58"/>
    <w:rsid w:val="00CE6956"/>
    <w:rsid w:val="00CE734C"/>
    <w:rsid w:val="00CE7DCA"/>
    <w:rsid w:val="00CF20F1"/>
    <w:rsid w:val="00CF22AE"/>
    <w:rsid w:val="00CF51F8"/>
    <w:rsid w:val="00CF5C85"/>
    <w:rsid w:val="00CF71A9"/>
    <w:rsid w:val="00D002E4"/>
    <w:rsid w:val="00D0033B"/>
    <w:rsid w:val="00D0417D"/>
    <w:rsid w:val="00D05D26"/>
    <w:rsid w:val="00D06300"/>
    <w:rsid w:val="00D069BB"/>
    <w:rsid w:val="00D1287E"/>
    <w:rsid w:val="00D1560F"/>
    <w:rsid w:val="00D21192"/>
    <w:rsid w:val="00D211D6"/>
    <w:rsid w:val="00D268A0"/>
    <w:rsid w:val="00D30B95"/>
    <w:rsid w:val="00D31B68"/>
    <w:rsid w:val="00D32F8B"/>
    <w:rsid w:val="00D34F35"/>
    <w:rsid w:val="00D35793"/>
    <w:rsid w:val="00D358AC"/>
    <w:rsid w:val="00D4485D"/>
    <w:rsid w:val="00D45BE6"/>
    <w:rsid w:val="00D46AF0"/>
    <w:rsid w:val="00D47BAF"/>
    <w:rsid w:val="00D511E9"/>
    <w:rsid w:val="00D51261"/>
    <w:rsid w:val="00D5138D"/>
    <w:rsid w:val="00D5242A"/>
    <w:rsid w:val="00D53928"/>
    <w:rsid w:val="00D54701"/>
    <w:rsid w:val="00D56F03"/>
    <w:rsid w:val="00D60428"/>
    <w:rsid w:val="00D61577"/>
    <w:rsid w:val="00D619E7"/>
    <w:rsid w:val="00D62263"/>
    <w:rsid w:val="00D6584D"/>
    <w:rsid w:val="00D661B2"/>
    <w:rsid w:val="00D67191"/>
    <w:rsid w:val="00D700A2"/>
    <w:rsid w:val="00D70412"/>
    <w:rsid w:val="00D709BD"/>
    <w:rsid w:val="00D70BC2"/>
    <w:rsid w:val="00D70F73"/>
    <w:rsid w:val="00D714B1"/>
    <w:rsid w:val="00D71EB3"/>
    <w:rsid w:val="00D729FA"/>
    <w:rsid w:val="00D72A9F"/>
    <w:rsid w:val="00D748CD"/>
    <w:rsid w:val="00D756CE"/>
    <w:rsid w:val="00D75A34"/>
    <w:rsid w:val="00D774DF"/>
    <w:rsid w:val="00D77F9D"/>
    <w:rsid w:val="00D8079C"/>
    <w:rsid w:val="00D80968"/>
    <w:rsid w:val="00D81229"/>
    <w:rsid w:val="00D81D50"/>
    <w:rsid w:val="00D82DE3"/>
    <w:rsid w:val="00D84CA7"/>
    <w:rsid w:val="00D858C4"/>
    <w:rsid w:val="00D86170"/>
    <w:rsid w:val="00D87E8D"/>
    <w:rsid w:val="00D90894"/>
    <w:rsid w:val="00D90B47"/>
    <w:rsid w:val="00D91869"/>
    <w:rsid w:val="00D921A4"/>
    <w:rsid w:val="00D95404"/>
    <w:rsid w:val="00D978F4"/>
    <w:rsid w:val="00D97F22"/>
    <w:rsid w:val="00DA04D2"/>
    <w:rsid w:val="00DA38E5"/>
    <w:rsid w:val="00DA43E4"/>
    <w:rsid w:val="00DA53C2"/>
    <w:rsid w:val="00DA793D"/>
    <w:rsid w:val="00DB450E"/>
    <w:rsid w:val="00DB6C48"/>
    <w:rsid w:val="00DB729F"/>
    <w:rsid w:val="00DC07C0"/>
    <w:rsid w:val="00DC1A34"/>
    <w:rsid w:val="00DC4F99"/>
    <w:rsid w:val="00DD0817"/>
    <w:rsid w:val="00DD0DD2"/>
    <w:rsid w:val="00DD207A"/>
    <w:rsid w:val="00DD3411"/>
    <w:rsid w:val="00DD5330"/>
    <w:rsid w:val="00DD5EAD"/>
    <w:rsid w:val="00DD6157"/>
    <w:rsid w:val="00DD63FF"/>
    <w:rsid w:val="00DE02AC"/>
    <w:rsid w:val="00DE17A7"/>
    <w:rsid w:val="00DE19C5"/>
    <w:rsid w:val="00DE420A"/>
    <w:rsid w:val="00DE42FA"/>
    <w:rsid w:val="00DE49F7"/>
    <w:rsid w:val="00DE779C"/>
    <w:rsid w:val="00DF0247"/>
    <w:rsid w:val="00DF52E7"/>
    <w:rsid w:val="00DF6BF5"/>
    <w:rsid w:val="00DF72CC"/>
    <w:rsid w:val="00DF7DF1"/>
    <w:rsid w:val="00E02122"/>
    <w:rsid w:val="00E037A6"/>
    <w:rsid w:val="00E04D03"/>
    <w:rsid w:val="00E04EB8"/>
    <w:rsid w:val="00E0565B"/>
    <w:rsid w:val="00E07FA7"/>
    <w:rsid w:val="00E144E6"/>
    <w:rsid w:val="00E1452D"/>
    <w:rsid w:val="00E14894"/>
    <w:rsid w:val="00E15C60"/>
    <w:rsid w:val="00E1650D"/>
    <w:rsid w:val="00E212DB"/>
    <w:rsid w:val="00E21A4B"/>
    <w:rsid w:val="00E21CBE"/>
    <w:rsid w:val="00E227EF"/>
    <w:rsid w:val="00E23E6B"/>
    <w:rsid w:val="00E260E4"/>
    <w:rsid w:val="00E26624"/>
    <w:rsid w:val="00E2732F"/>
    <w:rsid w:val="00E277F0"/>
    <w:rsid w:val="00E2787E"/>
    <w:rsid w:val="00E278CC"/>
    <w:rsid w:val="00E27BD2"/>
    <w:rsid w:val="00E30102"/>
    <w:rsid w:val="00E31C8D"/>
    <w:rsid w:val="00E33780"/>
    <w:rsid w:val="00E33CA4"/>
    <w:rsid w:val="00E33F71"/>
    <w:rsid w:val="00E3469A"/>
    <w:rsid w:val="00E346AB"/>
    <w:rsid w:val="00E34729"/>
    <w:rsid w:val="00E404AE"/>
    <w:rsid w:val="00E42CA6"/>
    <w:rsid w:val="00E42F80"/>
    <w:rsid w:val="00E43698"/>
    <w:rsid w:val="00E43DDF"/>
    <w:rsid w:val="00E5148D"/>
    <w:rsid w:val="00E519F1"/>
    <w:rsid w:val="00E5411D"/>
    <w:rsid w:val="00E55B63"/>
    <w:rsid w:val="00E613E5"/>
    <w:rsid w:val="00E6172B"/>
    <w:rsid w:val="00E621A4"/>
    <w:rsid w:val="00E63634"/>
    <w:rsid w:val="00E65427"/>
    <w:rsid w:val="00E676A3"/>
    <w:rsid w:val="00E67B31"/>
    <w:rsid w:val="00E7034C"/>
    <w:rsid w:val="00E70C03"/>
    <w:rsid w:val="00E717A3"/>
    <w:rsid w:val="00E72170"/>
    <w:rsid w:val="00E72BF7"/>
    <w:rsid w:val="00E740C9"/>
    <w:rsid w:val="00E766D8"/>
    <w:rsid w:val="00E8153A"/>
    <w:rsid w:val="00E83670"/>
    <w:rsid w:val="00E860F6"/>
    <w:rsid w:val="00E864F1"/>
    <w:rsid w:val="00E86907"/>
    <w:rsid w:val="00E90B80"/>
    <w:rsid w:val="00E90FFE"/>
    <w:rsid w:val="00E938FF"/>
    <w:rsid w:val="00E94B79"/>
    <w:rsid w:val="00E9579B"/>
    <w:rsid w:val="00EA352F"/>
    <w:rsid w:val="00EA479B"/>
    <w:rsid w:val="00EA7615"/>
    <w:rsid w:val="00EB2B5A"/>
    <w:rsid w:val="00EB5407"/>
    <w:rsid w:val="00EB6564"/>
    <w:rsid w:val="00EC2732"/>
    <w:rsid w:val="00EC306B"/>
    <w:rsid w:val="00EC48D2"/>
    <w:rsid w:val="00EC546F"/>
    <w:rsid w:val="00EC6ADD"/>
    <w:rsid w:val="00EC7511"/>
    <w:rsid w:val="00EC7997"/>
    <w:rsid w:val="00ED4542"/>
    <w:rsid w:val="00ED6628"/>
    <w:rsid w:val="00EE0088"/>
    <w:rsid w:val="00EE0C1E"/>
    <w:rsid w:val="00EE1D14"/>
    <w:rsid w:val="00EE442E"/>
    <w:rsid w:val="00EE4B23"/>
    <w:rsid w:val="00EE50A1"/>
    <w:rsid w:val="00EE50FC"/>
    <w:rsid w:val="00EE5D2E"/>
    <w:rsid w:val="00EE7247"/>
    <w:rsid w:val="00EF050F"/>
    <w:rsid w:val="00EF61ED"/>
    <w:rsid w:val="00EF761C"/>
    <w:rsid w:val="00F008CE"/>
    <w:rsid w:val="00F0146F"/>
    <w:rsid w:val="00F01C0A"/>
    <w:rsid w:val="00F021C6"/>
    <w:rsid w:val="00F0229B"/>
    <w:rsid w:val="00F02773"/>
    <w:rsid w:val="00F03626"/>
    <w:rsid w:val="00F069C2"/>
    <w:rsid w:val="00F10BF3"/>
    <w:rsid w:val="00F12C01"/>
    <w:rsid w:val="00F164B4"/>
    <w:rsid w:val="00F16566"/>
    <w:rsid w:val="00F24000"/>
    <w:rsid w:val="00F248C9"/>
    <w:rsid w:val="00F2530C"/>
    <w:rsid w:val="00F25EB6"/>
    <w:rsid w:val="00F2614B"/>
    <w:rsid w:val="00F27449"/>
    <w:rsid w:val="00F3105E"/>
    <w:rsid w:val="00F3110E"/>
    <w:rsid w:val="00F3119B"/>
    <w:rsid w:val="00F31694"/>
    <w:rsid w:val="00F320AA"/>
    <w:rsid w:val="00F33C99"/>
    <w:rsid w:val="00F37591"/>
    <w:rsid w:val="00F376D4"/>
    <w:rsid w:val="00F37D03"/>
    <w:rsid w:val="00F4045F"/>
    <w:rsid w:val="00F42CC1"/>
    <w:rsid w:val="00F4354B"/>
    <w:rsid w:val="00F45ADF"/>
    <w:rsid w:val="00F46E3F"/>
    <w:rsid w:val="00F50355"/>
    <w:rsid w:val="00F51AD6"/>
    <w:rsid w:val="00F51F9E"/>
    <w:rsid w:val="00F529D2"/>
    <w:rsid w:val="00F535F2"/>
    <w:rsid w:val="00F54EAC"/>
    <w:rsid w:val="00F56598"/>
    <w:rsid w:val="00F60320"/>
    <w:rsid w:val="00F6059C"/>
    <w:rsid w:val="00F620BD"/>
    <w:rsid w:val="00F62770"/>
    <w:rsid w:val="00F64908"/>
    <w:rsid w:val="00F64EB7"/>
    <w:rsid w:val="00F70CE8"/>
    <w:rsid w:val="00F70D75"/>
    <w:rsid w:val="00F711ED"/>
    <w:rsid w:val="00F72209"/>
    <w:rsid w:val="00F746BC"/>
    <w:rsid w:val="00F74FEC"/>
    <w:rsid w:val="00F7552B"/>
    <w:rsid w:val="00F8012D"/>
    <w:rsid w:val="00F80B78"/>
    <w:rsid w:val="00F825F2"/>
    <w:rsid w:val="00F8798B"/>
    <w:rsid w:val="00F90227"/>
    <w:rsid w:val="00F92F0D"/>
    <w:rsid w:val="00F931C8"/>
    <w:rsid w:val="00F94331"/>
    <w:rsid w:val="00F94CE6"/>
    <w:rsid w:val="00F96CAE"/>
    <w:rsid w:val="00FA0AFD"/>
    <w:rsid w:val="00FA0ECF"/>
    <w:rsid w:val="00FA1CA5"/>
    <w:rsid w:val="00FA1EB5"/>
    <w:rsid w:val="00FA1EE5"/>
    <w:rsid w:val="00FA32E5"/>
    <w:rsid w:val="00FA3598"/>
    <w:rsid w:val="00FA48BC"/>
    <w:rsid w:val="00FA4F1E"/>
    <w:rsid w:val="00FB0722"/>
    <w:rsid w:val="00FB187D"/>
    <w:rsid w:val="00FB32F0"/>
    <w:rsid w:val="00FB3346"/>
    <w:rsid w:val="00FB403B"/>
    <w:rsid w:val="00FB4533"/>
    <w:rsid w:val="00FB63EC"/>
    <w:rsid w:val="00FB700D"/>
    <w:rsid w:val="00FB7517"/>
    <w:rsid w:val="00FC115F"/>
    <w:rsid w:val="00FC177E"/>
    <w:rsid w:val="00FC23AC"/>
    <w:rsid w:val="00FC4312"/>
    <w:rsid w:val="00FC47FF"/>
    <w:rsid w:val="00FC55D7"/>
    <w:rsid w:val="00FC664E"/>
    <w:rsid w:val="00FD353C"/>
    <w:rsid w:val="00FD5115"/>
    <w:rsid w:val="00FD677A"/>
    <w:rsid w:val="00FE1456"/>
    <w:rsid w:val="00FE1EF5"/>
    <w:rsid w:val="00FE5A7F"/>
    <w:rsid w:val="00FE6993"/>
    <w:rsid w:val="00FF296A"/>
    <w:rsid w:val="00FF55DE"/>
    <w:rsid w:val="00FF56AD"/>
    <w:rsid w:val="00FF75C7"/>
    <w:rsid w:val="014E4B9E"/>
    <w:rsid w:val="01967403"/>
    <w:rsid w:val="01E50C6F"/>
    <w:rsid w:val="0280481A"/>
    <w:rsid w:val="03675E17"/>
    <w:rsid w:val="03D327C3"/>
    <w:rsid w:val="06033868"/>
    <w:rsid w:val="06B94BB1"/>
    <w:rsid w:val="0756280B"/>
    <w:rsid w:val="079A1059"/>
    <w:rsid w:val="08186DE4"/>
    <w:rsid w:val="08A55592"/>
    <w:rsid w:val="08B5406B"/>
    <w:rsid w:val="08FB6128"/>
    <w:rsid w:val="09186774"/>
    <w:rsid w:val="0978425B"/>
    <w:rsid w:val="097C7920"/>
    <w:rsid w:val="0A0B2B63"/>
    <w:rsid w:val="0AAE6D76"/>
    <w:rsid w:val="0AB11615"/>
    <w:rsid w:val="0B640D3A"/>
    <w:rsid w:val="0BA22F82"/>
    <w:rsid w:val="0C48085D"/>
    <w:rsid w:val="0C786B3D"/>
    <w:rsid w:val="0CF00AA7"/>
    <w:rsid w:val="0E7F06D8"/>
    <w:rsid w:val="0EB96488"/>
    <w:rsid w:val="0ED50848"/>
    <w:rsid w:val="0ED97DAC"/>
    <w:rsid w:val="0F144BEB"/>
    <w:rsid w:val="0F4528D8"/>
    <w:rsid w:val="10BF7E16"/>
    <w:rsid w:val="10F7682E"/>
    <w:rsid w:val="112D24D0"/>
    <w:rsid w:val="114B4513"/>
    <w:rsid w:val="11880466"/>
    <w:rsid w:val="11AF3221"/>
    <w:rsid w:val="1203061D"/>
    <w:rsid w:val="12070CAE"/>
    <w:rsid w:val="122E47A2"/>
    <w:rsid w:val="12B5714F"/>
    <w:rsid w:val="12BF6B70"/>
    <w:rsid w:val="13BA5D6B"/>
    <w:rsid w:val="147C7232"/>
    <w:rsid w:val="14AB2134"/>
    <w:rsid w:val="15790DC2"/>
    <w:rsid w:val="15A51A5A"/>
    <w:rsid w:val="162752AF"/>
    <w:rsid w:val="16300B78"/>
    <w:rsid w:val="16355ED4"/>
    <w:rsid w:val="165840B5"/>
    <w:rsid w:val="168F6536"/>
    <w:rsid w:val="169544FF"/>
    <w:rsid w:val="175020E4"/>
    <w:rsid w:val="177831BD"/>
    <w:rsid w:val="178F488D"/>
    <w:rsid w:val="17B31280"/>
    <w:rsid w:val="180A3DB0"/>
    <w:rsid w:val="18597385"/>
    <w:rsid w:val="19042D9A"/>
    <w:rsid w:val="1A034EA3"/>
    <w:rsid w:val="1A3369FB"/>
    <w:rsid w:val="1A5B334B"/>
    <w:rsid w:val="1BD25F20"/>
    <w:rsid w:val="1D5D57EA"/>
    <w:rsid w:val="1DB47C3C"/>
    <w:rsid w:val="1DC00535"/>
    <w:rsid w:val="1E076032"/>
    <w:rsid w:val="207D2D29"/>
    <w:rsid w:val="20872CA1"/>
    <w:rsid w:val="209D3BF8"/>
    <w:rsid w:val="20D152EE"/>
    <w:rsid w:val="20FB5A46"/>
    <w:rsid w:val="21303A46"/>
    <w:rsid w:val="2198622B"/>
    <w:rsid w:val="21CA57CE"/>
    <w:rsid w:val="21EF5245"/>
    <w:rsid w:val="229C73A2"/>
    <w:rsid w:val="229E0373"/>
    <w:rsid w:val="22B3482A"/>
    <w:rsid w:val="22CF66AB"/>
    <w:rsid w:val="23431AEA"/>
    <w:rsid w:val="23A64C21"/>
    <w:rsid w:val="24921616"/>
    <w:rsid w:val="24AF3C02"/>
    <w:rsid w:val="24CA338F"/>
    <w:rsid w:val="251C7164"/>
    <w:rsid w:val="25395E1B"/>
    <w:rsid w:val="25490309"/>
    <w:rsid w:val="25AE08DF"/>
    <w:rsid w:val="25E03954"/>
    <w:rsid w:val="263C2F69"/>
    <w:rsid w:val="271B68B7"/>
    <w:rsid w:val="273A2C4F"/>
    <w:rsid w:val="27602AA7"/>
    <w:rsid w:val="27D15366"/>
    <w:rsid w:val="28F20B3A"/>
    <w:rsid w:val="29392EA8"/>
    <w:rsid w:val="29554457"/>
    <w:rsid w:val="2A410274"/>
    <w:rsid w:val="2A671049"/>
    <w:rsid w:val="2A685EFA"/>
    <w:rsid w:val="2B960845"/>
    <w:rsid w:val="2B967943"/>
    <w:rsid w:val="2D9D235F"/>
    <w:rsid w:val="2E3D2956"/>
    <w:rsid w:val="2EA1540F"/>
    <w:rsid w:val="2ECB4D13"/>
    <w:rsid w:val="2ED2229D"/>
    <w:rsid w:val="2F05785F"/>
    <w:rsid w:val="2F131EE7"/>
    <w:rsid w:val="2F801E03"/>
    <w:rsid w:val="2F813D29"/>
    <w:rsid w:val="30311CF6"/>
    <w:rsid w:val="30466800"/>
    <w:rsid w:val="30BF77A8"/>
    <w:rsid w:val="32476400"/>
    <w:rsid w:val="32AA2A95"/>
    <w:rsid w:val="32CB38F3"/>
    <w:rsid w:val="330C4748"/>
    <w:rsid w:val="34997509"/>
    <w:rsid w:val="34BF6741"/>
    <w:rsid w:val="34CF7F0F"/>
    <w:rsid w:val="34F069C3"/>
    <w:rsid w:val="3569702C"/>
    <w:rsid w:val="35F16851"/>
    <w:rsid w:val="37000CD1"/>
    <w:rsid w:val="37593503"/>
    <w:rsid w:val="37DE1D23"/>
    <w:rsid w:val="37E65B49"/>
    <w:rsid w:val="383B361A"/>
    <w:rsid w:val="38C1484A"/>
    <w:rsid w:val="38CC3AF8"/>
    <w:rsid w:val="39D72A54"/>
    <w:rsid w:val="39F96E2B"/>
    <w:rsid w:val="3A13315C"/>
    <w:rsid w:val="3A451DB4"/>
    <w:rsid w:val="3B0720C3"/>
    <w:rsid w:val="3B2B09F8"/>
    <w:rsid w:val="3C261771"/>
    <w:rsid w:val="3C88204F"/>
    <w:rsid w:val="3C9351BF"/>
    <w:rsid w:val="3CB82DEC"/>
    <w:rsid w:val="3CC31ADC"/>
    <w:rsid w:val="3D287942"/>
    <w:rsid w:val="3D3F2ADF"/>
    <w:rsid w:val="3D513618"/>
    <w:rsid w:val="3EE36472"/>
    <w:rsid w:val="3EE91175"/>
    <w:rsid w:val="3F570FF7"/>
    <w:rsid w:val="3F7830D5"/>
    <w:rsid w:val="3FF039BB"/>
    <w:rsid w:val="3FF944D8"/>
    <w:rsid w:val="405745EF"/>
    <w:rsid w:val="40602D33"/>
    <w:rsid w:val="40B3456E"/>
    <w:rsid w:val="416F202B"/>
    <w:rsid w:val="419B24EE"/>
    <w:rsid w:val="41F04BB8"/>
    <w:rsid w:val="42982C9D"/>
    <w:rsid w:val="429A2162"/>
    <w:rsid w:val="42B7012F"/>
    <w:rsid w:val="43A740D1"/>
    <w:rsid w:val="43D74BCC"/>
    <w:rsid w:val="43FF251E"/>
    <w:rsid w:val="44561602"/>
    <w:rsid w:val="447E03DB"/>
    <w:rsid w:val="448F33EE"/>
    <w:rsid w:val="46E76B5A"/>
    <w:rsid w:val="47375491"/>
    <w:rsid w:val="4782422D"/>
    <w:rsid w:val="48CB2213"/>
    <w:rsid w:val="49963212"/>
    <w:rsid w:val="49CD5042"/>
    <w:rsid w:val="4A4C2CEB"/>
    <w:rsid w:val="4B2475D0"/>
    <w:rsid w:val="4B66331C"/>
    <w:rsid w:val="4B7E58BA"/>
    <w:rsid w:val="4BFA3233"/>
    <w:rsid w:val="4CE44D26"/>
    <w:rsid w:val="4D8269E8"/>
    <w:rsid w:val="4DD97EE6"/>
    <w:rsid w:val="4DF04F8E"/>
    <w:rsid w:val="4E232212"/>
    <w:rsid w:val="4E606D65"/>
    <w:rsid w:val="4E774B74"/>
    <w:rsid w:val="4E7C7A4F"/>
    <w:rsid w:val="4EE0008E"/>
    <w:rsid w:val="4F302992"/>
    <w:rsid w:val="50130A31"/>
    <w:rsid w:val="504C751E"/>
    <w:rsid w:val="50F37031"/>
    <w:rsid w:val="51385D77"/>
    <w:rsid w:val="5184324A"/>
    <w:rsid w:val="51FD48CA"/>
    <w:rsid w:val="52C11403"/>
    <w:rsid w:val="52F01788"/>
    <w:rsid w:val="52FC4743"/>
    <w:rsid w:val="534D5B51"/>
    <w:rsid w:val="53794DB8"/>
    <w:rsid w:val="53E14257"/>
    <w:rsid w:val="54994D7E"/>
    <w:rsid w:val="54E85631"/>
    <w:rsid w:val="55454A35"/>
    <w:rsid w:val="55A2585D"/>
    <w:rsid w:val="56704A2A"/>
    <w:rsid w:val="56914FFB"/>
    <w:rsid w:val="56C731BB"/>
    <w:rsid w:val="56EE6AD8"/>
    <w:rsid w:val="57004BF9"/>
    <w:rsid w:val="57447EB8"/>
    <w:rsid w:val="57511940"/>
    <w:rsid w:val="5788420B"/>
    <w:rsid w:val="580E0568"/>
    <w:rsid w:val="58A66A4F"/>
    <w:rsid w:val="59161DEF"/>
    <w:rsid w:val="5A111D2D"/>
    <w:rsid w:val="5B2067F5"/>
    <w:rsid w:val="5B846E39"/>
    <w:rsid w:val="5DE057CC"/>
    <w:rsid w:val="5DEB0CE7"/>
    <w:rsid w:val="5E1E5301"/>
    <w:rsid w:val="5E687C70"/>
    <w:rsid w:val="5F6C799D"/>
    <w:rsid w:val="600C0E24"/>
    <w:rsid w:val="60CB571A"/>
    <w:rsid w:val="60D8128B"/>
    <w:rsid w:val="61F96EED"/>
    <w:rsid w:val="62C42EDF"/>
    <w:rsid w:val="62CF1F8E"/>
    <w:rsid w:val="62EC7770"/>
    <w:rsid w:val="62F62F0B"/>
    <w:rsid w:val="633B4B61"/>
    <w:rsid w:val="640145F8"/>
    <w:rsid w:val="640870A0"/>
    <w:rsid w:val="64E746A5"/>
    <w:rsid w:val="65282282"/>
    <w:rsid w:val="653E4157"/>
    <w:rsid w:val="65422FB6"/>
    <w:rsid w:val="65BA3D2D"/>
    <w:rsid w:val="66A80F4A"/>
    <w:rsid w:val="67B121BA"/>
    <w:rsid w:val="67BD0B42"/>
    <w:rsid w:val="67C04C75"/>
    <w:rsid w:val="67E203F0"/>
    <w:rsid w:val="680622D3"/>
    <w:rsid w:val="68466B73"/>
    <w:rsid w:val="68580655"/>
    <w:rsid w:val="6A637B3F"/>
    <w:rsid w:val="6A9A7CCD"/>
    <w:rsid w:val="6A9E3C3F"/>
    <w:rsid w:val="6AF644A2"/>
    <w:rsid w:val="6CBD76CE"/>
    <w:rsid w:val="6D1E289C"/>
    <w:rsid w:val="6D38217E"/>
    <w:rsid w:val="6D642DFF"/>
    <w:rsid w:val="6D7A2AAC"/>
    <w:rsid w:val="6DB47941"/>
    <w:rsid w:val="6E6E155E"/>
    <w:rsid w:val="6E7754A8"/>
    <w:rsid w:val="6ECD0DD4"/>
    <w:rsid w:val="6F5C59DD"/>
    <w:rsid w:val="6FFA0E82"/>
    <w:rsid w:val="708B2659"/>
    <w:rsid w:val="71DF2710"/>
    <w:rsid w:val="72990E66"/>
    <w:rsid w:val="72AB785A"/>
    <w:rsid w:val="72D30C6F"/>
    <w:rsid w:val="734638C8"/>
    <w:rsid w:val="736E69FD"/>
    <w:rsid w:val="73D75019"/>
    <w:rsid w:val="73EE6889"/>
    <w:rsid w:val="73F54747"/>
    <w:rsid w:val="74145D78"/>
    <w:rsid w:val="7423455C"/>
    <w:rsid w:val="742B4AB2"/>
    <w:rsid w:val="743261FE"/>
    <w:rsid w:val="744F0834"/>
    <w:rsid w:val="745C5711"/>
    <w:rsid w:val="74CA0ED6"/>
    <w:rsid w:val="75020083"/>
    <w:rsid w:val="761153D9"/>
    <w:rsid w:val="764022A0"/>
    <w:rsid w:val="76EA3784"/>
    <w:rsid w:val="77605D8F"/>
    <w:rsid w:val="778316CF"/>
    <w:rsid w:val="785B7D01"/>
    <w:rsid w:val="78D20AEA"/>
    <w:rsid w:val="7A882894"/>
    <w:rsid w:val="7B567667"/>
    <w:rsid w:val="7B797E90"/>
    <w:rsid w:val="7B7C263C"/>
    <w:rsid w:val="7B9D59FD"/>
    <w:rsid w:val="7BC563E1"/>
    <w:rsid w:val="7CC26BEC"/>
    <w:rsid w:val="7CD93021"/>
    <w:rsid w:val="7DA64137"/>
    <w:rsid w:val="7DD37FAE"/>
    <w:rsid w:val="7DDB2794"/>
    <w:rsid w:val="7E884F8C"/>
    <w:rsid w:val="7ED821B9"/>
    <w:rsid w:val="7EDE2755"/>
    <w:rsid w:val="7F6E1D9D"/>
    <w:rsid w:val="7FE27B5E"/>
    <w:rsid w:val="7FE948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autoRedefine/>
    <w:qFormat/>
    <w:uiPriority w:val="1"/>
    <w:pPr>
      <w:outlineLvl w:val="0"/>
    </w:pPr>
    <w:rPr>
      <w:rFonts w:ascii="PMingLiU" w:hAnsi="PMingLiU" w:eastAsia="PMingLiU" w:cs="PMingLiU"/>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autoRedefine/>
    <w:semiHidden/>
    <w:unhideWhenUsed/>
    <w:qFormat/>
    <w:uiPriority w:val="0"/>
    <w:pPr>
      <w:spacing w:beforeAutospacing="1" w:afterAutospacing="1"/>
      <w:outlineLvl w:val="2"/>
    </w:pPr>
    <w:rPr>
      <w:rFonts w:hint="eastAsia" w:ascii="宋体" w:hAnsi="宋体" w:eastAsia="宋体" w:cs="Times New Roman"/>
      <w:b/>
      <w:bCs/>
      <w:sz w:val="27"/>
      <w:szCs w:val="27"/>
      <w:lang w:val="en-US"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3"/>
    <w:autoRedefine/>
    <w:qFormat/>
    <w:uiPriority w:val="0"/>
  </w:style>
  <w:style w:type="paragraph" w:styleId="6">
    <w:name w:val="Body Text"/>
    <w:basedOn w:val="1"/>
    <w:autoRedefine/>
    <w:qFormat/>
    <w:uiPriority w:val="1"/>
    <w:pPr>
      <w:ind w:left="220"/>
    </w:pPr>
    <w:rPr>
      <w:sz w:val="32"/>
      <w:szCs w:val="32"/>
    </w:rPr>
  </w:style>
  <w:style w:type="paragraph" w:styleId="7">
    <w:name w:val="Balloon Text"/>
    <w:basedOn w:val="1"/>
    <w:link w:val="27"/>
    <w:autoRedefine/>
    <w:qFormat/>
    <w:uiPriority w:val="0"/>
    <w:rPr>
      <w:sz w:val="18"/>
      <w:szCs w:val="18"/>
    </w:rPr>
  </w:style>
  <w:style w:type="paragraph" w:styleId="8">
    <w:name w:val="footer"/>
    <w:basedOn w:val="1"/>
    <w:link w:val="26"/>
    <w:autoRedefine/>
    <w:qFormat/>
    <w:uiPriority w:val="99"/>
    <w:pPr>
      <w:tabs>
        <w:tab w:val="center" w:pos="4153"/>
        <w:tab w:val="right" w:pos="8306"/>
      </w:tabs>
      <w:snapToGrid w:val="0"/>
    </w:pPr>
    <w:rPr>
      <w:sz w:val="18"/>
      <w:szCs w:val="18"/>
    </w:rPr>
  </w:style>
  <w:style w:type="paragraph" w:styleId="9">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val="en-US" w:bidi="ar-SA"/>
    </w:rPr>
  </w:style>
  <w:style w:type="paragraph" w:styleId="11">
    <w:name w:val="Normal (Web)"/>
    <w:basedOn w:val="1"/>
    <w:autoRedefine/>
    <w:qFormat/>
    <w:uiPriority w:val="0"/>
    <w:pPr>
      <w:spacing w:beforeAutospacing="1" w:afterAutospacing="1"/>
    </w:pPr>
    <w:rPr>
      <w:rFonts w:cs="Times New Roman"/>
      <w:sz w:val="24"/>
      <w:lang w:val="en-US" w:bidi="ar-SA"/>
    </w:rPr>
  </w:style>
  <w:style w:type="paragraph" w:styleId="12">
    <w:name w:val="annotation subject"/>
    <w:basedOn w:val="5"/>
    <w:next w:val="5"/>
    <w:link w:val="24"/>
    <w:autoRedefine/>
    <w:qFormat/>
    <w:uiPriority w:val="0"/>
    <w:rPr>
      <w:b/>
      <w:bCs/>
    </w:rPr>
  </w:style>
  <w:style w:type="character" w:styleId="15">
    <w:name w:val="Strong"/>
    <w:basedOn w:val="14"/>
    <w:autoRedefine/>
    <w:qFormat/>
    <w:uiPriority w:val="0"/>
    <w:rPr>
      <w:b/>
      <w:sz w:val="24"/>
      <w:szCs w:val="24"/>
    </w:rPr>
  </w:style>
  <w:style w:type="character" w:styleId="16">
    <w:name w:val="FollowedHyperlink"/>
    <w:basedOn w:val="14"/>
    <w:autoRedefine/>
    <w:qFormat/>
    <w:uiPriority w:val="0"/>
    <w:rPr>
      <w:color w:val="551A8B"/>
      <w:u w:val="single"/>
    </w:rPr>
  </w:style>
  <w:style w:type="character" w:styleId="17">
    <w:name w:val="Emphasis"/>
    <w:basedOn w:val="14"/>
    <w:autoRedefine/>
    <w:qFormat/>
    <w:uiPriority w:val="0"/>
    <w:rPr>
      <w:color w:val="D73130"/>
      <w:sz w:val="24"/>
      <w:szCs w:val="24"/>
    </w:rPr>
  </w:style>
  <w:style w:type="character" w:styleId="18">
    <w:name w:val="Hyperlink"/>
    <w:basedOn w:val="14"/>
    <w:autoRedefine/>
    <w:qFormat/>
    <w:uiPriority w:val="0"/>
    <w:rPr>
      <w:color w:val="0563C1" w:themeColor="hyperlink"/>
      <w:u w:val="single"/>
      <w14:textFill>
        <w14:solidFill>
          <w14:schemeClr w14:val="hlink"/>
        </w14:solidFill>
      </w14:textFill>
    </w:rPr>
  </w:style>
  <w:style w:type="character" w:styleId="19">
    <w:name w:val="annotation reference"/>
    <w:basedOn w:val="14"/>
    <w:autoRedefine/>
    <w:qFormat/>
    <w:uiPriority w:val="0"/>
    <w:rPr>
      <w:sz w:val="21"/>
      <w:szCs w:val="21"/>
    </w:rPr>
  </w:style>
  <w:style w:type="character" w:styleId="20">
    <w:name w:val="HTML Cite"/>
    <w:basedOn w:val="14"/>
    <w:autoRedefine/>
    <w:qFormat/>
    <w:uiPriority w:val="0"/>
    <w:rPr>
      <w:sz w:val="24"/>
      <w:szCs w:val="24"/>
    </w:rPr>
  </w:style>
  <w:style w:type="paragraph" w:customStyle="1" w:styleId="21">
    <w:name w:val="Table Paragraph"/>
    <w:basedOn w:val="1"/>
    <w:autoRedefine/>
    <w:qFormat/>
    <w:uiPriority w:val="1"/>
  </w:style>
  <w:style w:type="paragraph" w:styleId="22">
    <w:name w:val="List Paragraph"/>
    <w:basedOn w:val="1"/>
    <w:autoRedefine/>
    <w:qFormat/>
    <w:uiPriority w:val="34"/>
    <w:pPr>
      <w:ind w:firstLine="420" w:firstLineChars="200"/>
    </w:pPr>
  </w:style>
  <w:style w:type="character" w:customStyle="1" w:styleId="23">
    <w:name w:val="批注文字 字符"/>
    <w:basedOn w:val="14"/>
    <w:link w:val="5"/>
    <w:autoRedefine/>
    <w:qFormat/>
    <w:uiPriority w:val="0"/>
    <w:rPr>
      <w:rFonts w:ascii="仿宋" w:hAnsi="仿宋" w:eastAsia="仿宋" w:cs="仿宋"/>
      <w:sz w:val="22"/>
      <w:szCs w:val="22"/>
      <w:lang w:val="zh-CN" w:bidi="zh-CN"/>
    </w:rPr>
  </w:style>
  <w:style w:type="character" w:customStyle="1" w:styleId="24">
    <w:name w:val="批注主题 字符"/>
    <w:basedOn w:val="23"/>
    <w:link w:val="12"/>
    <w:autoRedefine/>
    <w:qFormat/>
    <w:uiPriority w:val="0"/>
    <w:rPr>
      <w:rFonts w:ascii="仿宋" w:hAnsi="仿宋" w:eastAsia="仿宋" w:cs="仿宋"/>
      <w:b/>
      <w:bCs/>
      <w:sz w:val="22"/>
      <w:szCs w:val="22"/>
      <w:lang w:val="zh-CN" w:bidi="zh-CN"/>
    </w:rPr>
  </w:style>
  <w:style w:type="character" w:customStyle="1" w:styleId="25">
    <w:name w:val="页眉 字符"/>
    <w:basedOn w:val="14"/>
    <w:link w:val="9"/>
    <w:autoRedefine/>
    <w:qFormat/>
    <w:uiPriority w:val="0"/>
    <w:rPr>
      <w:rFonts w:ascii="仿宋" w:hAnsi="仿宋" w:eastAsia="仿宋" w:cs="仿宋"/>
      <w:sz w:val="18"/>
      <w:szCs w:val="18"/>
      <w:lang w:val="zh-CN" w:bidi="zh-CN"/>
    </w:rPr>
  </w:style>
  <w:style w:type="character" w:customStyle="1" w:styleId="26">
    <w:name w:val="页脚 字符"/>
    <w:basedOn w:val="14"/>
    <w:link w:val="8"/>
    <w:autoRedefine/>
    <w:qFormat/>
    <w:uiPriority w:val="99"/>
    <w:rPr>
      <w:rFonts w:ascii="仿宋" w:hAnsi="仿宋" w:eastAsia="仿宋" w:cs="仿宋"/>
      <w:sz w:val="18"/>
      <w:szCs w:val="18"/>
      <w:lang w:val="zh-CN" w:bidi="zh-CN"/>
    </w:rPr>
  </w:style>
  <w:style w:type="character" w:customStyle="1" w:styleId="27">
    <w:name w:val="批注框文本 字符"/>
    <w:basedOn w:val="14"/>
    <w:link w:val="7"/>
    <w:autoRedefine/>
    <w:qFormat/>
    <w:uiPriority w:val="0"/>
    <w:rPr>
      <w:rFonts w:ascii="仿宋" w:hAnsi="仿宋" w:eastAsia="仿宋" w:cs="仿宋"/>
      <w:sz w:val="18"/>
      <w:szCs w:val="18"/>
      <w:lang w:val="zh-CN" w:bidi="zh-CN"/>
    </w:rPr>
  </w:style>
  <w:style w:type="paragraph" w:customStyle="1" w:styleId="28">
    <w:name w:val="修订1"/>
    <w:autoRedefine/>
    <w:hidden/>
    <w:semiHidden/>
    <w:qFormat/>
    <w:uiPriority w:val="99"/>
    <w:rPr>
      <w:rFonts w:ascii="仿宋" w:hAnsi="仿宋" w:eastAsia="仿宋" w:cs="仿宋"/>
      <w:sz w:val="22"/>
      <w:szCs w:val="22"/>
      <w:lang w:val="zh-CN" w:eastAsia="zh-CN" w:bidi="zh-CN"/>
    </w:rPr>
  </w:style>
  <w:style w:type="paragraph" w:customStyle="1" w:styleId="29">
    <w:name w:val="修订2"/>
    <w:autoRedefine/>
    <w:hidden/>
    <w:unhideWhenUsed/>
    <w:qFormat/>
    <w:uiPriority w:val="99"/>
    <w:rPr>
      <w:rFonts w:ascii="仿宋" w:hAnsi="仿宋" w:eastAsia="仿宋" w:cs="仿宋"/>
      <w:sz w:val="22"/>
      <w:szCs w:val="22"/>
      <w:lang w:val="zh-CN" w:eastAsia="zh-CN" w:bidi="zh-CN"/>
    </w:rPr>
  </w:style>
  <w:style w:type="paragraph" w:customStyle="1" w:styleId="30">
    <w:name w:val="修订3"/>
    <w:autoRedefine/>
    <w:hidden/>
    <w:unhideWhenUsed/>
    <w:qFormat/>
    <w:uiPriority w:val="99"/>
    <w:rPr>
      <w:rFonts w:ascii="仿宋" w:hAnsi="仿宋" w:eastAsia="仿宋" w:cs="仿宋"/>
      <w:sz w:val="22"/>
      <w:szCs w:val="22"/>
      <w:lang w:val="zh-CN" w:eastAsia="zh-CN" w:bidi="zh-CN"/>
    </w:rPr>
  </w:style>
  <w:style w:type="paragraph" w:customStyle="1" w:styleId="31">
    <w:name w:val="修订4"/>
    <w:autoRedefine/>
    <w:hidden/>
    <w:unhideWhenUsed/>
    <w:qFormat/>
    <w:uiPriority w:val="99"/>
    <w:rPr>
      <w:rFonts w:ascii="仿宋" w:hAnsi="仿宋" w:eastAsia="仿宋" w:cs="仿宋"/>
      <w:sz w:val="22"/>
      <w:szCs w:val="22"/>
      <w:lang w:val="zh-CN" w:eastAsia="zh-CN" w:bidi="zh-CN"/>
    </w:rPr>
  </w:style>
  <w:style w:type="paragraph" w:customStyle="1" w:styleId="32">
    <w:name w:val="修订5"/>
    <w:autoRedefine/>
    <w:hidden/>
    <w:unhideWhenUsed/>
    <w:qFormat/>
    <w:uiPriority w:val="99"/>
    <w:rPr>
      <w:rFonts w:ascii="仿宋" w:hAnsi="仿宋" w:eastAsia="仿宋" w:cs="仿宋"/>
      <w:sz w:val="22"/>
      <w:szCs w:val="22"/>
      <w:lang w:val="zh-CN" w:eastAsia="zh-CN" w:bidi="zh-CN"/>
    </w:rPr>
  </w:style>
  <w:style w:type="paragraph" w:customStyle="1" w:styleId="33">
    <w:name w:val="_Style 26"/>
    <w:basedOn w:val="1"/>
    <w:next w:val="1"/>
    <w:autoRedefine/>
    <w:qFormat/>
    <w:uiPriority w:val="0"/>
    <w:pPr>
      <w:pBdr>
        <w:bottom w:val="single" w:color="auto" w:sz="6" w:space="1"/>
      </w:pBdr>
      <w:jc w:val="center"/>
    </w:pPr>
    <w:rPr>
      <w:rFonts w:ascii="Arial" w:eastAsia="宋体"/>
      <w:vanish/>
      <w:sz w:val="16"/>
    </w:rPr>
  </w:style>
  <w:style w:type="paragraph" w:customStyle="1" w:styleId="34">
    <w:name w:val="_Style 27"/>
    <w:basedOn w:val="1"/>
    <w:next w:val="1"/>
    <w:autoRedefine/>
    <w:qFormat/>
    <w:uiPriority w:val="0"/>
    <w:pPr>
      <w:pBdr>
        <w:top w:val="single" w:color="auto" w:sz="6" w:space="1"/>
      </w:pBdr>
      <w:jc w:val="center"/>
    </w:pPr>
    <w:rPr>
      <w:rFonts w:ascii="Arial" w:eastAsia="宋体"/>
      <w:vanish/>
      <w:sz w:val="16"/>
    </w:rPr>
  </w:style>
  <w:style w:type="paragraph" w:customStyle="1" w:styleId="35">
    <w:name w:val="修订6"/>
    <w:autoRedefine/>
    <w:hidden/>
    <w:unhideWhenUsed/>
    <w:qFormat/>
    <w:uiPriority w:val="99"/>
    <w:rPr>
      <w:rFonts w:ascii="仿宋" w:hAnsi="仿宋" w:eastAsia="仿宋" w:cs="仿宋"/>
      <w:sz w:val="22"/>
      <w:szCs w:val="22"/>
      <w:lang w:val="zh-CN" w:eastAsia="zh-CN" w:bidi="zh-CN"/>
    </w:rPr>
  </w:style>
  <w:style w:type="paragraph" w:customStyle="1" w:styleId="36">
    <w:name w:val="修订7"/>
    <w:autoRedefine/>
    <w:hidden/>
    <w:unhideWhenUsed/>
    <w:qFormat/>
    <w:uiPriority w:val="99"/>
    <w:rPr>
      <w:rFonts w:ascii="仿宋" w:hAnsi="仿宋" w:eastAsia="仿宋" w:cs="仿宋"/>
      <w:sz w:val="22"/>
      <w:szCs w:val="22"/>
      <w:lang w:val="zh-CN" w:eastAsia="zh-CN" w:bidi="zh-CN"/>
    </w:rPr>
  </w:style>
  <w:style w:type="paragraph" w:customStyle="1" w:styleId="37">
    <w:name w:val="Revision"/>
    <w:hidden/>
    <w:unhideWhenUsed/>
    <w:qFormat/>
    <w:uiPriority w:val="99"/>
    <w:rPr>
      <w:rFonts w:ascii="仿宋" w:hAnsi="仿宋" w:eastAsia="仿宋" w:cs="仿宋"/>
      <w:sz w:val="22"/>
      <w:szCs w:val="22"/>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16eb2b67-8800-413b-b6a1-3fe98a25e7e3</errorID>
      <errorWord>：</errorWord>
      <group>L1_Format</group>
      <groupName>格式问题</groupName>
      <ability>L2_HalfPunc_CN</ability>
      <abilityName>全半角问题</abilityName>
      <candidateList>
        <item>:</item>
      </candidateList>
      <explain>文本全半角错误。</explain>
      <paraID>2BB76D1D</paraID>
      <start>3</start>
      <end>4</end>
      <status>ignored</status>
      <modifiedWord/>
      <trackRevisions>false</trackRevisions>
    </reviewItem>
    <reviewItem>
      <errorID>b33c33fa-b42a-412b-8985-19bcb94221d6</errorID>
      <errorWord>：</errorWord>
      <group>L1_Format</group>
      <groupName>格式问题</groupName>
      <ability>L2_HalfPunc_CN</ability>
      <abilityName>全半角问题</abilityName>
      <candidateList>
        <item>:</item>
      </candidateList>
      <explain>文本全半角错误。</explain>
      <paraID>1A0D1FAF</paraID>
      <start>3</start>
      <end>4</end>
      <status>ignored</status>
      <modifiedWord/>
      <trackRevisions>false</trackRevisions>
    </reviewItem>
    <reviewItem>
      <errorID>ecb490eb-ed26-4458-ae6b-05e391d0df77</errorID>
      <errorWord>矽</errorWord>
      <group>L1_Word</group>
      <groupName>字词问题</groupName>
      <ability>L2_Variant</ability>
      <abilityName>异形词</abilityName>
      <candidateList>
        <item>硅</item>
      </candidateList>
      <explain>词汇[矽]的规范词形写作[硅]。</explain>
      <paraID> EE497D1</paraID>
      <start>11</start>
      <end>12</end>
      <status>ignored</status>
      <modifiedWord/>
      <trackRevisions>false</trackRevisions>
    </reviewItem>
    <reviewItem>
      <errorID>d6a39545-6bf4-4bf4-83bf-b4b2643d7ad2</errorID>
      <errorWord>矽</errorWord>
      <group>L1_Word</group>
      <groupName>字词问题</groupName>
      <ability>L2_Variant</ability>
      <abilityName>异形词</abilityName>
      <candidateList>
        <item>硅</item>
      </candidateList>
      <explain>词汇[矽]的规范词形写作[硅]。</explain>
      <paraID>76E4C35A</paraID>
      <start>83</start>
      <end>84</end>
      <status>ignored</status>
      <modifiedWord/>
      <trackRevisions>false</trackRevisions>
    </reviewItem>
    <reviewItem>
      <errorID>1c076a47-f1bc-425a-8dfb-5c5f62b698b0</errorID>
      <errorWord>矽</errorWord>
      <group>L1_Word</group>
      <groupName>字词问题</groupName>
      <ability>L2_Variant</ability>
      <abilityName>异形词</abilityName>
      <candidateList>
        <item>硅</item>
      </candidateList>
      <explain>词汇[矽]的规范词形写作[硅]。</explain>
      <paraID>76E4C35A</paraID>
      <start>123</start>
      <end>124</end>
      <status>ignored</status>
      <modifiedWord/>
      <trackRevisions>false</trackRevisions>
    </reviewItem>
    <reviewItem>
      <errorID>4aa49877-df94-4a7b-8273-9ef0e5423bfc</errorID>
      <errorWord>泄露</errorWord>
      <group>L1_Word</group>
      <groupName>字词问题</groupName>
      <ability>L2_Typo</ability>
      <abilityName>字词错误</abilityName>
      <candidateList>
        <item>泄漏</item>
      </candidateList>
      <explain/>
      <paraID>221C1763</paraID>
      <start>81</start>
      <end>83</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65ae9-8210-486c-9570-babb94565ef3}">
  <ds:schemaRefs/>
</ds:datastoreItem>
</file>

<file path=customXml/itemProps2.xml><?xml version="1.0" encoding="utf-8"?>
<ds:datastoreItem xmlns:ds="http://schemas.openxmlformats.org/officeDocument/2006/customXml" ds:itemID="{83790223-B894-44ED-9E36-C6FE360409B9}">
  <ds:schemaRefs/>
</ds:datastoreItem>
</file>

<file path=docProps/app.xml><?xml version="1.0" encoding="utf-8"?>
<Properties xmlns="http://schemas.openxmlformats.org/officeDocument/2006/extended-properties" xmlns:vt="http://schemas.openxmlformats.org/officeDocument/2006/docPropsVTypes">
  <Template>Normal</Template>
  <Pages>4</Pages>
  <Words>2653</Words>
  <Characters>2760</Characters>
  <Lines>21</Lines>
  <Paragraphs>6</Paragraphs>
  <TotalTime>19</TotalTime>
  <ScaleCrop>false</ScaleCrop>
  <LinksUpToDate>false</LinksUpToDate>
  <CharactersWithSpaces>2783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2024-01-12T06:58:00Z</dcterms:created>
  <dc:creator>jie.huang</dc:creator>
  <cp:lastModifiedBy>zh-zj</cp:lastModifiedBy>
  <cp:lastPrinted>2026-06-12T09:30:00Z</cp:lastPrinted>
  <dcterms:modified xsi:type="dcterms:W3CDTF">2026-09-11T07:23:52Z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2D7B3A7568B649E7A0E3A279B99DE653_13</vt:lpwstr>
  </property>
  <property fmtid="{D5CDD505-2E9C-101B-9397-08002B2CF9AE}" pid="4" name="KSOTemplateDocerSaveRecord">
    <vt:lpwstr>eyJoZGlkIjoiNjhiNjZiZmM0NTA3MjM2NGIzZjgxY2YxMDY5YjczZWMiLCJ1c2VySWQiOiI1NDE2NDcyNTMifQ==</vt:lpwstr>
  </property>
</Properties>
</file>