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459B28">
      <w:pPr>
        <w:jc w:val="left"/>
        <w:rPr>
          <w:b/>
          <w:bCs/>
          <w:sz w:val="28"/>
          <w:szCs w:val="28"/>
        </w:rPr>
      </w:pPr>
      <w:r>
        <w:rPr>
          <w:rFonts w:hint="eastAsia"/>
          <w:b/>
          <w:bCs/>
          <w:szCs w:val="24"/>
        </w:rPr>
        <w:t xml:space="preserve">证券代码： </w:t>
      </w:r>
      <w:r>
        <w:rPr>
          <w:b/>
          <w:bCs/>
          <w:szCs w:val="24"/>
        </w:rPr>
        <w:t xml:space="preserve">688790 </w:t>
      </w:r>
      <w:r>
        <w:rPr>
          <w:rFonts w:hint="eastAsia"/>
          <w:b/>
          <w:bCs/>
          <w:szCs w:val="24"/>
        </w:rPr>
        <w:t xml:space="preserve">                          </w:t>
      </w:r>
      <w:r>
        <w:rPr>
          <w:b/>
          <w:bCs/>
          <w:szCs w:val="24"/>
        </w:rPr>
        <w:t xml:space="preserve"> </w:t>
      </w:r>
      <w:r>
        <w:rPr>
          <w:rFonts w:hint="eastAsia"/>
          <w:b/>
          <w:bCs/>
          <w:szCs w:val="24"/>
        </w:rPr>
        <w:t xml:space="preserve">     </w:t>
      </w:r>
      <w:r>
        <w:rPr>
          <w:b/>
          <w:bCs/>
          <w:szCs w:val="24"/>
        </w:rPr>
        <w:t xml:space="preserve"> </w:t>
      </w:r>
      <w:r>
        <w:rPr>
          <w:rFonts w:hint="eastAsia"/>
          <w:b/>
          <w:bCs/>
          <w:szCs w:val="24"/>
        </w:rPr>
        <w:t>证券简称： 昂瑞微</w:t>
      </w:r>
    </w:p>
    <w:p w14:paraId="284553C4">
      <w:pPr>
        <w:jc w:val="center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北京昂瑞微电子技术股份有限公司</w:t>
      </w:r>
    </w:p>
    <w:p w14:paraId="1C1BF1B7">
      <w:pPr>
        <w:jc w:val="center"/>
        <w:rPr>
          <w:rStyle w:val="13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投</w:t>
      </w:r>
      <w:bookmarkStart w:id="0" w:name="OLE_LINK4"/>
      <w:r>
        <w:rPr>
          <w:rFonts w:hint="eastAsia"/>
          <w:b/>
          <w:bCs/>
          <w:sz w:val="28"/>
          <w:szCs w:val="28"/>
        </w:rPr>
        <w:t>资者关系活动记录表</w:t>
      </w:r>
      <w:bookmarkEnd w:id="0"/>
    </w:p>
    <w:p w14:paraId="272FAB0F">
      <w:pPr>
        <w:jc w:val="center"/>
        <w:rPr>
          <w:rFonts w:hint="eastAsia" w:eastAsia="宋体"/>
          <w:b/>
          <w:bCs/>
          <w:sz w:val="28"/>
          <w:szCs w:val="28"/>
          <w:lang w:eastAsia="zh-CN"/>
        </w:rPr>
      </w:pPr>
      <w:r>
        <w:rPr>
          <w:rStyle w:val="13"/>
          <w:rFonts w:hint="eastAsia"/>
          <w:b/>
          <w:bCs/>
          <w:sz w:val="28"/>
          <w:szCs w:val="28"/>
        </w:rPr>
        <w:t>（2026年</w:t>
      </w:r>
      <w:r>
        <w:rPr>
          <w:rStyle w:val="13"/>
          <w:rFonts w:hint="eastAsia"/>
          <w:b/>
          <w:bCs/>
          <w:sz w:val="28"/>
          <w:szCs w:val="28"/>
          <w:lang w:val="en-US" w:eastAsia="zh-CN"/>
        </w:rPr>
        <w:t>半年</w:t>
      </w:r>
      <w:r>
        <w:rPr>
          <w:rStyle w:val="13"/>
          <w:rFonts w:hint="eastAsia"/>
          <w:b/>
          <w:bCs/>
          <w:sz w:val="28"/>
          <w:szCs w:val="28"/>
        </w:rPr>
        <w:t>度业绩说明会</w:t>
      </w:r>
      <w:r>
        <w:rPr>
          <w:rStyle w:val="13"/>
          <w:rFonts w:hint="eastAsia"/>
          <w:b/>
          <w:bCs/>
          <w:sz w:val="28"/>
          <w:szCs w:val="28"/>
          <w:lang w:eastAsia="zh-CN"/>
        </w:rPr>
        <w:t>）</w:t>
      </w:r>
    </w:p>
    <w:p w14:paraId="63B64804">
      <w:pPr>
        <w:ind w:firstLine="241" w:firstLineChars="100"/>
        <w:rPr>
          <w:rFonts w:hint="eastAsia" w:eastAsia="宋体"/>
          <w:b/>
          <w:bCs/>
          <w:szCs w:val="24"/>
          <w:lang w:val="en-US" w:eastAsia="zh-CN"/>
        </w:rPr>
      </w:pPr>
      <w:r>
        <w:rPr>
          <w:b/>
          <w:bCs/>
          <w:szCs w:val="24"/>
        </w:rPr>
        <w:t xml:space="preserve">         </w:t>
      </w:r>
      <w:r>
        <w:rPr>
          <w:rFonts w:hint="eastAsia"/>
          <w:b/>
          <w:bCs/>
          <w:szCs w:val="24"/>
        </w:rPr>
        <w:t xml:space="preserve">                                             编号：2</w:t>
      </w:r>
      <w:r>
        <w:rPr>
          <w:b/>
          <w:bCs/>
          <w:szCs w:val="24"/>
        </w:rPr>
        <w:t>026-00</w:t>
      </w:r>
      <w:r>
        <w:rPr>
          <w:rFonts w:hint="eastAsia"/>
          <w:b/>
          <w:bCs/>
          <w:szCs w:val="24"/>
          <w:lang w:val="en-US" w:eastAsia="zh-CN"/>
        </w:rPr>
        <w:t>7</w:t>
      </w:r>
    </w:p>
    <w:tbl>
      <w:tblPr>
        <w:tblStyle w:val="1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5"/>
        <w:gridCol w:w="5891"/>
      </w:tblGrid>
      <w:tr w14:paraId="13AE78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</w:tcPr>
          <w:p w14:paraId="6E82FE89">
            <w:pPr>
              <w:jc w:val="center"/>
              <w:rPr>
                <w:b/>
                <w:bCs/>
                <w:szCs w:val="24"/>
              </w:rPr>
            </w:pPr>
          </w:p>
          <w:p w14:paraId="169FB84D">
            <w:pPr>
              <w:jc w:val="center"/>
              <w:rPr>
                <w:b/>
                <w:bCs/>
                <w:szCs w:val="24"/>
              </w:rPr>
            </w:pPr>
          </w:p>
          <w:p w14:paraId="1B944C7F">
            <w:pPr>
              <w:jc w:val="center"/>
              <w:rPr>
                <w:b/>
                <w:bCs/>
                <w:szCs w:val="24"/>
              </w:rPr>
            </w:pPr>
            <w:r>
              <w:rPr>
                <w:rFonts w:hint="eastAsia"/>
                <w:b/>
                <w:bCs/>
                <w:szCs w:val="24"/>
              </w:rPr>
              <w:t>投资者关系活动</w:t>
            </w:r>
          </w:p>
          <w:p w14:paraId="1F1EB772">
            <w:pPr>
              <w:jc w:val="center"/>
              <w:rPr>
                <w:b/>
                <w:bCs/>
                <w:szCs w:val="24"/>
              </w:rPr>
            </w:pPr>
            <w:r>
              <w:rPr>
                <w:rFonts w:hint="eastAsia"/>
                <w:b/>
                <w:bCs/>
                <w:szCs w:val="24"/>
              </w:rPr>
              <w:t>类别</w:t>
            </w:r>
          </w:p>
        </w:tc>
        <w:tc>
          <w:tcPr>
            <w:tcW w:w="5891" w:type="dxa"/>
          </w:tcPr>
          <w:p w14:paraId="1985DD8F">
            <w:pPr>
              <w:spacing w:line="360" w:lineRule="auto"/>
              <w:rPr>
                <w:rFonts w:hint="eastAsia" w:ascii="宋体" w:hAnsi="宋体"/>
                <w:szCs w:val="24"/>
              </w:rPr>
            </w:pPr>
            <w:r>
              <w:rPr>
                <w:rFonts w:hint="eastAsia" w:ascii="宋体" w:hAnsi="宋体"/>
                <w:szCs w:val="24"/>
              </w:rPr>
              <w:t xml:space="preserve">□特定对象调研 </w:t>
            </w:r>
            <w:r>
              <w:rPr>
                <w:rFonts w:ascii="宋体" w:hAnsi="宋体"/>
                <w:szCs w:val="24"/>
              </w:rPr>
              <w:t xml:space="preserve">   </w:t>
            </w:r>
            <w:r>
              <w:rPr>
                <w:rFonts w:hint="eastAsia" w:ascii="宋体" w:hAnsi="宋体"/>
                <w:szCs w:val="24"/>
              </w:rPr>
              <w:t>□分析师会议</w:t>
            </w:r>
          </w:p>
          <w:p w14:paraId="708EC0B8">
            <w:pPr>
              <w:spacing w:line="360" w:lineRule="auto"/>
              <w:rPr>
                <w:rFonts w:hint="eastAsia" w:ascii="宋体" w:hAnsi="宋体"/>
                <w:szCs w:val="24"/>
              </w:rPr>
            </w:pPr>
            <w:r>
              <w:rPr>
                <w:rFonts w:hint="eastAsia" w:ascii="宋体" w:hAnsi="宋体"/>
                <w:szCs w:val="24"/>
              </w:rPr>
              <w:t xml:space="preserve">□媒体采访 </w:t>
            </w:r>
            <w:r>
              <w:rPr>
                <w:rFonts w:ascii="宋体" w:hAnsi="宋体"/>
                <w:szCs w:val="24"/>
              </w:rPr>
              <w:t xml:space="preserve">       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  <w:t>☑</w:t>
            </w:r>
            <w:r>
              <w:rPr>
                <w:rFonts w:hint="eastAsia" w:ascii="宋体" w:hAnsi="宋体"/>
                <w:szCs w:val="24"/>
              </w:rPr>
              <w:t>业绩说明会</w:t>
            </w:r>
          </w:p>
          <w:p w14:paraId="66D90B35">
            <w:pPr>
              <w:spacing w:line="360" w:lineRule="auto"/>
              <w:rPr>
                <w:rFonts w:hint="eastAsia" w:ascii="宋体" w:hAnsi="宋体"/>
                <w:szCs w:val="24"/>
              </w:rPr>
            </w:pPr>
            <w:r>
              <w:rPr>
                <w:rFonts w:hint="eastAsia" w:ascii="宋体" w:hAnsi="宋体"/>
                <w:szCs w:val="24"/>
              </w:rPr>
              <w:t xml:space="preserve">□新闻发布会 </w:t>
            </w:r>
            <w:r>
              <w:rPr>
                <w:rFonts w:ascii="宋体" w:hAnsi="宋体"/>
                <w:szCs w:val="24"/>
              </w:rPr>
              <w:t xml:space="preserve">     </w:t>
            </w:r>
            <w:r>
              <w:rPr>
                <w:rFonts w:hint="eastAsia" w:ascii="宋体" w:hAnsi="宋体"/>
                <w:szCs w:val="24"/>
              </w:rPr>
              <w:t>□路演活动</w:t>
            </w:r>
          </w:p>
          <w:p w14:paraId="017DBA92">
            <w:pPr>
              <w:spacing w:line="360" w:lineRule="auto"/>
              <w:rPr>
                <w:szCs w:val="24"/>
              </w:rPr>
            </w:pPr>
            <w:r>
              <w:rPr>
                <w:rFonts w:hint="eastAsia" w:ascii="宋体" w:hAnsi="宋体"/>
                <w:szCs w:val="24"/>
              </w:rPr>
              <w:t>□现场参观□其他（</w:t>
            </w:r>
            <w:r>
              <w:rPr>
                <w:rFonts w:hint="eastAsia" w:ascii="宋体" w:hAnsi="宋体"/>
                <w:szCs w:val="24"/>
                <w:u w:val="thick"/>
              </w:rPr>
              <w:t>请文字说明其他活动内容</w:t>
            </w:r>
            <w:r>
              <w:rPr>
                <w:rFonts w:hint="eastAsia" w:ascii="宋体" w:hAnsi="宋体"/>
                <w:szCs w:val="24"/>
              </w:rPr>
              <w:t>）</w:t>
            </w:r>
          </w:p>
        </w:tc>
      </w:tr>
      <w:tr w14:paraId="1AFD5E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8" w:hRule="atLeast"/>
        </w:trPr>
        <w:tc>
          <w:tcPr>
            <w:tcW w:w="2405" w:type="dxa"/>
            <w:vAlign w:val="center"/>
          </w:tcPr>
          <w:p w14:paraId="3DDA2904">
            <w:pPr>
              <w:jc w:val="center"/>
              <w:rPr>
                <w:b/>
                <w:bCs/>
                <w:szCs w:val="24"/>
              </w:rPr>
            </w:pPr>
            <w:r>
              <w:rPr>
                <w:rFonts w:hint="eastAsia"/>
                <w:b/>
                <w:bCs/>
                <w:szCs w:val="24"/>
              </w:rPr>
              <w:t>参与单位名称</w:t>
            </w:r>
          </w:p>
          <w:p w14:paraId="355617F4">
            <w:pPr>
              <w:jc w:val="center"/>
              <w:rPr>
                <w:b/>
                <w:bCs/>
                <w:szCs w:val="24"/>
              </w:rPr>
            </w:pPr>
            <w:r>
              <w:rPr>
                <w:rFonts w:hint="eastAsia"/>
                <w:b/>
                <w:bCs/>
                <w:szCs w:val="24"/>
              </w:rPr>
              <w:t>及姓名</w:t>
            </w:r>
          </w:p>
        </w:tc>
        <w:tc>
          <w:tcPr>
            <w:tcW w:w="5891" w:type="dxa"/>
            <w:vAlign w:val="center"/>
          </w:tcPr>
          <w:p w14:paraId="33BEF23C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参与“昂瑞微2026年</w:t>
            </w:r>
            <w:r>
              <w:rPr>
                <w:rFonts w:hint="eastAsia"/>
                <w:szCs w:val="24"/>
                <w:lang w:val="en-US" w:eastAsia="zh-CN"/>
              </w:rPr>
              <w:t>半年度</w:t>
            </w:r>
            <w:r>
              <w:rPr>
                <w:rFonts w:hint="eastAsia"/>
                <w:szCs w:val="24"/>
              </w:rPr>
              <w:t>业绩说明会”的投资者</w:t>
            </w:r>
          </w:p>
        </w:tc>
      </w:tr>
      <w:tr w14:paraId="7CCA82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2405" w:type="dxa"/>
            <w:vAlign w:val="center"/>
          </w:tcPr>
          <w:p w14:paraId="0AA5FE62">
            <w:pPr>
              <w:jc w:val="center"/>
              <w:rPr>
                <w:b/>
                <w:bCs/>
                <w:szCs w:val="24"/>
              </w:rPr>
            </w:pPr>
            <w:r>
              <w:rPr>
                <w:rFonts w:hint="eastAsia"/>
                <w:b/>
                <w:bCs/>
                <w:szCs w:val="24"/>
              </w:rPr>
              <w:t>时间</w:t>
            </w:r>
          </w:p>
        </w:tc>
        <w:tc>
          <w:tcPr>
            <w:tcW w:w="5891" w:type="dxa"/>
            <w:vAlign w:val="center"/>
          </w:tcPr>
          <w:p w14:paraId="1374BA7A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2</w:t>
            </w:r>
            <w:r>
              <w:rPr>
                <w:szCs w:val="24"/>
              </w:rPr>
              <w:t>026</w:t>
            </w:r>
            <w:r>
              <w:rPr>
                <w:rFonts w:hint="eastAsia"/>
                <w:szCs w:val="24"/>
              </w:rPr>
              <w:t>年</w:t>
            </w:r>
            <w:r>
              <w:rPr>
                <w:rFonts w:hint="eastAsia"/>
                <w:szCs w:val="24"/>
                <w:lang w:val="en-US" w:eastAsia="zh-CN"/>
              </w:rPr>
              <w:t>9</w:t>
            </w:r>
            <w:r>
              <w:rPr>
                <w:rFonts w:hint="eastAsia"/>
                <w:szCs w:val="24"/>
              </w:rPr>
              <w:t>月1</w:t>
            </w:r>
            <w:r>
              <w:rPr>
                <w:rFonts w:hint="eastAsia"/>
                <w:szCs w:val="24"/>
                <w:lang w:val="en-US" w:eastAsia="zh-CN"/>
              </w:rPr>
              <w:t>1</w:t>
            </w:r>
            <w:r>
              <w:rPr>
                <w:rFonts w:hint="eastAsia"/>
                <w:szCs w:val="24"/>
              </w:rPr>
              <w:t>日 1</w:t>
            </w:r>
            <w:r>
              <w:rPr>
                <w:rFonts w:hint="eastAsia"/>
                <w:szCs w:val="24"/>
                <w:lang w:val="en-US" w:eastAsia="zh-CN"/>
              </w:rPr>
              <w:t>3：</w:t>
            </w:r>
            <w:r>
              <w:rPr>
                <w:rFonts w:hint="eastAsia"/>
                <w:szCs w:val="24"/>
              </w:rPr>
              <w:t>00-1</w:t>
            </w:r>
            <w:r>
              <w:rPr>
                <w:rFonts w:hint="eastAsia"/>
                <w:szCs w:val="24"/>
                <w:lang w:val="en-US" w:eastAsia="zh-CN"/>
              </w:rPr>
              <w:t>4：</w:t>
            </w:r>
            <w:r>
              <w:rPr>
                <w:rFonts w:hint="eastAsia"/>
                <w:szCs w:val="24"/>
              </w:rPr>
              <w:t>00</w:t>
            </w:r>
          </w:p>
        </w:tc>
      </w:tr>
      <w:tr w14:paraId="24F13D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</w:trPr>
        <w:tc>
          <w:tcPr>
            <w:tcW w:w="2405" w:type="dxa"/>
            <w:vAlign w:val="center"/>
          </w:tcPr>
          <w:p w14:paraId="3AC08DE7">
            <w:pPr>
              <w:jc w:val="center"/>
              <w:rPr>
                <w:b/>
                <w:bCs/>
                <w:szCs w:val="24"/>
              </w:rPr>
            </w:pPr>
            <w:r>
              <w:rPr>
                <w:rFonts w:hint="eastAsia"/>
                <w:b/>
                <w:bCs/>
                <w:szCs w:val="24"/>
              </w:rPr>
              <w:t>地点</w:t>
            </w:r>
          </w:p>
        </w:tc>
        <w:tc>
          <w:tcPr>
            <w:tcW w:w="5891" w:type="dxa"/>
            <w:vAlign w:val="center"/>
          </w:tcPr>
          <w:p w14:paraId="5C98B609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上海证券交易所路演中心（https://roadshow.sseinfo.com）</w:t>
            </w:r>
          </w:p>
        </w:tc>
      </w:tr>
      <w:tr w14:paraId="7BF7CC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2405" w:type="dxa"/>
            <w:vAlign w:val="center"/>
          </w:tcPr>
          <w:p w14:paraId="61B6CCDF">
            <w:pPr>
              <w:jc w:val="center"/>
              <w:rPr>
                <w:b/>
                <w:bCs/>
                <w:szCs w:val="24"/>
              </w:rPr>
            </w:pPr>
            <w:r>
              <w:rPr>
                <w:rFonts w:hint="eastAsia"/>
                <w:b/>
                <w:bCs/>
                <w:szCs w:val="24"/>
              </w:rPr>
              <w:t>上市公司接待人员</w:t>
            </w:r>
          </w:p>
        </w:tc>
        <w:tc>
          <w:tcPr>
            <w:tcW w:w="5891" w:type="dxa"/>
            <w:vAlign w:val="center"/>
          </w:tcPr>
          <w:p w14:paraId="1493403A">
            <w:pPr>
              <w:jc w:val="center"/>
              <w:rPr>
                <w:bCs/>
                <w:iCs/>
              </w:rPr>
            </w:pPr>
            <w:r>
              <w:rPr>
                <w:rFonts w:hint="eastAsia"/>
                <w:bCs/>
                <w:iCs/>
              </w:rPr>
              <w:t>董事长兼总经理：钱永学</w:t>
            </w:r>
          </w:p>
          <w:p w14:paraId="62E3F474">
            <w:pPr>
              <w:jc w:val="center"/>
              <w:rPr>
                <w:bCs/>
                <w:iCs/>
              </w:rPr>
            </w:pPr>
            <w:r>
              <w:rPr>
                <w:rFonts w:hint="eastAsia"/>
                <w:bCs/>
                <w:iCs/>
              </w:rPr>
              <w:t>董事兼副总经理：欧阳毅</w:t>
            </w:r>
          </w:p>
          <w:p w14:paraId="36F33DCA">
            <w:pPr>
              <w:jc w:val="center"/>
              <w:rPr>
                <w:rFonts w:hint="eastAsia"/>
                <w:bCs/>
                <w:iCs/>
              </w:rPr>
            </w:pPr>
            <w:r>
              <w:rPr>
                <w:rFonts w:hint="eastAsia"/>
                <w:bCs/>
                <w:iCs/>
              </w:rPr>
              <w:t>财务负责人：张馨瑜</w:t>
            </w:r>
          </w:p>
          <w:p w14:paraId="2C809C50">
            <w:pPr>
              <w:jc w:val="center"/>
              <w:rPr>
                <w:rFonts w:hint="default" w:eastAsia="宋体"/>
                <w:bCs/>
                <w:iCs/>
                <w:lang w:val="en-US" w:eastAsia="zh-CN"/>
              </w:rPr>
            </w:pPr>
            <w:r>
              <w:rPr>
                <w:rFonts w:hint="eastAsia"/>
                <w:bCs/>
                <w:iCs/>
              </w:rPr>
              <w:t>董事会秘书</w:t>
            </w:r>
            <w:r>
              <w:rPr>
                <w:rFonts w:hint="eastAsia"/>
                <w:bCs/>
                <w:iCs/>
                <w:lang w:eastAsia="zh-CN"/>
              </w:rPr>
              <w:t>：</w:t>
            </w:r>
            <w:r>
              <w:rPr>
                <w:rFonts w:hint="eastAsia"/>
                <w:bCs/>
                <w:iCs/>
                <w:lang w:val="en-US" w:eastAsia="zh-CN"/>
              </w:rPr>
              <w:t>谭影子</w:t>
            </w:r>
          </w:p>
          <w:p w14:paraId="6E386AB9">
            <w:pPr>
              <w:jc w:val="center"/>
              <w:rPr>
                <w:rFonts w:hint="eastAsia" w:eastAsia="宋体"/>
                <w:szCs w:val="24"/>
                <w:lang w:val="en-US" w:eastAsia="zh-CN"/>
              </w:rPr>
            </w:pPr>
            <w:r>
              <w:rPr>
                <w:rFonts w:hint="eastAsia"/>
                <w:bCs/>
                <w:iCs/>
              </w:rPr>
              <w:t>独立董事：</w:t>
            </w:r>
            <w:r>
              <w:rPr>
                <w:rFonts w:hint="eastAsia"/>
                <w:bCs/>
                <w:iCs/>
                <w:lang w:val="en-US" w:eastAsia="zh-CN"/>
              </w:rPr>
              <w:t>冯婷婷</w:t>
            </w:r>
          </w:p>
        </w:tc>
      </w:tr>
      <w:tr w14:paraId="42A09B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vAlign w:val="center"/>
          </w:tcPr>
          <w:p w14:paraId="220F9397">
            <w:pPr>
              <w:jc w:val="center"/>
              <w:rPr>
                <w:b/>
                <w:bCs/>
                <w:szCs w:val="24"/>
              </w:rPr>
            </w:pPr>
            <w:r>
              <w:rPr>
                <w:rFonts w:hint="eastAsia"/>
                <w:b/>
                <w:bCs/>
                <w:szCs w:val="24"/>
              </w:rPr>
              <w:t>投资者关系活动主要内容介绍</w:t>
            </w:r>
          </w:p>
        </w:tc>
        <w:tc>
          <w:tcPr>
            <w:tcW w:w="5891" w:type="dxa"/>
          </w:tcPr>
          <w:p w14:paraId="236BCDCE">
            <w:pPr>
              <w:wordWrap w:val="0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一、交流的主要问题及回复</w:t>
            </w:r>
          </w:p>
          <w:p w14:paraId="62AB67C0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/>
                <w:color w:val="000000"/>
                <w:shd w:val="clear" w:color="auto" w:fill="FFFFFF"/>
              </w:rPr>
            </w:pPr>
            <w:r>
              <w:rPr>
                <w:rStyle w:val="12"/>
                <w:rFonts w:hint="eastAsia" w:ascii="Times New Roman" w:hAnsi="Times New Roman" w:eastAsia="Helvetica"/>
                <w:color w:val="000000"/>
                <w:shd w:val="clear" w:color="auto" w:fill="FFFFFF"/>
              </w:rPr>
              <w:t>1、请公司介绍报告期的营业收入及同比变化的主要原因？</w:t>
            </w:r>
          </w:p>
          <w:p w14:paraId="2B32C0F5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宋体"/>
                <w:color w:val="000000"/>
                <w:shd w:val="clear" w:color="auto" w:fill="FFFFFF"/>
                <w:lang w:eastAsia="zh-CN"/>
              </w:rPr>
            </w:pPr>
            <w:r>
              <w:rPr>
                <w:rFonts w:hint="eastAsia" w:ascii="Times New Roman" w:hAnsi="Times New Roman"/>
                <w:color w:val="000000"/>
                <w:shd w:val="clear" w:color="auto" w:fill="FFFFFF"/>
              </w:rPr>
              <w:t>答：2026年上半年，公司实现营业收入77,314.79万元，较上年同期降低8.35%，主要系全球智能手机出货承压</w:t>
            </w:r>
            <w:r>
              <w:rPr>
                <w:rFonts w:hint="eastAsia" w:ascii="Times New Roman" w:hAnsi="Times New Roman"/>
                <w:color w:val="000000"/>
                <w:shd w:val="clear" w:color="auto" w:fill="FFFFFF"/>
                <w:lang w:eastAsia="zh-CN"/>
              </w:rPr>
              <w:t>，</w:t>
            </w:r>
            <w:r>
              <w:rPr>
                <w:rFonts w:hint="eastAsia" w:ascii="Times New Roman" w:hAnsi="Times New Roman"/>
                <w:color w:val="000000"/>
                <w:shd w:val="clear" w:color="auto" w:fill="FFFFFF"/>
              </w:rPr>
              <w:t>下游备货</w:t>
            </w:r>
            <w:r>
              <w:rPr>
                <w:rFonts w:hint="eastAsia" w:ascii="Times New Roman" w:hAnsi="Times New Roman"/>
                <w:color w:val="000000"/>
                <w:shd w:val="clear" w:color="auto" w:fill="FFFFFF"/>
                <w:lang w:eastAsia="zh-CN"/>
              </w:rPr>
              <w:t>、</w:t>
            </w:r>
            <w:r>
              <w:rPr>
                <w:rFonts w:hint="eastAsia" w:ascii="Times New Roman" w:hAnsi="Times New Roman"/>
                <w:color w:val="000000"/>
                <w:shd w:val="clear" w:color="auto" w:fill="FFFFFF"/>
              </w:rPr>
              <w:t>提货放缓，传统手机射频</w:t>
            </w:r>
            <w:r>
              <w:rPr>
                <w:rFonts w:hint="eastAsia" w:ascii="Times New Roman" w:hAnsi="Times New Roman"/>
                <w:color w:val="000000"/>
                <w:shd w:val="clear" w:color="auto" w:fill="FFFFFF"/>
                <w:lang w:val="en-US" w:eastAsia="zh-CN"/>
              </w:rPr>
              <w:t>相关业务</w:t>
            </w:r>
            <w:r>
              <w:rPr>
                <w:rFonts w:hint="eastAsia" w:ascii="Times New Roman" w:hAnsi="Times New Roman"/>
                <w:color w:val="000000"/>
                <w:shd w:val="clear" w:color="auto" w:fill="FFFFFF"/>
              </w:rPr>
              <w:t>收入回落，公司主动收缩部分低毛利、竞争激烈项目。为应对上述影响，公司将持续加强技术储备，拓展市场增长点，一方面，积极拓宽新兴业务赛道，加速手机卫星通信、智能汽车、低空经济等领域产品布局，前瞻性布局新一代通信技术；另一方面，持续助推射频SoC、其他模拟芯片等第二、第三发展曲线，相关产品线收入合计相较2025年上半年同比增长51.24%；同时，加大海外市场拓展力度，以全面提高公司综合竞争力。</w:t>
            </w:r>
          </w:p>
          <w:p w14:paraId="76819A0D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/>
                <w:color w:val="000000"/>
                <w:shd w:val="clear" w:color="auto" w:fill="FFFFFF"/>
              </w:rPr>
            </w:pPr>
          </w:p>
          <w:p w14:paraId="6FE0ECC3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Style w:val="12"/>
                <w:rFonts w:hint="eastAsia" w:ascii="Times New Roman" w:hAnsi="Times New Roman" w:eastAsia="Helvetica"/>
                <w:color w:val="000000"/>
                <w:shd w:val="clear" w:color="auto" w:fill="FFFFFF"/>
              </w:rPr>
            </w:pPr>
            <w:r>
              <w:rPr>
                <w:rStyle w:val="12"/>
                <w:rFonts w:hint="eastAsia" w:ascii="Times New Roman" w:hAnsi="Times New Roman"/>
                <w:color w:val="000000"/>
                <w:shd w:val="clear" w:color="auto" w:fill="FFFFFF"/>
                <w:lang w:val="en-US" w:eastAsia="zh-CN"/>
              </w:rPr>
              <w:t>2</w:t>
            </w:r>
            <w:r>
              <w:rPr>
                <w:rStyle w:val="12"/>
                <w:rFonts w:hint="eastAsia" w:ascii="Times New Roman" w:hAnsi="Times New Roman" w:eastAsia="Helvetica"/>
                <w:color w:val="000000"/>
                <w:shd w:val="clear" w:color="auto" w:fill="FFFFFF"/>
              </w:rPr>
              <w:t>、请问公司上半年综合毛利率相比去年同期有什么变化？</w:t>
            </w:r>
          </w:p>
          <w:p w14:paraId="27F85FDC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/>
                <w:color w:val="000000"/>
                <w:shd w:val="clear" w:color="auto" w:fill="FFFFFF"/>
              </w:rPr>
            </w:pPr>
            <w:r>
              <w:rPr>
                <w:rFonts w:hint="eastAsia" w:ascii="Times New Roman" w:hAnsi="Times New Roman"/>
                <w:color w:val="000000"/>
                <w:shd w:val="clear" w:color="auto" w:fill="FFFFFF"/>
              </w:rPr>
              <w:t>答：公司近三年综合毛利率均保持在20%以上，公司2026年上半年综合毛利率为20.14%。未来，公司将继续坚持高集成度模组、定制化研发方向，努力拓展射频SoC等更高毛利业务线，加强成本管理，提升经营稳健性。</w:t>
            </w:r>
          </w:p>
          <w:p w14:paraId="36D066AA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/>
                <w:color w:val="000000"/>
                <w:shd w:val="clear" w:color="auto" w:fill="FFFFFF"/>
              </w:rPr>
            </w:pPr>
          </w:p>
          <w:p w14:paraId="7AE01B32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/>
                <w:color w:val="000000"/>
                <w:shd w:val="clear" w:color="auto" w:fill="FFFFFF"/>
              </w:rPr>
            </w:pPr>
            <w:r>
              <w:rPr>
                <w:rStyle w:val="12"/>
                <w:rFonts w:hint="eastAsia" w:ascii="Times New Roman" w:hAnsi="Times New Roman"/>
                <w:color w:val="000000"/>
                <w:shd w:val="clear" w:color="auto" w:fill="FFFFFF"/>
                <w:lang w:val="en-US" w:eastAsia="zh-CN"/>
              </w:rPr>
              <w:t>3</w:t>
            </w:r>
            <w:r>
              <w:rPr>
                <w:rStyle w:val="12"/>
                <w:rFonts w:hint="eastAsia" w:ascii="Times New Roman" w:hAnsi="Times New Roman" w:eastAsia="Helvetica"/>
                <w:color w:val="000000"/>
                <w:shd w:val="clear" w:color="auto" w:fill="FFFFFF"/>
              </w:rPr>
              <w:t>、请问公司</w:t>
            </w:r>
            <w:r>
              <w:rPr>
                <w:rStyle w:val="12"/>
                <w:rFonts w:hint="eastAsia" w:ascii="Times New Roman" w:hAnsi="Times New Roman"/>
                <w:color w:val="000000"/>
                <w:shd w:val="clear" w:color="auto" w:fill="FFFFFF"/>
                <w:lang w:val="en-US" w:eastAsia="zh-CN"/>
              </w:rPr>
              <w:t>射频前端</w:t>
            </w:r>
            <w:r>
              <w:rPr>
                <w:rStyle w:val="12"/>
                <w:rFonts w:hint="eastAsia" w:ascii="Times New Roman" w:hAnsi="Times New Roman" w:eastAsia="Helvetica"/>
                <w:color w:val="000000"/>
                <w:shd w:val="clear" w:color="auto" w:fill="FFFFFF"/>
              </w:rPr>
              <w:t>业务线客户导入和出货情况如何？</w:t>
            </w:r>
          </w:p>
          <w:p w14:paraId="06181CC0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/>
                <w:color w:val="000000"/>
                <w:shd w:val="clear" w:color="auto" w:fill="FFFFFF"/>
              </w:rPr>
            </w:pPr>
            <w:r>
              <w:rPr>
                <w:rFonts w:hint="eastAsia" w:ascii="Times New Roman" w:hAnsi="Times New Roman"/>
                <w:color w:val="000000"/>
                <w:shd w:val="clear" w:color="auto" w:fill="FFFFFF"/>
              </w:rPr>
              <w:t>答：2026年上半年，公司应用于高端机型的5G收发模组L-PAMiD持续出货，其中，高集成度的5G Phase8L模组产品已顺利在品牌客户规模量产；此外，公司还同步推进多种规格Phase8模组产品向多个品牌客户送样验证。在手机卫星通信领域，公司支持北斗、天通及卫通三合一卫星通信PA进一步进入规模化量产，支持卫通的高性能LNA产品已导入品牌客户。在低空经济领域，公司开关类产品</w:t>
            </w:r>
            <w:r>
              <w:rPr>
                <w:rFonts w:hint="eastAsia" w:ascii="Times New Roman" w:hAnsi="Times New Roman"/>
                <w:color w:val="000000"/>
                <w:shd w:val="clear" w:color="auto" w:fill="FFFFFF"/>
                <w:lang w:val="en-US" w:eastAsia="zh-CN"/>
              </w:rPr>
              <w:t>已</w:t>
            </w:r>
            <w:r>
              <w:rPr>
                <w:rFonts w:hint="eastAsia" w:ascii="Times New Roman" w:hAnsi="Times New Roman"/>
                <w:color w:val="000000"/>
                <w:shd w:val="clear" w:color="auto" w:fill="FFFFFF"/>
              </w:rPr>
              <w:t>在品牌客户量产出货</w:t>
            </w:r>
            <w:r>
              <w:rPr>
                <w:rFonts w:hint="eastAsia" w:ascii="Times New Roman" w:hAnsi="Times New Roman"/>
                <w:color w:val="000000"/>
                <w:shd w:val="clear" w:color="auto" w:fill="FFFFFF"/>
                <w:lang w:eastAsia="zh-CN"/>
              </w:rPr>
              <w:t>，</w:t>
            </w:r>
            <w:r>
              <w:rPr>
                <w:rFonts w:hint="eastAsia" w:ascii="Times New Roman" w:hAnsi="Times New Roman"/>
                <w:color w:val="000000"/>
                <w:shd w:val="clear" w:color="auto" w:fill="FFFFFF"/>
              </w:rPr>
              <w:t>图传FEM、LNA产品持续导入品牌客户核心产品。在车载通信领域，公司5G射频前端系列车规级产品已通过AEC-Q100的认证，</w:t>
            </w:r>
            <w:r>
              <w:rPr>
                <w:szCs w:val="21"/>
              </w:rPr>
              <w:t>并已在知名车企中应用</w:t>
            </w:r>
            <w:r>
              <w:rPr>
                <w:rFonts w:hint="eastAsia" w:ascii="Times New Roman" w:hAnsi="Times New Roman"/>
                <w:color w:val="000000"/>
                <w:shd w:val="clear" w:color="auto" w:fill="FFFFFF"/>
              </w:rPr>
              <w:t>。</w:t>
            </w:r>
          </w:p>
          <w:p w14:paraId="1AECDC38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/>
                <w:color w:val="000000"/>
                <w:shd w:val="clear" w:color="auto" w:fill="FFFFFF"/>
              </w:rPr>
            </w:pPr>
          </w:p>
          <w:p w14:paraId="763C7A04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/>
                <w:color w:val="000000"/>
                <w:shd w:val="clear" w:color="auto" w:fill="FFFFFF"/>
              </w:rPr>
            </w:pPr>
            <w:r>
              <w:rPr>
                <w:rStyle w:val="12"/>
                <w:rFonts w:hint="eastAsia" w:ascii="Times New Roman" w:hAnsi="Times New Roman"/>
                <w:color w:val="000000"/>
                <w:shd w:val="clear" w:color="auto" w:fill="FFFFFF"/>
                <w:lang w:val="en-US" w:eastAsia="zh-CN"/>
              </w:rPr>
              <w:t>4</w:t>
            </w:r>
            <w:r>
              <w:rPr>
                <w:rStyle w:val="12"/>
                <w:rFonts w:hint="eastAsia" w:ascii="Times New Roman" w:hAnsi="Times New Roman" w:eastAsia="Helvetica"/>
                <w:color w:val="000000"/>
                <w:shd w:val="clear" w:color="auto" w:fill="FFFFFF"/>
              </w:rPr>
              <w:t>、请问公司</w:t>
            </w:r>
            <w:r>
              <w:rPr>
                <w:rStyle w:val="12"/>
                <w:rFonts w:hint="eastAsia" w:ascii="Times New Roman" w:hAnsi="Times New Roman"/>
                <w:color w:val="000000"/>
                <w:shd w:val="clear" w:color="auto" w:fill="FFFFFF"/>
                <w:lang w:val="en-US" w:eastAsia="zh-CN"/>
              </w:rPr>
              <w:t>射频SoC</w:t>
            </w:r>
            <w:r>
              <w:rPr>
                <w:rStyle w:val="12"/>
                <w:rFonts w:hint="eastAsia" w:ascii="Times New Roman" w:hAnsi="Times New Roman"/>
                <w:color w:val="000000"/>
                <w:shd w:val="clear" w:color="auto" w:fill="FFFFFF"/>
                <w:lang w:eastAsia="zh-CN"/>
              </w:rPr>
              <w:t>、</w:t>
            </w:r>
            <w:r>
              <w:rPr>
                <w:rStyle w:val="12"/>
                <w:rFonts w:hint="eastAsia" w:ascii="Times New Roman" w:hAnsi="Times New Roman"/>
                <w:color w:val="000000"/>
                <w:shd w:val="clear" w:color="auto" w:fill="FFFFFF"/>
                <w:lang w:val="en-US" w:eastAsia="zh-CN"/>
              </w:rPr>
              <w:t>其他模拟芯片</w:t>
            </w:r>
            <w:r>
              <w:rPr>
                <w:rStyle w:val="12"/>
                <w:rFonts w:hint="eastAsia" w:ascii="Times New Roman" w:hAnsi="Times New Roman" w:eastAsia="Helvetica"/>
                <w:color w:val="000000"/>
                <w:shd w:val="clear" w:color="auto" w:fill="FFFFFF"/>
              </w:rPr>
              <w:t>业务线客户导入</w:t>
            </w:r>
            <w:bookmarkStart w:id="1" w:name="_GoBack"/>
            <w:bookmarkEnd w:id="1"/>
            <w:r>
              <w:rPr>
                <w:rStyle w:val="12"/>
                <w:rFonts w:hint="eastAsia" w:ascii="Times New Roman" w:hAnsi="Times New Roman" w:eastAsia="Helvetica"/>
                <w:color w:val="000000"/>
                <w:shd w:val="clear" w:color="auto" w:fill="FFFFFF"/>
              </w:rPr>
              <w:t>和出货情况如何？</w:t>
            </w:r>
          </w:p>
          <w:p w14:paraId="38833B04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宋体"/>
                <w:color w:val="000000"/>
                <w:shd w:val="clear" w:color="auto" w:fill="FFFFFF"/>
                <w:lang w:eastAsia="zh-CN"/>
              </w:rPr>
            </w:pPr>
            <w:r>
              <w:rPr>
                <w:rFonts w:hint="eastAsia" w:ascii="Times New Roman" w:hAnsi="Times New Roman"/>
                <w:color w:val="000000"/>
                <w:shd w:val="clear" w:color="auto" w:fill="FFFFFF"/>
                <w:lang w:val="en-US" w:eastAsia="zh-CN"/>
              </w:rPr>
              <w:t>答：</w:t>
            </w:r>
            <w:r>
              <w:rPr>
                <w:rFonts w:hint="eastAsia" w:ascii="Times New Roman" w:hAnsi="Times New Roman"/>
                <w:color w:val="000000"/>
                <w:shd w:val="clear" w:color="auto" w:fill="FFFFFF"/>
              </w:rPr>
              <w:t>射频SoC芯片方面，公司智能寻物类产品兼容多平台查找生态，实现低延时、多连接，已在头部品牌客户多款终端产品实现量产；同时，在健康医疗、物联网、智慧零售等领域实现业绩良好增长。2026年上半年，</w:t>
            </w:r>
            <w:r>
              <w:rPr>
                <w:rFonts w:hint="eastAsia" w:ascii="Times New Roman" w:hAnsi="Times New Roman"/>
                <w:color w:val="000000"/>
                <w:shd w:val="clear" w:color="auto" w:fill="FFFFFF"/>
                <w:lang w:val="en-US" w:eastAsia="zh-CN"/>
              </w:rPr>
              <w:t>射频SoC相关收入</w:t>
            </w:r>
            <w:r>
              <w:rPr>
                <w:rFonts w:hint="eastAsia" w:ascii="Times New Roman" w:hAnsi="Times New Roman"/>
                <w:color w:val="000000"/>
                <w:shd w:val="clear" w:color="auto" w:fill="FFFFFF"/>
              </w:rPr>
              <w:t>占比提升至29.27%，同比增长49.77%</w:t>
            </w:r>
            <w:r>
              <w:rPr>
                <w:rFonts w:hint="eastAsia" w:ascii="Times New Roman" w:hAnsi="Times New Roman"/>
                <w:color w:val="000000"/>
                <w:shd w:val="clear" w:color="auto" w:fill="FFFFFF"/>
                <w:lang w:eastAsia="zh-CN"/>
              </w:rPr>
              <w:t>。</w:t>
            </w:r>
            <w:r>
              <w:rPr>
                <w:rFonts w:hint="eastAsia" w:ascii="Times New Roman" w:hAnsi="Times New Roman"/>
                <w:color w:val="000000"/>
                <w:shd w:val="clear" w:color="auto" w:fill="FFFFFF"/>
              </w:rPr>
              <w:t>其他模拟芯片产品已成功导入智能终端、无线外设、可穿戴设备、健康医疗等领域</w:t>
            </w:r>
            <w:r>
              <w:rPr>
                <w:rFonts w:hint="eastAsia" w:ascii="Times New Roman" w:hAnsi="Times New Roman"/>
                <w:color w:val="000000"/>
                <w:shd w:val="clear" w:color="auto" w:fill="FFFFFF"/>
                <w:lang w:eastAsia="zh-CN"/>
              </w:rPr>
              <w:t>。</w:t>
            </w:r>
            <w:r>
              <w:rPr>
                <w:rFonts w:hint="eastAsia" w:ascii="Times New Roman" w:hAnsi="Times New Roman"/>
                <w:color w:val="000000"/>
                <w:shd w:val="clear" w:color="auto" w:fill="FFFFFF"/>
                <w:lang w:val="en-US" w:eastAsia="zh-CN"/>
              </w:rPr>
              <w:t>射频SoC、其他模拟芯片</w:t>
            </w:r>
            <w:r>
              <w:rPr>
                <w:rFonts w:hint="eastAsia" w:ascii="Times New Roman" w:hAnsi="Times New Roman"/>
                <w:color w:val="000000"/>
                <w:shd w:val="clear" w:color="auto" w:fill="FFFFFF"/>
              </w:rPr>
              <w:t>产品线收入合计同比增长51.24%</w:t>
            </w:r>
            <w:r>
              <w:rPr>
                <w:rFonts w:hint="eastAsia" w:ascii="Times New Roman" w:hAnsi="Times New Roman"/>
                <w:color w:val="000000"/>
                <w:shd w:val="clear" w:color="auto" w:fill="FFFFFF"/>
                <w:lang w:eastAsia="zh-CN"/>
              </w:rPr>
              <w:t>。</w:t>
            </w:r>
          </w:p>
          <w:p w14:paraId="1A092BA6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/>
                <w:color w:val="000000"/>
                <w:shd w:val="clear" w:color="auto" w:fill="FFFFFF"/>
              </w:rPr>
            </w:pPr>
          </w:p>
          <w:p w14:paraId="46E92782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Style w:val="12"/>
                <w:rFonts w:hint="eastAsia" w:ascii="Times New Roman" w:hAnsi="Times New Roman" w:eastAsia="Helvetica"/>
                <w:color w:val="000000"/>
                <w:shd w:val="clear" w:color="auto" w:fill="FFFFFF"/>
              </w:rPr>
            </w:pPr>
            <w:r>
              <w:rPr>
                <w:rStyle w:val="12"/>
                <w:rFonts w:hint="eastAsia" w:ascii="Times New Roman" w:hAnsi="Times New Roman"/>
                <w:color w:val="000000"/>
                <w:shd w:val="clear" w:color="auto" w:fill="FFFFFF"/>
                <w:lang w:val="en-US" w:eastAsia="zh-CN"/>
              </w:rPr>
              <w:t>5</w:t>
            </w:r>
            <w:r>
              <w:rPr>
                <w:rStyle w:val="12"/>
                <w:rFonts w:hint="eastAsia" w:ascii="Times New Roman" w:hAnsi="Times New Roman" w:eastAsia="Helvetica"/>
                <w:color w:val="000000"/>
                <w:shd w:val="clear" w:color="auto" w:fill="FFFFFF"/>
              </w:rPr>
              <w:t>、请问公司上半年的研发投入金额和占营业收入的比例分别是多少，研发方面有什么亮点？</w:t>
            </w:r>
          </w:p>
          <w:p w14:paraId="69236E41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宋体"/>
                <w:color w:val="000000"/>
                <w:shd w:val="clear" w:color="auto" w:fill="FFFFFF"/>
                <w:lang w:eastAsia="zh-CN"/>
              </w:rPr>
            </w:pPr>
            <w:r>
              <w:rPr>
                <w:rFonts w:hint="eastAsia" w:ascii="Times New Roman" w:hAnsi="Times New Roman"/>
                <w:color w:val="000000"/>
                <w:shd w:val="clear" w:color="auto" w:fill="FFFFFF"/>
              </w:rPr>
              <w:t>答：2026年上半年公司研发投入16,319.64万元，占营业收入比例21.11%。公司注重生产工艺的积累与协同，构建了覆盖CMOS、GaAs、SiGe、SOI等多种工艺的底层技术平台，实现射频前端与射频SoC两大产品线的IP共享与协同研发。2026年，公司积极开展低压氮化镓（GaN）功放技术前瞻预研，重点布局大功率、高频率、高效率相关产品开发，并与国内头部客户开展深度技术合作，持续夯实新一代功率器件技术储备。</w:t>
            </w:r>
          </w:p>
          <w:p w14:paraId="0A29ABFC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/>
                <w:color w:val="000000"/>
                <w:shd w:val="clear" w:color="auto" w:fill="FFFFFF"/>
              </w:rPr>
            </w:pPr>
          </w:p>
          <w:p w14:paraId="55592760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Style w:val="12"/>
                <w:rFonts w:hint="eastAsia" w:ascii="Times New Roman" w:hAnsi="Times New Roman" w:eastAsia="Helvetica"/>
                <w:color w:val="000000"/>
                <w:shd w:val="clear" w:color="auto" w:fill="FFFFFF"/>
              </w:rPr>
            </w:pPr>
            <w:r>
              <w:rPr>
                <w:rStyle w:val="12"/>
                <w:rFonts w:hint="eastAsia" w:ascii="Times New Roman" w:hAnsi="Times New Roman"/>
                <w:color w:val="000000"/>
                <w:shd w:val="clear" w:color="auto" w:fill="FFFFFF"/>
                <w:lang w:val="en-US" w:eastAsia="zh-CN"/>
              </w:rPr>
              <w:t>6</w:t>
            </w:r>
            <w:r>
              <w:rPr>
                <w:rStyle w:val="12"/>
                <w:rFonts w:hint="eastAsia" w:ascii="Times New Roman" w:hAnsi="Times New Roman" w:eastAsia="Helvetica"/>
                <w:color w:val="000000"/>
                <w:shd w:val="clear" w:color="auto" w:fill="FFFFFF"/>
              </w:rPr>
              <w:t>、公司对于未来提振投资者信心，有什么具体的措施吗？</w:t>
            </w:r>
          </w:p>
          <w:p w14:paraId="06F0FE65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/>
                <w:color w:val="000000"/>
                <w:shd w:val="clear" w:color="auto" w:fill="FFFFFF"/>
              </w:rPr>
            </w:pPr>
            <w:r>
              <w:rPr>
                <w:rFonts w:hint="eastAsia" w:ascii="Times New Roman" w:hAnsi="Times New Roman"/>
                <w:color w:val="000000"/>
                <w:shd w:val="clear" w:color="auto" w:fill="FFFFFF"/>
              </w:rPr>
              <w:t>答：公司始终重视投资者的利益，将继续专注主业，增强业务优势，坚持以提升公司经营业绩和企业价值作为长期工作重点，力争以优良的业绩回报广大投资者。一方面，公司将持续加大核心技术研发投入，完善产品布局、拓展优质客户与新兴应用市场，稳步提升经营质量；另一方面，严格规范公司治理，持续做好投资者关系管理与信息披露工作，保持与资本市场的顺畅沟通，以稳健经营和规范运作切实维护投资者合法权益，不断提振市场信心。</w:t>
            </w:r>
          </w:p>
          <w:p w14:paraId="22EF2F0D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/>
                <w:color w:val="000000"/>
                <w:shd w:val="clear" w:color="auto" w:fill="FFFFFF"/>
              </w:rPr>
            </w:pPr>
          </w:p>
        </w:tc>
      </w:tr>
      <w:tr w14:paraId="1400CD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vAlign w:val="center"/>
          </w:tcPr>
          <w:p w14:paraId="55F55335">
            <w:pPr>
              <w:jc w:val="center"/>
              <w:rPr>
                <w:b/>
                <w:bCs/>
                <w:szCs w:val="24"/>
              </w:rPr>
            </w:pPr>
            <w:r>
              <w:rPr>
                <w:rFonts w:hint="eastAsia"/>
                <w:b/>
                <w:bCs/>
                <w:szCs w:val="24"/>
              </w:rPr>
              <w:t>关于本次活动是否涉及应当披露重大信息的说明</w:t>
            </w:r>
          </w:p>
        </w:tc>
        <w:tc>
          <w:tcPr>
            <w:tcW w:w="5891" w:type="dxa"/>
            <w:vAlign w:val="center"/>
          </w:tcPr>
          <w:p w14:paraId="3F86087F">
            <w:pPr>
              <w:jc w:val="center"/>
              <w:rPr>
                <w:szCs w:val="24"/>
              </w:rPr>
            </w:pPr>
            <w:r>
              <w:rPr>
                <w:rFonts w:hint="eastAsia"/>
                <w:bCs/>
                <w:iCs/>
              </w:rPr>
              <w:t>本次活动不涉及应当披露重大信息。</w:t>
            </w:r>
          </w:p>
        </w:tc>
      </w:tr>
      <w:tr w14:paraId="6B6172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2405" w:type="dxa"/>
            <w:vAlign w:val="center"/>
          </w:tcPr>
          <w:p w14:paraId="40278F29">
            <w:pPr>
              <w:jc w:val="center"/>
              <w:rPr>
                <w:b/>
                <w:bCs/>
                <w:szCs w:val="24"/>
              </w:rPr>
            </w:pPr>
            <w:r>
              <w:rPr>
                <w:rFonts w:hint="eastAsia"/>
                <w:b/>
                <w:bCs/>
                <w:szCs w:val="24"/>
              </w:rPr>
              <w:t>附件清单（如有）</w:t>
            </w:r>
          </w:p>
        </w:tc>
        <w:tc>
          <w:tcPr>
            <w:tcW w:w="5891" w:type="dxa"/>
            <w:vAlign w:val="center"/>
          </w:tcPr>
          <w:p w14:paraId="7AC0C83D">
            <w:pPr>
              <w:jc w:val="center"/>
              <w:rPr>
                <w:szCs w:val="24"/>
              </w:rPr>
            </w:pPr>
          </w:p>
        </w:tc>
      </w:tr>
      <w:tr w14:paraId="79A04A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2405" w:type="dxa"/>
            <w:vAlign w:val="center"/>
          </w:tcPr>
          <w:p w14:paraId="35917F9D">
            <w:pPr>
              <w:jc w:val="center"/>
              <w:rPr>
                <w:b/>
                <w:bCs/>
                <w:szCs w:val="24"/>
              </w:rPr>
            </w:pPr>
            <w:r>
              <w:rPr>
                <w:rFonts w:hint="eastAsia"/>
                <w:b/>
                <w:bCs/>
                <w:szCs w:val="24"/>
              </w:rPr>
              <w:t>日期</w:t>
            </w:r>
          </w:p>
        </w:tc>
        <w:tc>
          <w:tcPr>
            <w:tcW w:w="5891" w:type="dxa"/>
            <w:vAlign w:val="center"/>
          </w:tcPr>
          <w:p w14:paraId="552ACB70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2</w:t>
            </w:r>
            <w:r>
              <w:rPr>
                <w:szCs w:val="24"/>
              </w:rPr>
              <w:t>026</w:t>
            </w:r>
            <w:r>
              <w:rPr>
                <w:rFonts w:hint="eastAsia"/>
                <w:szCs w:val="24"/>
              </w:rPr>
              <w:t>年</w:t>
            </w:r>
            <w:r>
              <w:rPr>
                <w:rFonts w:hint="eastAsia"/>
                <w:szCs w:val="24"/>
                <w:lang w:val="en-US" w:eastAsia="zh-CN"/>
              </w:rPr>
              <w:t>9</w:t>
            </w:r>
            <w:r>
              <w:rPr>
                <w:rFonts w:hint="eastAsia"/>
                <w:szCs w:val="24"/>
              </w:rPr>
              <w:t>月1</w:t>
            </w:r>
            <w:r>
              <w:rPr>
                <w:rFonts w:hint="eastAsia"/>
                <w:szCs w:val="24"/>
                <w:lang w:val="en-US" w:eastAsia="zh-CN"/>
              </w:rPr>
              <w:t>1</w:t>
            </w:r>
            <w:r>
              <w:rPr>
                <w:rFonts w:hint="eastAsia"/>
                <w:szCs w:val="24"/>
              </w:rPr>
              <w:t>日</w:t>
            </w:r>
          </w:p>
        </w:tc>
      </w:tr>
    </w:tbl>
    <w:p w14:paraId="198A44CA">
      <w:pPr>
        <w:spacing w:line="360" w:lineRule="auto"/>
        <w:rPr>
          <w:sz w:val="28"/>
          <w:szCs w:val="28"/>
        </w:rPr>
      </w:pP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Helvetica">
    <w:altName w:val="Arial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iyuan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A97534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97B8D"/>
    <w:rsid w:val="000A6373"/>
    <w:rsid w:val="000B4B7A"/>
    <w:rsid w:val="000B61FC"/>
    <w:rsid w:val="000C222B"/>
    <w:rsid w:val="000C323C"/>
    <w:rsid w:val="000D2872"/>
    <w:rsid w:val="000E1009"/>
    <w:rsid w:val="00111B33"/>
    <w:rsid w:val="00116765"/>
    <w:rsid w:val="001435A0"/>
    <w:rsid w:val="00171B17"/>
    <w:rsid w:val="00183467"/>
    <w:rsid w:val="001F0F88"/>
    <w:rsid w:val="001F7FA8"/>
    <w:rsid w:val="00201F6A"/>
    <w:rsid w:val="0020500F"/>
    <w:rsid w:val="00223372"/>
    <w:rsid w:val="002313F6"/>
    <w:rsid w:val="00273D47"/>
    <w:rsid w:val="002A0318"/>
    <w:rsid w:val="002B7D00"/>
    <w:rsid w:val="002D0603"/>
    <w:rsid w:val="002F7FD4"/>
    <w:rsid w:val="00321F61"/>
    <w:rsid w:val="003363A9"/>
    <w:rsid w:val="00356D2B"/>
    <w:rsid w:val="003573D3"/>
    <w:rsid w:val="00357CEA"/>
    <w:rsid w:val="00377B35"/>
    <w:rsid w:val="00395746"/>
    <w:rsid w:val="003A3A46"/>
    <w:rsid w:val="003F3C92"/>
    <w:rsid w:val="003F7083"/>
    <w:rsid w:val="004151DD"/>
    <w:rsid w:val="004207C0"/>
    <w:rsid w:val="00422248"/>
    <w:rsid w:val="00430633"/>
    <w:rsid w:val="00440618"/>
    <w:rsid w:val="004754E9"/>
    <w:rsid w:val="004941C1"/>
    <w:rsid w:val="004C15FD"/>
    <w:rsid w:val="004E40CA"/>
    <w:rsid w:val="004F3884"/>
    <w:rsid w:val="00513BB5"/>
    <w:rsid w:val="0052304C"/>
    <w:rsid w:val="00527C88"/>
    <w:rsid w:val="005B2F16"/>
    <w:rsid w:val="005E1795"/>
    <w:rsid w:val="005F4792"/>
    <w:rsid w:val="00606CFC"/>
    <w:rsid w:val="0061404B"/>
    <w:rsid w:val="006A3406"/>
    <w:rsid w:val="006D4276"/>
    <w:rsid w:val="006E21BD"/>
    <w:rsid w:val="006F3731"/>
    <w:rsid w:val="00700D3E"/>
    <w:rsid w:val="0070403A"/>
    <w:rsid w:val="0071177D"/>
    <w:rsid w:val="00717E52"/>
    <w:rsid w:val="0072163B"/>
    <w:rsid w:val="00750A58"/>
    <w:rsid w:val="00773E29"/>
    <w:rsid w:val="007A4592"/>
    <w:rsid w:val="007C3594"/>
    <w:rsid w:val="007D58DF"/>
    <w:rsid w:val="007E46D5"/>
    <w:rsid w:val="00840295"/>
    <w:rsid w:val="0085678F"/>
    <w:rsid w:val="008606C6"/>
    <w:rsid w:val="00871F27"/>
    <w:rsid w:val="00880942"/>
    <w:rsid w:val="0088108C"/>
    <w:rsid w:val="009411C3"/>
    <w:rsid w:val="00975BE0"/>
    <w:rsid w:val="009D033F"/>
    <w:rsid w:val="009F4679"/>
    <w:rsid w:val="00A224B7"/>
    <w:rsid w:val="00A300B7"/>
    <w:rsid w:val="00A532C5"/>
    <w:rsid w:val="00A84C68"/>
    <w:rsid w:val="00A97013"/>
    <w:rsid w:val="00AD2689"/>
    <w:rsid w:val="00B05ABA"/>
    <w:rsid w:val="00B4093F"/>
    <w:rsid w:val="00B42FDE"/>
    <w:rsid w:val="00B4428E"/>
    <w:rsid w:val="00B71EE6"/>
    <w:rsid w:val="00B7533A"/>
    <w:rsid w:val="00B91E28"/>
    <w:rsid w:val="00B931C7"/>
    <w:rsid w:val="00BD41A1"/>
    <w:rsid w:val="00BD7ACE"/>
    <w:rsid w:val="00C45133"/>
    <w:rsid w:val="00C4634E"/>
    <w:rsid w:val="00CA459F"/>
    <w:rsid w:val="00CD76E0"/>
    <w:rsid w:val="00D81EDC"/>
    <w:rsid w:val="00DA15A9"/>
    <w:rsid w:val="00DA5797"/>
    <w:rsid w:val="00DB5EF6"/>
    <w:rsid w:val="00DC0644"/>
    <w:rsid w:val="00DC5E46"/>
    <w:rsid w:val="00DE0EC7"/>
    <w:rsid w:val="00E216A7"/>
    <w:rsid w:val="00E55E15"/>
    <w:rsid w:val="00E8062E"/>
    <w:rsid w:val="00E9000F"/>
    <w:rsid w:val="00ED1368"/>
    <w:rsid w:val="00ED5DBF"/>
    <w:rsid w:val="00EF01BC"/>
    <w:rsid w:val="00F27AAB"/>
    <w:rsid w:val="00F34574"/>
    <w:rsid w:val="00F81C72"/>
    <w:rsid w:val="00FF58C9"/>
    <w:rsid w:val="02FE0293"/>
    <w:rsid w:val="0A095B6A"/>
    <w:rsid w:val="0EF22EDE"/>
    <w:rsid w:val="0F247FF3"/>
    <w:rsid w:val="16ED44DA"/>
    <w:rsid w:val="1A4678A2"/>
    <w:rsid w:val="1AB479F0"/>
    <w:rsid w:val="1DE67FE8"/>
    <w:rsid w:val="1ECC0FF5"/>
    <w:rsid w:val="1F0D7FDF"/>
    <w:rsid w:val="1F982DAF"/>
    <w:rsid w:val="1FAE5A3B"/>
    <w:rsid w:val="20270A5D"/>
    <w:rsid w:val="2A4D57CE"/>
    <w:rsid w:val="2B42499D"/>
    <w:rsid w:val="2E177A29"/>
    <w:rsid w:val="2F7013AD"/>
    <w:rsid w:val="33D90F0B"/>
    <w:rsid w:val="346B4ACC"/>
    <w:rsid w:val="35056ABF"/>
    <w:rsid w:val="3E8353E3"/>
    <w:rsid w:val="408E3038"/>
    <w:rsid w:val="48192F0A"/>
    <w:rsid w:val="49DD1D6D"/>
    <w:rsid w:val="4B5D0A9C"/>
    <w:rsid w:val="4C0D64AA"/>
    <w:rsid w:val="4CEE0089"/>
    <w:rsid w:val="4D2F15CC"/>
    <w:rsid w:val="4F90441B"/>
    <w:rsid w:val="52065E75"/>
    <w:rsid w:val="569E48CE"/>
    <w:rsid w:val="5B6836FC"/>
    <w:rsid w:val="5E254B3D"/>
    <w:rsid w:val="60064219"/>
    <w:rsid w:val="60F2291D"/>
    <w:rsid w:val="6A935AEF"/>
    <w:rsid w:val="715D28EC"/>
    <w:rsid w:val="72005FE5"/>
    <w:rsid w:val="7D945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theme="minorBidi"/>
      <w:kern w:val="2"/>
      <w:sz w:val="24"/>
      <w:szCs w:val="22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7"/>
    <w:unhideWhenUsed/>
    <w:qFormat/>
    <w:uiPriority w:val="99"/>
    <w:pPr>
      <w:jc w:val="left"/>
    </w:pPr>
  </w:style>
  <w:style w:type="paragraph" w:styleId="3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cs="Times New Roman"/>
      <w:kern w:val="0"/>
      <w:szCs w:val="24"/>
    </w:rPr>
  </w:style>
  <w:style w:type="paragraph" w:styleId="7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8">
    <w:name w:val="annotation subject"/>
    <w:basedOn w:val="2"/>
    <w:next w:val="2"/>
    <w:link w:val="18"/>
    <w:semiHidden/>
    <w:unhideWhenUsed/>
    <w:qFormat/>
    <w:uiPriority w:val="99"/>
    <w:rPr>
      <w:b/>
      <w:bCs/>
    </w:rPr>
  </w:style>
  <w:style w:type="table" w:styleId="10">
    <w:name w:val="Table Grid"/>
    <w:basedOn w:val="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basedOn w:val="11"/>
    <w:qFormat/>
    <w:uiPriority w:val="22"/>
    <w:rPr>
      <w:b/>
    </w:rPr>
  </w:style>
  <w:style w:type="character" w:styleId="13">
    <w:name w:val="annotation reference"/>
    <w:basedOn w:val="11"/>
    <w:semiHidden/>
    <w:unhideWhenUsed/>
    <w:qFormat/>
    <w:uiPriority w:val="99"/>
    <w:rPr>
      <w:sz w:val="21"/>
      <w:szCs w:val="21"/>
    </w:rPr>
  </w:style>
  <w:style w:type="character" w:customStyle="1" w:styleId="14">
    <w:name w:val="批注框文本 字符"/>
    <w:basedOn w:val="11"/>
    <w:link w:val="3"/>
    <w:semiHidden/>
    <w:qFormat/>
    <w:uiPriority w:val="99"/>
    <w:rPr>
      <w:rFonts w:ascii="Times New Roman" w:hAnsi="Times New Roman" w:eastAsia="宋体"/>
      <w:sz w:val="18"/>
      <w:szCs w:val="18"/>
    </w:rPr>
  </w:style>
  <w:style w:type="character" w:customStyle="1" w:styleId="15">
    <w:name w:val="页眉 字符"/>
    <w:basedOn w:val="11"/>
    <w:link w:val="5"/>
    <w:qFormat/>
    <w:uiPriority w:val="99"/>
    <w:rPr>
      <w:rFonts w:ascii="Times New Roman" w:hAnsi="Times New Roman" w:eastAsia="宋体"/>
      <w:sz w:val="18"/>
      <w:szCs w:val="18"/>
    </w:rPr>
  </w:style>
  <w:style w:type="character" w:customStyle="1" w:styleId="16">
    <w:name w:val="页脚 字符"/>
    <w:basedOn w:val="11"/>
    <w:link w:val="4"/>
    <w:qFormat/>
    <w:uiPriority w:val="99"/>
    <w:rPr>
      <w:rFonts w:ascii="Times New Roman" w:hAnsi="Times New Roman" w:eastAsia="宋体"/>
      <w:sz w:val="18"/>
      <w:szCs w:val="18"/>
    </w:rPr>
  </w:style>
  <w:style w:type="character" w:customStyle="1" w:styleId="17">
    <w:name w:val="批注文字 字符"/>
    <w:basedOn w:val="11"/>
    <w:link w:val="2"/>
    <w:qFormat/>
    <w:uiPriority w:val="99"/>
    <w:rPr>
      <w:rFonts w:cstheme="minorBidi"/>
      <w:kern w:val="2"/>
      <w:sz w:val="24"/>
      <w:szCs w:val="22"/>
    </w:rPr>
  </w:style>
  <w:style w:type="character" w:customStyle="1" w:styleId="18">
    <w:name w:val="批注主题 字符"/>
    <w:basedOn w:val="17"/>
    <w:link w:val="8"/>
    <w:semiHidden/>
    <w:qFormat/>
    <w:uiPriority w:val="99"/>
    <w:rPr>
      <w:rFonts w:cstheme="minorBidi"/>
      <w:b/>
      <w:bCs/>
      <w:kern w:val="2"/>
      <w:sz w:val="24"/>
      <w:szCs w:val="22"/>
    </w:rPr>
  </w:style>
  <w:style w:type="paragraph" w:customStyle="1" w:styleId="19">
    <w:name w:val="修订1"/>
    <w:hidden/>
    <w:semiHidden/>
    <w:qFormat/>
    <w:uiPriority w:val="99"/>
    <w:rPr>
      <w:rFonts w:ascii="Times New Roman" w:hAnsi="Times New Roman" w:eastAsia="宋体" w:cstheme="minorBidi"/>
      <w:kern w:val="2"/>
      <w:sz w:val="24"/>
      <w:szCs w:val="22"/>
      <w:lang w:val="en-US" w:eastAsia="zh-CN" w:bidi="ar-SA"/>
    </w:rPr>
  </w:style>
  <w:style w:type="paragraph" w:customStyle="1" w:styleId="20">
    <w:name w:val="Revision"/>
    <w:hidden/>
    <w:unhideWhenUsed/>
    <w:qFormat/>
    <w:uiPriority w:val="99"/>
    <w:rPr>
      <w:rFonts w:ascii="Times New Roman" w:hAnsi="Times New Roman" w:eastAsia="宋体" w:cstheme="minorBidi"/>
      <w:kern w:val="2"/>
      <w:sz w:val="24"/>
      <w:szCs w:val="22"/>
      <w:lang w:val="en-US" w:eastAsia="zh-CN" w:bidi="ar-SA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5" /><Relationship Type="http://schemas.openxmlformats.org/officeDocument/2006/relationships/theme" Target="theme/theme1.xml" Id="rId4" /><Relationship Type="http://schemas.openxmlformats.org/officeDocument/2006/relationships/header" Target="header1.xml" Id="rId3" /><Relationship Type="http://schemas.openxmlformats.org/officeDocument/2006/relationships/settings" Target="settings.xml" Id="rId2" /><Relationship Type="http://schemas.openxmlformats.org/officeDocument/2006/relationships/styles" Target="styles.xml" Id="rId1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1600</Words>
  <Characters>1794</Characters>
  <Lines>1</Lines>
  <Paragraphs>1</Paragraphs>
  <TotalTime>158</TotalTime>
  <ScaleCrop>false</ScaleCrop>
  <LinksUpToDate>false</LinksUpToDate>
  <CharactersWithSpaces>1905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2026-05-15T09:03:00Z</dcterms:created>
  <dc:creator>荣大-李雷</dc:creator>
  <cp:lastModifiedBy>LiYifan</cp:lastModifiedBy>
  <dcterms:modified xsi:type="dcterms:W3CDTF">2026-09-11T06:54:04Z</dcterms:modified>
  <cp:revision>1</cp:revision>
</cp:coreProperties>
</file>

<file path=docProps/custom.xml><?xml version="1.0" encoding="utf-8"?>
<op:Properties xmlns:vt="http://schemas.openxmlformats.org/officeDocument/2006/docPropsVTypes" xmlns:op="http://schemas.openxmlformats.org/officeDocument/2006/custom-properties">
  <op:property fmtid="{D5CDD505-2E9C-101B-9397-08002B2CF9AE}" pid="2" name="KSOProductBuildVer">
    <vt:lpwstr>2052-12.1.0.28505</vt:lpwstr>
  </op:property>
  <op:property fmtid="{D5CDD505-2E9C-101B-9397-08002B2CF9AE}" pid="3" name="ICV">
    <vt:lpwstr>302DF31BF55343FCA6699BE99C2C3A05_13</vt:lpwstr>
  </op:property>
  <op:property fmtid="{D5CDD505-2E9C-101B-9397-08002B2CF9AE}" pid="4" name="KSOTemplateDocerSaveRecord">
    <vt:lpwstr>eyJoZGlkIjoiNmRlNWVlYTVlZWY1YzFkZWZlZjE4MGRjMzVkOTAzNDEiLCJ1c2VySWQiOiI2Njc5OTA4NTEifQ==</vt:lpwstr>
  </op:property>
  <op:property fmtid="{D5CDD505-2E9C-101B-9397-08002B2CF9AE}" pid="5" name="_IPGFID">
    <vt:lpwstr>[DocID]=7364E7FA-B6AC-44B8-A7AF-981DAC026463</vt:lpwstr>
  </op:property>
  <op:property fmtid="{D5CDD505-2E9C-101B-9397-08002B2CF9AE}" pid="6" name="_IPGFLOW_P-846A_E-1_FP-1_SP-1_CV-70142AE6_CN-2D7FDE03">
    <vt:lpwstr>x1FI1iKnTISZC5VprRp16YiBUAdV52ALrD1PeH27Rpdac++0tippbaye/MeiYSzjuJgr46Wnz4LzNP2UtBJzzMAm2+juCiYc/MrLOVRft+l9t9NdVqVaCfnrGMNkjLDGXxw7PZXxvDSucRTd7bLTYlf5pZaVXiHF8N/eQsT1TfoMER4F3P/nympIKBwVGbMHaoejmFZktMOweXUQaylhv6KoL5nbinDG7hkj8c7g8O6MhjObFX7+bPvNqdTkhhj</vt:lpwstr>
  </op:property>
  <op:property fmtid="{D5CDD505-2E9C-101B-9397-08002B2CF9AE}" pid="7" name="_IPGFLOW_P-846A_E-1_FP-1_SP-2_CV-4C0E9E94_CN-71D81D49">
    <vt:lpwstr>YNobE7AbOzoo7IP3ORdo0nDTXsajMzFfqAXjUVnf//Z8Xj2FmhMIqB7d0qcqOTIa97XcZ0N3sz83f13Qz/0nq1b7/N8rBFsi/b2HAWoy/hfzRDFz6tYrkLNRqCpRwiz6e</vt:lpwstr>
  </op:property>
  <op:property fmtid="{D5CDD505-2E9C-101B-9397-08002B2CF9AE}" pid="8" name="_IPGFLOW_P-846A_E-0_FP-1_CV-1748F583_CN-7C72998D">
    <vt:lpwstr>DPSPMK|3|384|2|0</vt:lpwstr>
  </op:property>
  <op:property fmtid="{D5CDD505-2E9C-101B-9397-08002B2CF9AE}" pid="9" name="_IPGFLOW_P-846A_E-1_FP-2_SP-1_CV-DA22933A_CN-919DC853">
    <vt:lpwstr>x1FI1iKnTISZC5VprRp16eRdzAAoB8uogNLMt+ZcIzE2VefP5PbMFEVsfTTzXKXJzuP+U8aXXtyHDtqF7nulCm/76IuvTBZGrknOOf+XISP1xdm4yJBF5r+vP+clad2stLiRishBLqbH7Oa9mt54MQE+6xwnDb0cD9423IgSlTAAtS5xU4JCgft/OVzbIiGYro20uXkBn90dCwnyYELHHDm/h5bYSTVvYBDR2Llr5EfOcK19PJUOsXJljD3TyK8</vt:lpwstr>
  </op:property>
  <op:property fmtid="{D5CDD505-2E9C-101B-9397-08002B2CF9AE}" pid="10" name="_IPGFLOW_P-846A_E-1_FP-2_SP-2_CV-F451EBE_CN-3F1C95F6">
    <vt:lpwstr>mzaP1LqaB/S5sLnBMjL/JkilDfxekLZ4tQIT3Wql2QOBl0LDBDpHENQ4I9hfQJSfq4h6B1o7z2VHujO2pAfJ6Fr666vtS2XhZY+Eo4Ds/DQ7PAEEIzjPyPqgErp+vDq8X</vt:lpwstr>
  </op:property>
  <op:property fmtid="{D5CDD505-2E9C-101B-9397-08002B2CF9AE}" pid="11" name="_IPGFLOW_P-846A_E-0_FP-2_CV-1748F583_CN-C1B8F543">
    <vt:lpwstr>DPSPMK|3|384|2|0</vt:lpwstr>
  </op:property>
  <op:property fmtid="{D5CDD505-2E9C-101B-9397-08002B2CF9AE}" pid="12" name="_IPGFLOW_P-846A_E-1_FP-3_SP-1_CV-6A9DF277_CN-637BC603">
    <vt:lpwstr>x1FI1iKnTISZC5VprRp16S+Rhd0HU9hpVcXqLOe0z4xOb1KX5JVP3TWZ7dp4eISU803DBl7VQxb3Gfr386tAVuWr0+V5yoGsPNcQ1qXsdzuAc2YMCWaQ91fQg0su9JrPYz7OC2KgIs0hrJnWtHXStF/mB+XBzf4JsiOxtBg+ETx264XETkcPJ9d3ZRqglTrg5SRoHRVt6echKSLuU67bgQOlEtZN6tBszsZkqDXN1+Crl0ugK2+lgMflMDgWCpl</vt:lpwstr>
  </op:property>
  <op:property fmtid="{D5CDD505-2E9C-101B-9397-08002B2CF9AE}" pid="13" name="_IPGFLOW_P-846A_E-1_FP-3_SP-2_CV-D8DFF8B6_CN-AC90DC54">
    <vt:lpwstr>/blrxAHcPTCBLVsW+Bksl+ANF/b3JLA5jQ4C8mMAKbVSMPflXn4lDgDXLgDogWpIeMk3CPks46UOG3LQU10yrWLUgBfTj3lmKUmBD8NkZrsBymJNeUpaS2wiXBJ2Mt64i</vt:lpwstr>
  </op:property>
  <op:property fmtid="{D5CDD505-2E9C-101B-9397-08002B2CF9AE}" pid="14" name="_IPGFLOW_P-846A_E-0_FP-3_CV-1748F583_CN-1C2E2CC6">
    <vt:lpwstr>DPSPMK|3|384|2|0</vt:lpwstr>
  </op:property>
  <op:property fmtid="{D5CDD505-2E9C-101B-9397-08002B2CF9AE}" pid="15" name="_IPGFLOW_P-846A_E-1_FP-4_SP-1_CV-7CFC6AF_CN-28593090">
    <vt:lpwstr>x1FI1iKnTISZC5VprRp16aCGbHdZg7cXVlr94Wcr82jUoZmcu14n7kjAOnP0CHUjTL9y1JMo7hGPTF9XU89ZR+YQD1y4rCd1G2WYuT5N3bHVs2jxeYrKvk7ZN7nDR7h08JcJq0ZvOlKkANcHwNgNEV47Y+FA6g1L+iorJVKxRJRBj7rZRT70DOuh1XS95ofPpxs80Cls7s7ouDphRTuPO7ElofZuuaARm2ADrLSOD6EYG+CHtIgGHvVQlgGSgpg</vt:lpwstr>
  </op:property>
  <op:property fmtid="{D5CDD505-2E9C-101B-9397-08002B2CF9AE}" pid="16" name="_IPGFLOW_P-846A_E-1_FP-4_SP-2_CV-EBC57F37_CN-A6B409EE">
    <vt:lpwstr>4XWLKogJcoXaw3Qy/FlGbRXsyXmZmGe6B0FXJEKLDrkOUGlD3Jkr/pq+8xx5OR+HojfH+hKMycBgcfBVKkA47pybseMBu3kPmEqfzjjrOQ/h6QccZPWyCq+KHTNn4zK1l</vt:lpwstr>
  </op:property>
  <op:property fmtid="{D5CDD505-2E9C-101B-9397-08002B2CF9AE}" pid="17" name="_IPGFLOW_P-846A_E-0_FP-4_CV-1748F583_CN-615D2A9E">
    <vt:lpwstr>DPSPMK|3|384|2|0</vt:lpwstr>
  </op:property>
  <op:property fmtid="{D5CDD505-2E9C-101B-9397-08002B2CF9AE}" pid="18" name="_IPGFLOW_P-846A_E-1_FP-5_SP-1_CV-7A6750EB_CN-A9E11709">
    <vt:lpwstr>uSlQyGhtTOVA4YD2kaB67vgeU3B4IUqClh5ID54inCSQPGPcntX5xtTG8t7wdoS3ik+MYgyZcOsjK5SyJeNgrHg3X48xIexJZI3SQ0/Yw1g5p62BxE38ocpO/M+blh9lP12sEMpbk/JctYpUgmD8+ea3qPhoEYZ06jEfqFP4C8J47U0HIXFkAE0piiHod1Tfgyyzx9DCB+csOC8ATTb1gtidSKkBH5g4jL286x5tS5o2vOqtTlWr8oUlYNs4PvW</vt:lpwstr>
  </op:property>
  <op:property fmtid="{D5CDD505-2E9C-101B-9397-08002B2CF9AE}" pid="19" name="_IPGFLOW_P-846A_E-1_FP-5_SP-2_CV-2C4ECE8E_CN-1D15B1CD">
    <vt:lpwstr>ioHeNllUeiC0jQCfMGYJVTKCjgvWWs7+0T4z6KUgwlC0Q/aOQr4ZPxsociMkd9YaweVGwSBuEiAXKoGC36l/BrASiOfPLRkFhlv4vKcYAgfZoGpIln+U1ZLRO0Ya84A47</vt:lpwstr>
  </op:property>
  <op:property fmtid="{D5CDD505-2E9C-101B-9397-08002B2CF9AE}" pid="20" name="_IPGFLOW_P-846A_E-0_FP-5_CV-1748F583_CN-BCCBF31B">
    <vt:lpwstr>DPSPMK|3|384|2|0</vt:lpwstr>
  </op:property>
  <op:property fmtid="{D5CDD505-2E9C-101B-9397-08002B2CF9AE}" pid="21" name="_IPGFLOW_P-846A_E-1_FP-6_SP-1_CV-C23990DB_CN-ACD3E9C">
    <vt:lpwstr>ZnY6C1W8s1OV9mI1cpK0vI0BgMyvIqlyCJR9kOcGYizm1vdZloJbwnCabYtuyLpE4kGemepE4XF08eXK+CNHiG1z1yGxfl4zbdQ2EyBhjhzu7+mtsJoohUXs0gOWCoO5PUS4rYkmYZgSbV4RSPDuSbjc19/oYEY00QCoe9NPihp1CObNas2kBzQrSNbmacIlHaH3quKEXaJJipI9N8ephzCsgz9i+SXd1wHT4es7jaK3KGuWwdqYZGLjs1lmuPI</vt:lpwstr>
  </op:property>
  <op:property fmtid="{D5CDD505-2E9C-101B-9397-08002B2CF9AE}" pid="22" name="_IPGFLOW_P-846A_E-1_FP-6_SP-2_CV-CD231AA2_CN-4A6D3B6">
    <vt:lpwstr>/lYXM9N+sUyYKlml8zxu6DQgHmxZrnVfnWFFeAQtv7P9oD+LFnquEyR49/xdrRTmxQOlK9v+EeUp2sX6Adrsi4Q/wm6b8r1gGSkX4tUWPgKMk5Oa1Upczk1cdCVAn653k</vt:lpwstr>
  </op:property>
  <op:property fmtid="{D5CDD505-2E9C-101B-9397-08002B2CF9AE}" pid="23" name="_IPGFLOW_P-846A_E-0_FP-6_CV-1748F583_CN-1019FD5">
    <vt:lpwstr>DPSPMK|3|384|2|0</vt:lpwstr>
  </op:property>
  <op:property fmtid="{D5CDD505-2E9C-101B-9397-08002B2CF9AE}" pid="24" name="_IPGFLOW_P-846A_E-1_FP-7_SP-1_CV-D091BE95_CN-53DA96E8">
    <vt:lpwstr>ZnY6C1W8s1OV9mI1cpK0vAvE7fPjgLK6jmAss1YNjViBR4LhuT+ZaAn3gDtIFCo7BEXhsw6LkXxHU7rcFC4LfK/lVNn0feAlvvMn9aiON/jZwAa8LzuqOWF3YutTEu+7lCSq7IAY34MGOcWrAJhEC6ea1iy6VT2ncPauiSL961KA2t/Xo9CgoEC+CA/FM6/gJwTc2L3UjUlk8/iDQycyTkCqPbzjxC7ZjEeve9EoLAcosj/YFTicbhgjuc9tmA3</vt:lpwstr>
  </op:property>
  <op:property fmtid="{D5CDD505-2E9C-101B-9397-08002B2CF9AE}" pid="25" name="_IPGFLOW_P-846A_E-1_FP-7_SP-2_CV-9ADED250_CN-80BE6762">
    <vt:lpwstr>vy81rYDBDHP1ONYMnoSNkif1+sbFLhaprKKZ96tYPSc+5RqlhpnneBXihl7OMwzk7k2ptxSlVmzj8LajUc6eU9lZLvhwqodvXb3SyS9EzDwZMvaxxRhIOHiAXgJEJp+4U</vt:lpwstr>
  </op:property>
  <op:property fmtid="{D5CDD505-2E9C-101B-9397-08002B2CF9AE}" pid="26" name="_IPGFLOW_P-846A_E-0_FP-7_CV-1748F583_CN-DC974650">
    <vt:lpwstr>DPSPMK|3|384|2|0</vt:lpwstr>
  </op:property>
  <op:property fmtid="{D5CDD505-2E9C-101B-9397-08002B2CF9AE}" pid="27" name="_IPGFLOW_P-846A_E-1_FP-8_SP-1_CV-9A71E53F_CN-182094CB">
    <vt:lpwstr>7Y8R1s96B8hR27aYHbRPnblQQnsHYLaqIKLGVgW0UaqyotP5bA+EFV109gnLzSCU6avzTSACtNl4+YhR8Obj8Va9M1f/BerlFPeUelAQzw/+zMCu60XlGvA/XtzLssbIYLwOF0Afepd8b4yKJHF4i3zyJ5u0N8S3S96iOYL4zsh1698X3uQguMV61ZbMdYHNK1k6LWvj8lq7Gakhbb+YgJsbt4AXNoRbGj9JPIRjkGpyNUTdgi1vLF9fY57tS7p</vt:lpwstr>
  </op:property>
  <op:property fmtid="{D5CDD505-2E9C-101B-9397-08002B2CF9AE}" pid="28" name="_IPGFLOW_P-846A_E-1_FP-8_SP-2_CV-1D4BEF4F_CN-5276468">
    <vt:lpwstr>LchRmb7oAgITLaNDX6cDDFk4g3mxV1aN7iN285LMdoo0QImPrQSMtj7nHLLsjtkyuRax9CuBCnOwey/xZBYtXM7864bdzvnTCFAJKTt05pVsNRIW3vC64AiELbfuh0Q9X</vt:lpwstr>
  </op:property>
  <op:property fmtid="{D5CDD505-2E9C-101B-9397-08002B2CF9AE}" pid="29" name="_IPGFLOW_P-846A_E-0_FP-8_CV-1748F583_CN-FBE79365">
    <vt:lpwstr>DPSPMK|3|384|2|0</vt:lpwstr>
  </op:property>
  <op:property fmtid="{D5CDD505-2E9C-101B-9397-08002B2CF9AE}" pid="30" name="_IPGFLOW_P-846A_E-1_FP-9_SP-1_CV-12CE970A_CN-F2D2F7DB">
    <vt:lpwstr>7Y8R1s96B8hR27aYHbRPnQyIAwskbIHB60frZlZwyaRiCHcg/260Mbn28/OoFFQwAEDB0gDuXlyidsb2P/r+NCYsd6Ku6aBA88pX2XX5HFSBnfdH58Ahww7WCoY+evv3ed1NE1e/Z2lkxCD79GKgXCcB/S65mNOp6ZRU9+gDOuhlbCesvuB6qJBE9GyJx7si7eyG2jCxYheNIOBd4H1pJRvSTgxRJPz36xTOS7kZaJo+Wk89ASQAFyHWJPBjHTJ</vt:lpwstr>
  </op:property>
  <op:property fmtid="{D5CDD505-2E9C-101B-9397-08002B2CF9AE}" pid="31" name="_IPGFLOW_P-846A_E-1_FP-9_SP-2_CV-FC16FB34_CN-312E22D7">
    <vt:lpwstr>FjBJGDTWzOpQ+V8gcpBlkA7jxnfr5G7CqxugD+eARxowQXw9Vy84cahUvwRi80lGTwXn9L62AsmEy7ktPGNp/Vd79qcg4r+nKafNE+ZkP4aTX0Z1YuB/4O6LUGkyrjF3z</vt:lpwstr>
  </op:property>
  <op:property fmtid="{D5CDD505-2E9C-101B-9397-08002B2CF9AE}" pid="32" name="_IPGFLOW_P-846A_E-0_FP-9_CV-1748F583_CN-26714AE0">
    <vt:lpwstr>DPSPMK|3|384|2|0</vt:lpwstr>
  </op:property>
  <op:property fmtid="{D5CDD505-2E9C-101B-9397-08002B2CF9AE}" pid="33" name="_IPGFLOW_P-846A_E-1_FP-A_SP-1_CV-15696062_CN-4CFBE37E">
    <vt:lpwstr>7Y8R1s96B8hR27aYHbRPnTQ/0l2McD43/m8S6ryWnv7Ibuxqv0/SMoAKSNqRyZk5LFBGUZXPXoALohbJ53RPkvFowV11mhL8In2yTThuto4j4HKdip9npo8AirPgnDcEcVlBK7Y5HncX7k16mcJp468zmJvxROy0fc1cyshXsPKHAeZQWkVTKyQmaIV0tknC9KNrwn/IeTmWz8t9+LoFhIdqw5fxxhOcKuRSuFaZdkIY9+N3nNA2Bhw2h0L9Hjd</vt:lpwstr>
  </op:property>
  <op:property fmtid="{D5CDD505-2E9C-101B-9397-08002B2CF9AE}" pid="34" name="_IPGFLOW_P-846A_E-1_FP-A_SP-2_CV-9E20CE8D_CN-710367DB">
    <vt:lpwstr>ryb1oR/aTDKb+V0TCFVyEEcMS3aaI62rhUMma3gIq1NLGfs0e1mzO3RUBwOue+vtwQ0ym3DBUIdZJeU9wlFU+TBJcTC4HwF/vMl9nM5TJGnyu+++iLcg6ECOL0sz/vZxE</vt:lpwstr>
  </op:property>
  <op:property fmtid="{D5CDD505-2E9C-101B-9397-08002B2CF9AE}" pid="35" name="_IPGFLOW_P-846A_E-0_FP-A_CV-1748F583_CN-C686E509">
    <vt:lpwstr>DPSPMK|3|384|2|0</vt:lpwstr>
  </op:property>
  <op:property fmtid="{D5CDD505-2E9C-101B-9397-08002B2CF9AE}" pid="36" name="_IPGFLOW_P-846A_E-1_FP-B_SP-1_CV-B9A3BD9_CN-C81ABC28">
    <vt:lpwstr>7Y8R1s96B8hR27aYHbRPnfYwTs+KnsDZzUcAd40wLzNJzO3wcodt8oX73Vm37u2x0FAfYqvErsxm0hZpsdIWJuMcq6mmG31EGg9F32U5MlL543IHasQ1Ks3x/JmSnmm/bQD2gnWoA4G+b9pRf3U05aoAMWlLPjCfVaWinCpVG2T7+TQtkGLh0Z9brIhT9zPRp/hYAvVdjZdHcjKs4lS7/ST4gP6svfhkLwlgtZDe2OErVpBuM9M2wY805Urx82d</vt:lpwstr>
  </op:property>
  <op:property fmtid="{D5CDD505-2E9C-101B-9397-08002B2CF9AE}" pid="37" name="_IPGFLOW_P-846A_E-1_FP-B_SP-2_CV-E95B77B2_CN-A3BC9AE">
    <vt:lpwstr>HUDqPtIgUnRkkkOefDWSbf0E1okSq/4Et47XD0x/za0JXgobfgALZPpDhHhilUyh52mu2GPWzofM5dG/YksdJwVyPC32kp5Cw07tHdxG+7tJeTzVpzz6cAPRIjzi4bu/2</vt:lpwstr>
  </op:property>
  <op:property fmtid="{D5CDD505-2E9C-101B-9397-08002B2CF9AE}" pid="38" name="_IPGFLOW_P-846A_E-0_FP-B_CV-1748F583_CN-7B4C89C7">
    <vt:lpwstr>DPSPMK|3|384|2|0</vt:lpwstr>
  </op:property>
  <op:property fmtid="{D5CDD505-2E9C-101B-9397-08002B2CF9AE}" pid="39" name="_IPGLAB_P-846A_E-1_CV-88362C02_CN-B74266EB">
    <vt:lpwstr>JM8/Rof+jgQCZ1KnQuUr1LazZkIaXh7IK00DwjFEIsXen0Xm9SXj+GMHye8uYf79lrsUsbgFXed9ZVm+LaOTF3iiJP3Ze4+wnsB6NVhNU8Y=</vt:lpwstr>
  </op:property>
  <op:property fmtid="{D5CDD505-2E9C-101B-9397-08002B2CF9AE}" pid="40" name="_IPGFLOW_P-846A_E-0_CV-7B2783BD_CN-56EFC1B4">
    <vt:lpwstr>DPFPMK|3|50|12|0</vt:lpwstr>
  </op:property>
  <op:property fmtid="{D5CDD505-2E9C-101B-9397-08002B2CF9AE}" pid="41" name="_IPGFLOW_P-846A_E-1_FP-C_SP-1_CV-3E9B1E0E_CN-CFE0EDBB">
    <vt:lpwstr>7Y8R1s96B8hR27aYHbRPnS9VYUw06wwBUgesmHMysie7QZfMpQww69X85mW+wW4urCGSVI3p5rmEBhsLtkcNdb8OrYT1I+roip5RHkLagAqi2bCigCINtsaM8/iLH2ja3XzH+SDqsCqLKZmhWK9puWVetIO33BCWor5gNNSr0VnYpn1JqPaXZygPhTzD3SkguTFiHgPFheUyGlkUx1eHyHlMH7LjSv+j+WDMJt5k/E2EQBclVDng1m3Wa/+yGqi</vt:lpwstr>
  </op:property>
  <op:property fmtid="{D5CDD505-2E9C-101B-9397-08002B2CF9AE}" pid="42" name="_IPGFLOW_P-846A_E-1_FP-C_SP-2_CV-496565B_CN-7B080306">
    <vt:lpwstr>DNp5ztHowJ+oZTkGCeaXBjjknUMYwt2LwEwESb75r3R4xaqJnW2YxqALzATVIeLFv9Yh563IjWnqMpKpr10w3621cQ2MoBCREf+asafadMKxE+iOnDEePM6cxNQFcYyeH</vt:lpwstr>
  </op:property>
  <op:property fmtid="{D5CDD505-2E9C-101B-9397-08002B2CF9AE}" pid="43" name="_IPGFLOW_P-846A_E-0_FP-C_CV-1748F583_CN-A6DA5042">
    <vt:lpwstr>DPSPMK|3|384|2|0</vt:lpwstr>
  </op:property>
</op:Properties>
</file>