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B1264">
      <w:pPr>
        <w:spacing w:before="156" w:beforeLines="50" w:after="156" w:afterLines="50" w:line="400" w:lineRule="exact"/>
        <w:rPr>
          <w:rFonts w:hint="eastAsia" w:ascii="宋体" w:hAnsi="宋体"/>
          <w:bCs/>
          <w:iCs/>
          <w:color w:val="000000"/>
          <w:sz w:val="24"/>
          <w:szCs w:val="22"/>
        </w:rPr>
      </w:pPr>
      <w:r>
        <w:rPr>
          <w:rFonts w:hint="eastAsia" w:ascii="宋体" w:hAnsi="宋体"/>
          <w:bCs/>
          <w:iCs/>
          <w:color w:val="000000"/>
          <w:sz w:val="24"/>
          <w:szCs w:val="22"/>
        </w:rPr>
        <w:t>证券代码：</w:t>
      </w:r>
      <w:r>
        <w:rPr>
          <w:rFonts w:ascii="宋体" w:hAnsi="宋体"/>
          <w:bCs/>
          <w:iCs/>
          <w:color w:val="000000"/>
          <w:sz w:val="24"/>
          <w:szCs w:val="22"/>
        </w:rPr>
        <w:t>688361</w:t>
      </w:r>
      <w:r>
        <w:rPr>
          <w:rFonts w:hint="eastAsia" w:ascii="宋体" w:hAnsi="宋体"/>
          <w:bCs/>
          <w:iCs/>
          <w:color w:val="000000"/>
          <w:sz w:val="24"/>
          <w:szCs w:val="22"/>
        </w:rPr>
        <w:t xml:space="preserve">                         </w:t>
      </w:r>
      <w:r>
        <w:rPr>
          <w:rFonts w:ascii="宋体" w:hAnsi="宋体"/>
          <w:bCs/>
          <w:iCs/>
          <w:color w:val="000000"/>
          <w:sz w:val="24"/>
          <w:szCs w:val="22"/>
        </w:rPr>
        <w:t xml:space="preserve">        </w:t>
      </w:r>
      <w:r>
        <w:rPr>
          <w:rFonts w:hint="eastAsia" w:ascii="宋体" w:hAnsi="宋体"/>
          <w:bCs/>
          <w:iCs/>
          <w:color w:val="000000"/>
          <w:sz w:val="24"/>
          <w:szCs w:val="22"/>
        </w:rPr>
        <w:t>证券简称：中科飞测</w:t>
      </w:r>
    </w:p>
    <w:p w14:paraId="1F7D584D">
      <w:pPr>
        <w:spacing w:line="360" w:lineRule="auto"/>
        <w:ind w:firstLine="482" w:firstLineChars="200"/>
        <w:jc w:val="center"/>
        <w:rPr>
          <w:rFonts w:hint="eastAsia" w:ascii="宋体" w:hAnsi="宋体"/>
          <w:b/>
          <w:bCs/>
          <w:iCs/>
          <w:color w:val="000000"/>
          <w:sz w:val="24"/>
        </w:rPr>
      </w:pPr>
      <w:r>
        <w:rPr>
          <w:rFonts w:hint="eastAsia" w:ascii="宋体" w:hAnsi="宋体"/>
          <w:b/>
          <w:bCs/>
          <w:iCs/>
          <w:color w:val="000000"/>
          <w:sz w:val="24"/>
        </w:rPr>
        <w:t>深圳中科飞测科技股份有限公司投资者关系活动记录表</w:t>
      </w:r>
    </w:p>
    <w:p w14:paraId="26B150E0">
      <w:pPr>
        <w:spacing w:line="400" w:lineRule="exact"/>
        <w:ind w:firstLine="480" w:firstLineChars="200"/>
        <w:rPr>
          <w:bCs/>
          <w:iCs/>
          <w:color w:val="000000"/>
          <w:sz w:val="24"/>
        </w:rPr>
      </w:pPr>
      <w:r>
        <w:rPr>
          <w:rFonts w:hint="eastAsia" w:ascii="宋体" w:hAnsi="宋体"/>
          <w:bCs/>
          <w:iCs/>
          <w:color w:val="000000"/>
          <w:sz w:val="24"/>
        </w:rPr>
        <w:t xml:space="preserve">                                                   </w:t>
      </w:r>
      <w:r>
        <w:rPr>
          <w:bCs/>
          <w:iCs/>
          <w:color w:val="000000"/>
          <w:sz w:val="24"/>
        </w:rPr>
        <w:t>编号：202</w:t>
      </w:r>
      <w:r>
        <w:rPr>
          <w:rFonts w:hint="eastAsia"/>
          <w:bCs/>
          <w:iCs/>
          <w:color w:val="000000"/>
          <w:sz w:val="24"/>
        </w:rPr>
        <w:t>6</w:t>
      </w:r>
      <w:r>
        <w:rPr>
          <w:bCs/>
          <w:iCs/>
          <w:color w:val="000000"/>
          <w:sz w:val="24"/>
        </w:rPr>
        <w:t>-00</w:t>
      </w:r>
      <w:r>
        <w:rPr>
          <w:rFonts w:hint="eastAsia"/>
          <w:bCs/>
          <w:iCs/>
          <w:color w:val="000000"/>
          <w:sz w:val="24"/>
        </w:rPr>
        <w:t>3</w:t>
      </w:r>
    </w:p>
    <w:tbl>
      <w:tblPr>
        <w:tblStyle w:val="13"/>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6614"/>
      </w:tblGrid>
      <w:tr w14:paraId="31821E11">
        <w:tblPrEx>
          <w:tblLayout w:type="fixed"/>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7B785F1D">
            <w:pPr>
              <w:rPr>
                <w:bCs/>
                <w:iCs/>
                <w:color w:val="000000"/>
                <w:szCs w:val="21"/>
              </w:rPr>
            </w:pPr>
            <w:r>
              <w:rPr>
                <w:rFonts w:hint="eastAsia"/>
                <w:bCs/>
                <w:iCs/>
                <w:color w:val="000000"/>
                <w:szCs w:val="21"/>
              </w:rPr>
              <w:t>投资者关系活动类别</w:t>
            </w:r>
          </w:p>
        </w:tc>
        <w:tc>
          <w:tcPr>
            <w:tcW w:w="6614" w:type="dxa"/>
            <w:tcBorders>
              <w:top w:val="single" w:color="auto" w:sz="4" w:space="0"/>
              <w:left w:val="single" w:color="auto" w:sz="4" w:space="0"/>
              <w:bottom w:val="single" w:color="auto" w:sz="4" w:space="0"/>
              <w:right w:val="single" w:color="auto" w:sz="4" w:space="0"/>
            </w:tcBorders>
          </w:tcPr>
          <w:p w14:paraId="53E5CF26">
            <w:pPr>
              <w:spacing w:line="480" w:lineRule="atLeast"/>
              <w:rPr>
                <w:bCs/>
                <w:iCs/>
                <w:color w:val="000000"/>
                <w:szCs w:val="21"/>
              </w:rPr>
            </w:pPr>
            <w:r>
              <w:rPr>
                <w:rFonts w:hint="eastAsia"/>
                <w:bCs/>
                <w:iCs/>
                <w:color w:val="000000"/>
                <w:szCs w:val="21"/>
              </w:rPr>
              <w:t>☑</w:t>
            </w:r>
            <w:r>
              <w:rPr>
                <w:rFonts w:hint="eastAsia"/>
                <w:szCs w:val="21"/>
              </w:rPr>
              <w:t xml:space="preserve">特定对象调研        </w:t>
            </w:r>
            <w:r>
              <w:rPr>
                <w:rFonts w:hint="eastAsia"/>
                <w:bCs/>
                <w:iCs/>
                <w:color w:val="000000"/>
                <w:szCs w:val="21"/>
              </w:rPr>
              <w:t>□</w:t>
            </w:r>
            <w:r>
              <w:rPr>
                <w:rFonts w:hint="eastAsia"/>
                <w:szCs w:val="21"/>
              </w:rPr>
              <w:t>分析师会议</w:t>
            </w:r>
          </w:p>
          <w:p w14:paraId="3248C923">
            <w:pPr>
              <w:spacing w:line="480" w:lineRule="atLeast"/>
              <w:rPr>
                <w:bCs/>
                <w:iCs/>
                <w:color w:val="000000"/>
                <w:szCs w:val="21"/>
              </w:rPr>
            </w:pPr>
            <w:r>
              <w:rPr>
                <w:rFonts w:hint="eastAsia"/>
                <w:bCs/>
                <w:iCs/>
                <w:color w:val="000000"/>
                <w:szCs w:val="21"/>
              </w:rPr>
              <w:t>□</w:t>
            </w:r>
            <w:r>
              <w:rPr>
                <w:rFonts w:hint="eastAsia"/>
                <w:szCs w:val="21"/>
              </w:rPr>
              <w:t xml:space="preserve">媒体采访            </w:t>
            </w:r>
            <w:r>
              <w:rPr>
                <w:rFonts w:hint="eastAsia"/>
                <w:bCs/>
                <w:iCs/>
                <w:color w:val="000000"/>
                <w:szCs w:val="21"/>
              </w:rPr>
              <w:t>□</w:t>
            </w:r>
            <w:r>
              <w:rPr>
                <w:rFonts w:hint="eastAsia"/>
                <w:szCs w:val="21"/>
              </w:rPr>
              <w:t>业绩说明会</w:t>
            </w:r>
          </w:p>
          <w:p w14:paraId="2D58FF82">
            <w:pPr>
              <w:spacing w:line="480" w:lineRule="atLeast"/>
              <w:rPr>
                <w:bCs/>
                <w:iCs/>
                <w:color w:val="000000"/>
                <w:szCs w:val="21"/>
              </w:rPr>
            </w:pPr>
            <w:r>
              <w:rPr>
                <w:rFonts w:hint="eastAsia"/>
                <w:bCs/>
                <w:iCs/>
                <w:color w:val="000000"/>
                <w:szCs w:val="21"/>
              </w:rPr>
              <w:t>□</w:t>
            </w:r>
            <w:r>
              <w:rPr>
                <w:rFonts w:hint="eastAsia"/>
                <w:szCs w:val="21"/>
              </w:rPr>
              <w:t xml:space="preserve">新闻发布会          </w:t>
            </w:r>
            <w:r>
              <w:rPr>
                <w:rFonts w:hint="eastAsia"/>
                <w:bCs/>
                <w:iCs/>
                <w:color w:val="000000"/>
                <w:szCs w:val="21"/>
              </w:rPr>
              <w:t>□</w:t>
            </w:r>
            <w:r>
              <w:rPr>
                <w:rFonts w:hint="eastAsia"/>
                <w:szCs w:val="21"/>
              </w:rPr>
              <w:t>路演活动</w:t>
            </w:r>
          </w:p>
          <w:p w14:paraId="4A4EF61E">
            <w:pPr>
              <w:tabs>
                <w:tab w:val="left" w:pos="3045"/>
                <w:tab w:val="center" w:pos="3199"/>
              </w:tabs>
              <w:spacing w:line="480" w:lineRule="atLeast"/>
              <w:rPr>
                <w:bCs/>
                <w:iCs/>
                <w:color w:val="000000"/>
                <w:szCs w:val="21"/>
              </w:rPr>
            </w:pPr>
            <w:r>
              <w:rPr>
                <w:rFonts w:hint="eastAsia"/>
                <w:bCs/>
                <w:iCs/>
                <w:color w:val="000000"/>
                <w:szCs w:val="21"/>
              </w:rPr>
              <w:t>□</w:t>
            </w:r>
            <w:r>
              <w:rPr>
                <w:rFonts w:hint="eastAsia"/>
                <w:szCs w:val="21"/>
              </w:rPr>
              <w:t>现场参观</w:t>
            </w:r>
            <w:r>
              <w:rPr>
                <w:rFonts w:hint="eastAsia"/>
                <w:bCs/>
                <w:iCs/>
                <w:color w:val="000000"/>
                <w:szCs w:val="21"/>
              </w:rPr>
              <w:tab/>
            </w:r>
          </w:p>
          <w:p w14:paraId="5244B936">
            <w:pPr>
              <w:tabs>
                <w:tab w:val="center" w:pos="3199"/>
              </w:tabs>
              <w:spacing w:line="480" w:lineRule="atLeast"/>
              <w:rPr>
                <w:bCs/>
                <w:iCs/>
                <w:color w:val="000000"/>
                <w:szCs w:val="21"/>
              </w:rPr>
            </w:pPr>
            <w:r>
              <w:rPr>
                <w:rFonts w:hint="eastAsia"/>
                <w:bCs/>
                <w:iCs/>
                <w:color w:val="000000"/>
                <w:szCs w:val="21"/>
              </w:rPr>
              <w:t>□</w:t>
            </w:r>
            <w:r>
              <w:rPr>
                <w:rFonts w:hint="eastAsia"/>
                <w:szCs w:val="21"/>
              </w:rPr>
              <w:t xml:space="preserve">其他 </w:t>
            </w:r>
            <w:r>
              <w:rPr>
                <w:rFonts w:hint="eastAsia"/>
                <w:szCs w:val="21"/>
                <w:u w:val="single"/>
              </w:rPr>
              <w:t>（电话会议）</w:t>
            </w:r>
          </w:p>
        </w:tc>
      </w:tr>
      <w:tr w14:paraId="38CF4D2D">
        <w:tblPrEx>
          <w:tblLayout w:type="fixed"/>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67C836A8">
            <w:pPr>
              <w:spacing w:line="360" w:lineRule="auto"/>
              <w:rPr>
                <w:bCs/>
                <w:iCs/>
                <w:color w:val="000000"/>
                <w:szCs w:val="21"/>
              </w:rPr>
            </w:pPr>
            <w:r>
              <w:rPr>
                <w:rFonts w:hint="eastAsia"/>
                <w:bCs/>
                <w:iCs/>
                <w:color w:val="000000"/>
                <w:szCs w:val="21"/>
              </w:rPr>
              <w:t>参与单位名称</w:t>
            </w:r>
          </w:p>
        </w:tc>
        <w:tc>
          <w:tcPr>
            <w:tcW w:w="6614" w:type="dxa"/>
            <w:tcBorders>
              <w:top w:val="single" w:color="auto" w:sz="4" w:space="0"/>
              <w:left w:val="single" w:color="auto" w:sz="4" w:space="0"/>
              <w:bottom w:val="single" w:color="auto" w:sz="4" w:space="0"/>
              <w:right w:val="single" w:color="auto" w:sz="4" w:space="0"/>
            </w:tcBorders>
            <w:vAlign w:val="center"/>
          </w:tcPr>
          <w:p w14:paraId="39020624">
            <w:pPr>
              <w:rPr>
                <w:bCs/>
                <w:iCs/>
                <w:color w:val="000000"/>
                <w:szCs w:val="21"/>
              </w:rPr>
            </w:pPr>
            <w:r>
              <w:rPr>
                <w:bCs/>
                <w:iCs/>
                <w:color w:val="000000"/>
                <w:szCs w:val="21"/>
              </w:rPr>
              <w:t>详见附件 1《与会单位名单》</w:t>
            </w:r>
          </w:p>
        </w:tc>
      </w:tr>
      <w:tr w14:paraId="1E7CC860">
        <w:tblPrEx>
          <w:tblLayout w:type="fixed"/>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03D08DE5">
            <w:pPr>
              <w:spacing w:line="360" w:lineRule="auto"/>
              <w:rPr>
                <w:bCs/>
                <w:iCs/>
                <w:color w:val="000000"/>
                <w:szCs w:val="21"/>
              </w:rPr>
            </w:pPr>
            <w:r>
              <w:rPr>
                <w:rFonts w:hint="eastAsia"/>
                <w:bCs/>
                <w:iCs/>
                <w:color w:val="000000"/>
                <w:szCs w:val="21"/>
              </w:rPr>
              <w:t>时间</w:t>
            </w:r>
          </w:p>
        </w:tc>
        <w:tc>
          <w:tcPr>
            <w:tcW w:w="6614" w:type="dxa"/>
            <w:tcBorders>
              <w:top w:val="single" w:color="auto" w:sz="4" w:space="0"/>
              <w:left w:val="single" w:color="auto" w:sz="4" w:space="0"/>
              <w:bottom w:val="single" w:color="auto" w:sz="4" w:space="0"/>
              <w:right w:val="single" w:color="auto" w:sz="4" w:space="0"/>
            </w:tcBorders>
            <w:vAlign w:val="center"/>
          </w:tcPr>
          <w:p w14:paraId="72E035CC">
            <w:pPr>
              <w:rPr>
                <w:bCs/>
                <w:iCs/>
                <w:color w:val="000000"/>
                <w:szCs w:val="21"/>
              </w:rPr>
            </w:pPr>
            <w:r>
              <w:rPr>
                <w:bCs/>
                <w:iCs/>
                <w:color w:val="000000"/>
                <w:szCs w:val="21"/>
              </w:rPr>
              <w:t>202</w:t>
            </w:r>
            <w:r>
              <w:rPr>
                <w:rFonts w:hint="eastAsia"/>
                <w:bCs/>
                <w:iCs/>
                <w:color w:val="000000"/>
                <w:szCs w:val="21"/>
              </w:rPr>
              <w:t>6</w:t>
            </w:r>
            <w:r>
              <w:rPr>
                <w:bCs/>
                <w:iCs/>
                <w:color w:val="000000"/>
                <w:szCs w:val="21"/>
              </w:rPr>
              <w:t>年</w:t>
            </w:r>
            <w:r>
              <w:rPr>
                <w:rFonts w:hint="eastAsia"/>
                <w:bCs/>
                <w:iCs/>
                <w:color w:val="000000"/>
                <w:szCs w:val="21"/>
              </w:rPr>
              <w:t>8</w:t>
            </w:r>
            <w:r>
              <w:rPr>
                <w:bCs/>
                <w:iCs/>
                <w:color w:val="000000"/>
                <w:szCs w:val="21"/>
              </w:rPr>
              <w:t>月</w:t>
            </w:r>
            <w:r>
              <w:rPr>
                <w:rFonts w:hint="eastAsia"/>
                <w:bCs/>
                <w:iCs/>
                <w:color w:val="000000"/>
                <w:szCs w:val="21"/>
              </w:rPr>
              <w:t>31</w:t>
            </w:r>
            <w:r>
              <w:rPr>
                <w:bCs/>
                <w:iCs/>
                <w:color w:val="000000"/>
                <w:szCs w:val="21"/>
              </w:rPr>
              <w:t>日</w:t>
            </w:r>
            <w:r>
              <w:rPr>
                <w:rFonts w:hint="eastAsia"/>
                <w:bCs/>
                <w:iCs/>
                <w:color w:val="000000"/>
                <w:szCs w:val="21"/>
              </w:rPr>
              <w:t>- 9月10日</w:t>
            </w:r>
          </w:p>
        </w:tc>
      </w:tr>
      <w:tr w14:paraId="6B648872">
        <w:tblPrEx>
          <w:tblLayout w:type="fixed"/>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341FC8B1">
            <w:pPr>
              <w:spacing w:line="360" w:lineRule="auto"/>
              <w:rPr>
                <w:bCs/>
                <w:iCs/>
                <w:color w:val="000000"/>
                <w:szCs w:val="21"/>
              </w:rPr>
            </w:pPr>
            <w:r>
              <w:rPr>
                <w:rFonts w:hint="eastAsia"/>
                <w:bCs/>
                <w:iCs/>
                <w:color w:val="000000"/>
                <w:szCs w:val="21"/>
              </w:rPr>
              <w:t>地点</w:t>
            </w:r>
          </w:p>
        </w:tc>
        <w:tc>
          <w:tcPr>
            <w:tcW w:w="6614" w:type="dxa"/>
            <w:tcBorders>
              <w:top w:val="single" w:color="auto" w:sz="4" w:space="0"/>
              <w:left w:val="single" w:color="auto" w:sz="4" w:space="0"/>
              <w:bottom w:val="single" w:color="auto" w:sz="4" w:space="0"/>
              <w:right w:val="single" w:color="auto" w:sz="4" w:space="0"/>
            </w:tcBorders>
            <w:vAlign w:val="center"/>
          </w:tcPr>
          <w:p w14:paraId="42630285">
            <w:pPr>
              <w:rPr>
                <w:bCs/>
                <w:iCs/>
                <w:color w:val="000000"/>
                <w:szCs w:val="21"/>
              </w:rPr>
            </w:pPr>
            <w:r>
              <w:rPr>
                <w:rFonts w:hint="eastAsia"/>
                <w:bCs/>
                <w:iCs/>
                <w:color w:val="000000"/>
                <w:szCs w:val="21"/>
              </w:rPr>
              <w:t>深圳、上海、无锡线下会议</w:t>
            </w:r>
          </w:p>
        </w:tc>
      </w:tr>
      <w:tr w14:paraId="1DC9CDA6">
        <w:tblPrEx>
          <w:tblLayout w:type="fixed"/>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0AD37F58">
            <w:pPr>
              <w:rPr>
                <w:bCs/>
                <w:iCs/>
                <w:color w:val="000000"/>
                <w:szCs w:val="21"/>
              </w:rPr>
            </w:pPr>
            <w:r>
              <w:rPr>
                <w:rFonts w:hint="eastAsia"/>
                <w:bCs/>
                <w:iCs/>
                <w:color w:val="000000"/>
                <w:szCs w:val="21"/>
              </w:rPr>
              <w:t>上市公司接待人员姓名</w:t>
            </w:r>
          </w:p>
        </w:tc>
        <w:tc>
          <w:tcPr>
            <w:tcW w:w="6614" w:type="dxa"/>
            <w:tcBorders>
              <w:top w:val="single" w:color="auto" w:sz="4" w:space="0"/>
              <w:left w:val="single" w:color="auto" w:sz="4" w:space="0"/>
              <w:bottom w:val="single" w:color="auto" w:sz="4" w:space="0"/>
              <w:right w:val="single" w:color="auto" w:sz="4" w:space="0"/>
            </w:tcBorders>
          </w:tcPr>
          <w:p w14:paraId="005A2854">
            <w:pPr>
              <w:spacing w:line="480" w:lineRule="atLeast"/>
              <w:rPr>
                <w:bCs/>
                <w:iCs/>
                <w:color w:val="000000"/>
                <w:szCs w:val="21"/>
              </w:rPr>
            </w:pPr>
            <w:r>
              <w:rPr>
                <w:rFonts w:hint="eastAsia"/>
                <w:bCs/>
                <w:iCs/>
                <w:color w:val="000000"/>
                <w:szCs w:val="21"/>
              </w:rPr>
              <w:t>黄茵 证券事务专员</w:t>
            </w:r>
          </w:p>
        </w:tc>
      </w:tr>
      <w:tr w14:paraId="2C447277">
        <w:tblPrEx>
          <w:tblLayout w:type="fixed"/>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73E684F5">
            <w:pPr>
              <w:spacing w:line="360" w:lineRule="auto"/>
              <w:rPr>
                <w:color w:val="000000"/>
                <w:szCs w:val="21"/>
              </w:rPr>
            </w:pPr>
            <w:r>
              <w:rPr>
                <w:rFonts w:hint="eastAsia"/>
                <w:color w:val="000000"/>
                <w:szCs w:val="21"/>
              </w:rPr>
              <w:t>投资者关系活动主要内容介绍</w:t>
            </w:r>
          </w:p>
        </w:tc>
        <w:tc>
          <w:tcPr>
            <w:tcW w:w="6614" w:type="dxa"/>
            <w:tcBorders>
              <w:top w:val="single" w:color="auto" w:sz="4" w:space="0"/>
              <w:left w:val="single" w:color="auto" w:sz="4" w:space="0"/>
              <w:bottom w:val="single" w:color="auto" w:sz="4" w:space="0"/>
              <w:right w:val="single" w:color="auto" w:sz="4" w:space="0"/>
            </w:tcBorders>
          </w:tcPr>
          <w:p w14:paraId="112A7AFC">
            <w:pPr>
              <w:numPr>
                <w:ilvl w:val="0"/>
                <w:numId w:val="1"/>
              </w:numPr>
              <w:spacing w:line="360" w:lineRule="auto"/>
              <w:ind w:firstLine="422" w:firstLineChars="200"/>
              <w:rPr>
                <w:b/>
                <w:szCs w:val="21"/>
                <w:highlight w:val="none"/>
              </w:rPr>
            </w:pPr>
            <w:r>
              <w:rPr>
                <w:rFonts w:hint="eastAsia"/>
                <w:b/>
                <w:szCs w:val="21"/>
                <w:highlight w:val="none"/>
              </w:rPr>
              <w:t>关于2026年上半年收入和订单构成情况。</w:t>
            </w:r>
          </w:p>
          <w:p w14:paraId="1E301B85">
            <w:pPr>
              <w:spacing w:line="360" w:lineRule="auto"/>
              <w:ind w:firstLine="420" w:firstLineChars="200"/>
              <w:rPr>
                <w:szCs w:val="21"/>
                <w:highlight w:val="none"/>
              </w:rPr>
            </w:pPr>
            <w:r>
              <w:rPr>
                <w:rFonts w:hint="eastAsia"/>
                <w:szCs w:val="21"/>
                <w:highlight w:val="none"/>
              </w:rPr>
              <w:t>答：</w:t>
            </w:r>
          </w:p>
          <w:p w14:paraId="28EEE081">
            <w:pPr>
              <w:spacing w:line="360" w:lineRule="auto"/>
              <w:ind w:firstLine="420" w:firstLineChars="200"/>
              <w:rPr>
                <w:szCs w:val="21"/>
                <w:highlight w:val="none"/>
              </w:rPr>
            </w:pPr>
            <w:r>
              <w:rPr>
                <w:rFonts w:hint="eastAsia"/>
                <w:szCs w:val="21"/>
                <w:highlight w:val="none"/>
              </w:rPr>
              <w:t>2026年上半年，公司收入及订单结构整体正在发生积极变化：</w:t>
            </w:r>
          </w:p>
          <w:p w14:paraId="23CE0E42">
            <w:pPr>
              <w:numPr>
                <w:ilvl w:val="0"/>
                <w:numId w:val="2"/>
              </w:numPr>
              <w:spacing w:line="360" w:lineRule="auto"/>
              <w:ind w:firstLine="420" w:firstLineChars="200"/>
              <w:rPr>
                <w:szCs w:val="21"/>
                <w:highlight w:val="none"/>
              </w:rPr>
            </w:pPr>
            <w:r>
              <w:rPr>
                <w:rFonts w:hint="eastAsia"/>
                <w:szCs w:val="21"/>
                <w:highlight w:val="none"/>
              </w:rPr>
              <w:t>产品结构方面，新产品暗场纳米图形晶圆缺陷检测设备自2025年末以来，持续通过多家国内头部逻辑、存储以及先进封装客户验证并实现销售，成为上半年收入以及订单的重要增长引擎，成为订单结构中占比最大的产品；另外面向先进制程的明场纳米图形晶圆缺陷检测设备获得头部客户的部分订单，其他系列产品订单占比被不同程度稀释。</w:t>
            </w:r>
          </w:p>
          <w:p w14:paraId="05D72587">
            <w:pPr>
              <w:numPr>
                <w:ilvl w:val="0"/>
                <w:numId w:val="2"/>
              </w:numPr>
              <w:spacing w:line="360" w:lineRule="auto"/>
              <w:ind w:firstLine="420" w:firstLineChars="200"/>
              <w:rPr>
                <w:szCs w:val="21"/>
                <w:highlight w:val="none"/>
              </w:rPr>
            </w:pPr>
            <w:r>
              <w:rPr>
                <w:rFonts w:hint="eastAsia"/>
                <w:szCs w:val="21"/>
                <w:highlight w:val="none"/>
              </w:rPr>
              <w:t>客户结构方面，受2025年HBM、2.5D/3D封装订单集中确认收入影响，先进封装收入占比阶段性超过35%；订单方面，前道制程在订单结构中占比超过80%，其中存储占比显著提升，全年前道制程的收入占比预计逐步回升至正常水平。</w:t>
            </w:r>
          </w:p>
          <w:p w14:paraId="2AF70325">
            <w:pPr>
              <w:numPr>
                <w:ilvl w:val="0"/>
                <w:numId w:val="2"/>
              </w:numPr>
              <w:spacing w:line="360" w:lineRule="auto"/>
              <w:ind w:firstLine="420" w:firstLineChars="200"/>
              <w:rPr>
                <w:szCs w:val="21"/>
                <w:highlight w:val="none"/>
              </w:rPr>
            </w:pPr>
            <w:r>
              <w:rPr>
                <w:rFonts w:hint="eastAsia"/>
                <w:szCs w:val="21"/>
                <w:highlight w:val="none"/>
              </w:rPr>
              <w:t>工艺节点方面，先进制程收入占比约60%，在订单结构中占比超过了80%，未来先进制程的收入贡献有望进一步增长。</w:t>
            </w:r>
          </w:p>
          <w:p w14:paraId="14C0C063">
            <w:pPr>
              <w:spacing w:line="360" w:lineRule="auto"/>
              <w:rPr>
                <w:szCs w:val="21"/>
                <w:highlight w:val="none"/>
              </w:rPr>
            </w:pPr>
          </w:p>
          <w:p w14:paraId="4B01C10A">
            <w:pPr>
              <w:numPr>
                <w:ilvl w:val="0"/>
                <w:numId w:val="1"/>
              </w:numPr>
              <w:spacing w:line="360" w:lineRule="auto"/>
              <w:ind w:firstLine="422" w:firstLineChars="200"/>
              <w:rPr>
                <w:b/>
                <w:szCs w:val="21"/>
                <w:highlight w:val="none"/>
              </w:rPr>
            </w:pPr>
            <w:r>
              <w:rPr>
                <w:rFonts w:hint="eastAsia"/>
                <w:b/>
                <w:szCs w:val="21"/>
                <w:highlight w:val="none"/>
              </w:rPr>
              <w:t>关于新产品验证进展。</w:t>
            </w:r>
          </w:p>
          <w:p w14:paraId="350E3E9E">
            <w:pPr>
              <w:spacing w:line="360" w:lineRule="auto"/>
              <w:ind w:firstLine="420" w:firstLineChars="200"/>
              <w:rPr>
                <w:szCs w:val="21"/>
                <w:highlight w:val="none"/>
              </w:rPr>
            </w:pPr>
            <w:r>
              <w:rPr>
                <w:rFonts w:hint="eastAsia"/>
                <w:szCs w:val="21"/>
                <w:highlight w:val="none"/>
              </w:rPr>
              <w:t>答：</w:t>
            </w:r>
          </w:p>
          <w:p w14:paraId="326D0086">
            <w:pPr>
              <w:spacing w:line="360" w:lineRule="auto"/>
              <w:ind w:firstLine="420" w:firstLineChars="200"/>
              <w:rPr>
                <w:szCs w:val="21"/>
                <w:highlight w:val="none"/>
              </w:rPr>
            </w:pPr>
            <w:r>
              <w:rPr>
                <w:rFonts w:hint="eastAsia"/>
                <w:szCs w:val="21"/>
                <w:highlight w:val="none"/>
              </w:rPr>
              <w:t>公司持续推进新产品的研发与产业化，目前公司已推出涵盖光学、电子束、X光三大核心技术的十三大系列设备，覆盖半导体量检测设备市场容量的70%以上，其中十一大系列设备已通过国内头部客户产线验证并实现销售。上半年面向成熟制程的明场设备、基于X光技术的硅通孔铜填充空隙量测设备已通过国内头部客户验证，面向先进制程的明场纳米图形晶圆缺陷检测设备产线验证进展顺利，各项关键性能指标以及长期运行稳定性上表现优异，预计年内有希望看到更多积极的验证结果；晶圆平整度量测设备在国内头部HBM客户产线验证进展顺利，预计年内有希望看到更多的成果；电子束关键尺寸量测设备已出货到头部客户产线验证。</w:t>
            </w:r>
          </w:p>
          <w:p w14:paraId="53F925C2">
            <w:pPr>
              <w:spacing w:line="360" w:lineRule="auto"/>
              <w:ind w:firstLine="420" w:firstLineChars="200"/>
              <w:rPr>
                <w:szCs w:val="21"/>
                <w:highlight w:val="none"/>
              </w:rPr>
            </w:pPr>
          </w:p>
          <w:p w14:paraId="54D79378">
            <w:pPr>
              <w:numPr>
                <w:ilvl w:val="0"/>
                <w:numId w:val="1"/>
              </w:numPr>
              <w:spacing w:line="360" w:lineRule="auto"/>
              <w:ind w:firstLine="422" w:firstLineChars="200"/>
              <w:rPr>
                <w:b/>
                <w:szCs w:val="21"/>
                <w:highlight w:val="none"/>
              </w:rPr>
            </w:pPr>
            <w:r>
              <w:rPr>
                <w:rFonts w:hint="eastAsia"/>
                <w:b/>
                <w:szCs w:val="21"/>
                <w:highlight w:val="none"/>
              </w:rPr>
              <w:t>关于各系列设备产业化进展。</w:t>
            </w:r>
          </w:p>
          <w:p w14:paraId="1B4302AD">
            <w:pPr>
              <w:spacing w:line="360" w:lineRule="auto"/>
              <w:ind w:firstLine="420" w:firstLineChars="200"/>
              <w:rPr>
                <w:rFonts w:hint="eastAsia"/>
                <w:szCs w:val="21"/>
                <w:highlight w:val="none"/>
                <w:lang w:eastAsia="zh-CN"/>
              </w:rPr>
            </w:pPr>
            <w:r>
              <w:rPr>
                <w:rFonts w:hint="eastAsia"/>
                <w:szCs w:val="21"/>
                <w:highlight w:val="none"/>
                <w:lang w:eastAsia="zh-CN"/>
              </w:rPr>
              <w:t>答：</w:t>
            </w:r>
          </w:p>
          <w:p w14:paraId="65C3BE62">
            <w:pPr>
              <w:spacing w:line="360" w:lineRule="auto"/>
              <w:ind w:firstLine="420" w:firstLineChars="200"/>
              <w:rPr>
                <w:szCs w:val="21"/>
                <w:highlight w:val="none"/>
              </w:rPr>
            </w:pPr>
            <w:bookmarkStart w:id="0" w:name="_GoBack"/>
            <w:bookmarkEnd w:id="0"/>
            <w:r>
              <w:rPr>
                <w:rFonts w:hint="eastAsia"/>
                <w:szCs w:val="21"/>
                <w:highlight w:val="none"/>
              </w:rPr>
              <w:t>公司目前十三大系列设备全面覆盖国内最先进制程客户产线以及HBM、2.5D/3D封装的扩产需求，并在全面推进面向国内更先进制程工艺的研发与产业化过程中取得重大突破，进一步巩固公司在先进制程以及HBM、2.5D/3D封装领域的国内显著领先优势。具体来看：</w:t>
            </w:r>
          </w:p>
          <w:p w14:paraId="423C8F19">
            <w:pPr>
              <w:spacing w:line="360" w:lineRule="auto"/>
              <w:ind w:firstLine="420" w:firstLineChars="200"/>
              <w:rPr>
                <w:szCs w:val="21"/>
                <w:highlight w:val="none"/>
              </w:rPr>
            </w:pPr>
            <w:r>
              <w:rPr>
                <w:rFonts w:hint="eastAsia"/>
                <w:szCs w:val="21"/>
                <w:highlight w:val="none"/>
              </w:rPr>
              <w:t>（1）在国内最</w:t>
            </w:r>
            <w:r>
              <w:rPr>
                <w:rFonts w:hint="eastAsia"/>
                <w:szCs w:val="21"/>
                <w:highlight w:val="none"/>
              </w:rPr>
              <w:t>先进制程领域，十</w:t>
            </w:r>
            <w:r>
              <w:rPr>
                <w:rFonts w:hint="eastAsia"/>
                <w:szCs w:val="21"/>
                <w:highlight w:val="none"/>
              </w:rPr>
              <w:t>三</w:t>
            </w:r>
            <w:r>
              <w:rPr>
                <w:rFonts w:hint="eastAsia"/>
                <w:szCs w:val="21"/>
                <w:highlight w:val="none"/>
              </w:rPr>
              <w:t>大系列设备已出货国内头部客户产线验证。其中公司在暗场纳米图形晶圆缺陷检测设备、无图形晶圆缺陷检测设备、套刻精度量测设备、金属膜厚量测设备、高深宽比铜填充空隙量测设备等多款设备是目前在国内先进制程领域唯一具备量产交付能力的国产供应商；</w:t>
            </w:r>
          </w:p>
          <w:p w14:paraId="0CB9A063">
            <w:pPr>
              <w:spacing w:line="360" w:lineRule="auto"/>
              <w:ind w:firstLine="420" w:firstLineChars="200"/>
              <w:rPr>
                <w:szCs w:val="21"/>
                <w:highlight w:val="none"/>
              </w:rPr>
            </w:pPr>
            <w:r>
              <w:rPr>
                <w:rFonts w:hint="eastAsia"/>
                <w:szCs w:val="21"/>
                <w:highlight w:val="none"/>
              </w:rPr>
              <w:t>（2）面向国内</w:t>
            </w:r>
            <w:r>
              <w:rPr>
                <w:rFonts w:hint="eastAsia"/>
                <w:szCs w:val="21"/>
                <w:highlight w:val="none"/>
              </w:rPr>
              <w:t>下一代</w:t>
            </w:r>
            <w:r>
              <w:rPr>
                <w:rFonts w:hint="eastAsia"/>
                <w:szCs w:val="21"/>
                <w:highlight w:val="none"/>
              </w:rPr>
              <w:t>先进工艺节点，十一大系列设备已经推出研发样机，其中无图形晶圆缺陷检测设备、图形晶圆缺陷检测设备、三维形貌量测设备、介质/金属膜厚量测设备等五大系列设备已经通过国内头部客户验证并实现销售；套刻精度量测设备、光学关键尺寸量测设备、晶圆平整度量测设备、高深宽比刻蚀结构量测设备、硅通孔铜填充空隙量测设备等五大系列设备已经出货客户产线验证；暗场纳米图形晶圆缺陷检测设备目前在场内测试中，预计</w:t>
            </w:r>
            <w:r>
              <w:rPr>
                <w:rFonts w:hint="eastAsia"/>
                <w:szCs w:val="21"/>
                <w:highlight w:val="none"/>
              </w:rPr>
              <w:t>将尽快</w:t>
            </w:r>
            <w:r>
              <w:rPr>
                <w:rFonts w:hint="eastAsia"/>
                <w:szCs w:val="21"/>
                <w:highlight w:val="none"/>
              </w:rPr>
              <w:t>出货至客户产线验证。</w:t>
            </w:r>
          </w:p>
          <w:p w14:paraId="3B1B5789">
            <w:pPr>
              <w:spacing w:line="360" w:lineRule="auto"/>
              <w:rPr>
                <w:szCs w:val="21"/>
                <w:highlight w:val="none"/>
              </w:rPr>
            </w:pPr>
          </w:p>
          <w:p w14:paraId="0714C5ED">
            <w:pPr>
              <w:numPr>
                <w:ilvl w:val="0"/>
                <w:numId w:val="1"/>
              </w:numPr>
              <w:spacing w:line="360" w:lineRule="auto"/>
              <w:ind w:firstLine="422" w:firstLineChars="200"/>
              <w:rPr>
                <w:b/>
                <w:szCs w:val="21"/>
                <w:highlight w:val="none"/>
              </w:rPr>
            </w:pPr>
            <w:r>
              <w:rPr>
                <w:rFonts w:hint="eastAsia"/>
                <w:b/>
                <w:szCs w:val="21"/>
                <w:highlight w:val="none"/>
              </w:rPr>
              <w:t>上半年毛利率波动的原因及未来展望。</w:t>
            </w:r>
          </w:p>
          <w:p w14:paraId="26A71A71">
            <w:pPr>
              <w:spacing w:line="360" w:lineRule="auto"/>
              <w:ind w:firstLine="420" w:firstLineChars="200"/>
              <w:rPr>
                <w:szCs w:val="21"/>
                <w:highlight w:val="none"/>
              </w:rPr>
            </w:pPr>
            <w:r>
              <w:rPr>
                <w:rFonts w:hint="eastAsia"/>
                <w:szCs w:val="21"/>
                <w:highlight w:val="none"/>
              </w:rPr>
              <w:t>答：</w:t>
            </w:r>
          </w:p>
          <w:p w14:paraId="50B57F1F">
            <w:pPr>
              <w:spacing w:line="360" w:lineRule="auto"/>
              <w:ind w:firstLine="420" w:firstLineChars="200"/>
              <w:rPr>
                <w:szCs w:val="21"/>
                <w:highlight w:val="none"/>
              </w:rPr>
            </w:pPr>
            <w:r>
              <w:rPr>
                <w:rFonts w:hint="eastAsia"/>
                <w:szCs w:val="21"/>
                <w:highlight w:val="none"/>
              </w:rPr>
              <w:t>上半年毛利率相比往年有一定波动</w:t>
            </w:r>
            <w:r>
              <w:rPr>
                <w:rFonts w:hint="eastAsia"/>
                <w:szCs w:val="21"/>
                <w:highlight w:val="none"/>
                <w:lang w:eastAsia="zh-CN"/>
              </w:rPr>
              <w:t>，</w:t>
            </w:r>
            <w:r>
              <w:rPr>
                <w:rFonts w:hint="eastAsia"/>
                <w:szCs w:val="21"/>
                <w:highlight w:val="none"/>
              </w:rPr>
              <w:t>主要受毛利率相对较低的先进封装业务</w:t>
            </w:r>
            <w:r>
              <w:rPr>
                <w:rFonts w:hint="eastAsia"/>
                <w:szCs w:val="21"/>
                <w:highlight w:val="none"/>
                <w:lang w:val="en-US" w:eastAsia="zh-CN"/>
              </w:rPr>
              <w:t>收入</w:t>
            </w:r>
            <w:r>
              <w:rPr>
                <w:rFonts w:hint="eastAsia"/>
                <w:szCs w:val="21"/>
                <w:highlight w:val="none"/>
              </w:rPr>
              <w:t>占比提升，以及部分新产品市场导入初期定价相对较低两方面短期影响。</w:t>
            </w:r>
          </w:p>
          <w:p w14:paraId="322364D2">
            <w:pPr>
              <w:spacing w:line="360" w:lineRule="auto"/>
              <w:ind w:firstLine="420" w:firstLineChars="200"/>
              <w:rPr>
                <w:szCs w:val="21"/>
                <w:highlight w:val="none"/>
              </w:rPr>
            </w:pPr>
            <w:r>
              <w:rPr>
                <w:rFonts w:hint="eastAsia"/>
                <w:szCs w:val="21"/>
                <w:highlight w:val="none"/>
              </w:rPr>
              <w:t>展望全年，结合目前在手订单结构，前道制程以及先进制程订单占比超过80%，全年前道制程收入占比有望回归正常区间，先进制程收入贡献进一步提高，全年以及未来毛利率有望保持较高水平。</w:t>
            </w:r>
          </w:p>
          <w:p w14:paraId="2F48C6D7">
            <w:pPr>
              <w:spacing w:line="360" w:lineRule="auto"/>
              <w:rPr>
                <w:szCs w:val="21"/>
                <w:highlight w:val="none"/>
              </w:rPr>
            </w:pPr>
          </w:p>
          <w:p w14:paraId="09D3D0A3">
            <w:pPr>
              <w:numPr>
                <w:ilvl w:val="0"/>
                <w:numId w:val="1"/>
              </w:numPr>
              <w:spacing w:line="360" w:lineRule="auto"/>
              <w:ind w:firstLine="422" w:firstLineChars="200"/>
              <w:rPr>
                <w:b/>
                <w:szCs w:val="21"/>
                <w:highlight w:val="none"/>
              </w:rPr>
            </w:pPr>
            <w:r>
              <w:rPr>
                <w:rFonts w:hint="eastAsia"/>
                <w:b/>
                <w:szCs w:val="21"/>
                <w:highlight w:val="none"/>
              </w:rPr>
              <w:t>关于收入及利润未来展望。</w:t>
            </w:r>
          </w:p>
          <w:p w14:paraId="0493939E">
            <w:pPr>
              <w:spacing w:line="360" w:lineRule="auto"/>
              <w:ind w:firstLine="420" w:firstLineChars="200"/>
              <w:rPr>
                <w:szCs w:val="21"/>
                <w:highlight w:val="none"/>
              </w:rPr>
            </w:pPr>
            <w:r>
              <w:rPr>
                <w:rFonts w:hint="eastAsia"/>
                <w:szCs w:val="21"/>
                <w:highlight w:val="none"/>
              </w:rPr>
              <w:t>答：</w:t>
            </w:r>
          </w:p>
          <w:p w14:paraId="0D05EB02">
            <w:pPr>
              <w:spacing w:line="360" w:lineRule="auto"/>
              <w:ind w:firstLine="420" w:firstLineChars="200"/>
              <w:rPr>
                <w:szCs w:val="21"/>
                <w:highlight w:val="none"/>
              </w:rPr>
            </w:pPr>
            <w:r>
              <w:rPr>
                <w:rFonts w:hint="eastAsia"/>
                <w:szCs w:val="21"/>
                <w:highlight w:val="none"/>
              </w:rPr>
              <w:t>上半年收入同比增速放缓，主要受正常季节性波动</w:t>
            </w:r>
            <w:r>
              <w:rPr>
                <w:rFonts w:hint="eastAsia"/>
                <w:szCs w:val="21"/>
                <w:highlight w:val="none"/>
                <w:lang w:val="en-US" w:eastAsia="zh-CN"/>
              </w:rPr>
              <w:t>以及</w:t>
            </w:r>
            <w:r>
              <w:rPr>
                <w:rFonts w:hint="eastAsia"/>
                <w:szCs w:val="21"/>
                <w:highlight w:val="none"/>
              </w:rPr>
              <w:t>客户验收、收入确认节奏影响。同时，为满足业务持续增长需要，公司进一步加大新产品及现有产品向更前沿工艺的研发和产业化投入，研发、销售及客户服务人员规模同步提升，带动职工薪酬、研发用材料费、市场推广费等研发及销售相关费用同比</w:t>
            </w:r>
            <w:r>
              <w:rPr>
                <w:rFonts w:hint="eastAsia"/>
                <w:szCs w:val="21"/>
                <w:highlight w:val="none"/>
                <w:lang w:val="en-US" w:eastAsia="zh-CN"/>
              </w:rPr>
              <w:t>较大幅度</w:t>
            </w:r>
            <w:r>
              <w:rPr>
                <w:rFonts w:hint="eastAsia"/>
                <w:szCs w:val="21"/>
                <w:highlight w:val="none"/>
              </w:rPr>
              <w:t>增长；叠加毛利率受产品结构阶段性影响，上半年归母净利润出现亏损。</w:t>
            </w:r>
          </w:p>
          <w:p w14:paraId="0EF6A384">
            <w:pPr>
              <w:spacing w:line="360" w:lineRule="auto"/>
              <w:ind w:firstLine="420" w:firstLineChars="200"/>
              <w:rPr>
                <w:szCs w:val="21"/>
                <w:highlight w:val="none"/>
              </w:rPr>
            </w:pPr>
            <w:r>
              <w:rPr>
                <w:rFonts w:hint="eastAsia"/>
                <w:szCs w:val="21"/>
                <w:highlight w:val="none"/>
              </w:rPr>
              <w:t>结合当前在手订单及新产品验证进展，全年收入有望保持较高增长水平。随着规模效应逐步显现，下半年利润有望环比改善。</w:t>
            </w:r>
          </w:p>
          <w:p w14:paraId="0A264F4A">
            <w:pPr>
              <w:spacing w:line="360" w:lineRule="auto"/>
              <w:ind w:firstLine="420" w:firstLineChars="200"/>
              <w:rPr>
                <w:szCs w:val="21"/>
                <w:highlight w:val="none"/>
              </w:rPr>
            </w:pPr>
            <w:r>
              <w:rPr>
                <w:rFonts w:hint="eastAsia"/>
                <w:szCs w:val="21"/>
                <w:highlight w:val="none"/>
              </w:rPr>
              <w:t>展望未来，基于与头部客户就未来需求的沟通，以及公司在国内先进制程、HBM、2.5D/3D封装等前沿领域的产品布局和客户覆盖等方面的全面领</w:t>
            </w:r>
            <w:r>
              <w:rPr>
                <w:rFonts w:hint="eastAsia"/>
                <w:szCs w:val="21"/>
                <w:highlight w:val="none"/>
              </w:rPr>
              <w:t>先优势，公司对全年订单及未来收入保持较高增速有信心。随着规模效应逐步显现，研发及销售等各项费用占收入的比例预计整体呈</w:t>
            </w:r>
            <w:r>
              <w:rPr>
                <w:rFonts w:hint="eastAsia"/>
                <w:szCs w:val="21"/>
                <w:highlight w:val="none"/>
                <w:lang w:val="en-US" w:eastAsia="zh-CN"/>
              </w:rPr>
              <w:t>稳步</w:t>
            </w:r>
            <w:r>
              <w:rPr>
                <w:rFonts w:hint="eastAsia"/>
                <w:szCs w:val="21"/>
                <w:highlight w:val="none"/>
              </w:rPr>
              <w:t>下降趋势，公司盈利水平长期向好。</w:t>
            </w:r>
          </w:p>
          <w:p w14:paraId="0F5A45E9">
            <w:pPr>
              <w:tabs>
                <w:tab w:val="left" w:pos="0"/>
              </w:tabs>
              <w:spacing w:line="360" w:lineRule="auto"/>
              <w:ind w:left="420" w:leftChars="200"/>
              <w:rPr>
                <w:b/>
                <w:szCs w:val="21"/>
                <w:highlight w:val="none"/>
              </w:rPr>
            </w:pPr>
          </w:p>
          <w:p w14:paraId="63409FC1">
            <w:pPr>
              <w:numPr>
                <w:ilvl w:val="0"/>
                <w:numId w:val="1"/>
              </w:numPr>
              <w:spacing w:line="360" w:lineRule="auto"/>
              <w:ind w:firstLine="422" w:firstLineChars="200"/>
              <w:rPr>
                <w:b/>
                <w:szCs w:val="21"/>
                <w:highlight w:val="none"/>
              </w:rPr>
            </w:pPr>
            <w:r>
              <w:rPr>
                <w:rFonts w:hint="eastAsia"/>
                <w:b/>
                <w:szCs w:val="21"/>
                <w:highlight w:val="none"/>
              </w:rPr>
              <w:t>关于海外市场的拓展情况及未来展望。</w:t>
            </w:r>
          </w:p>
          <w:p w14:paraId="678AB9CD">
            <w:pPr>
              <w:spacing w:line="360" w:lineRule="auto"/>
              <w:ind w:firstLine="420" w:firstLineChars="200"/>
              <w:rPr>
                <w:szCs w:val="21"/>
                <w:highlight w:val="none"/>
              </w:rPr>
            </w:pPr>
            <w:r>
              <w:rPr>
                <w:rFonts w:hint="eastAsia"/>
                <w:szCs w:val="21"/>
                <w:highlight w:val="none"/>
              </w:rPr>
              <w:t>答：</w:t>
            </w:r>
          </w:p>
          <w:p w14:paraId="6D1E6057">
            <w:pPr>
              <w:spacing w:line="360" w:lineRule="auto"/>
              <w:ind w:firstLine="420" w:firstLineChars="200"/>
              <w:rPr>
                <w:b/>
                <w:szCs w:val="21"/>
                <w:highlight w:val="none"/>
              </w:rPr>
            </w:pPr>
            <w:r>
              <w:rPr>
                <w:rFonts w:hint="eastAsia"/>
                <w:szCs w:val="21"/>
                <w:highlight w:val="none"/>
              </w:rPr>
              <w:t>公司积极将各系列产品推广到更广泛的海外客户端并取得初步成果。目前公司无图形晶圆缺陷检测设备、图形晶圆缺陷检测设备、三维形貌量测设备、介质膜厚量测设备等多系列设备已通过多家海外先进封装客户的产线验证并实现批量销售；无图形晶圆缺陷检测设备、介质膜厚量测设备等多系列设备已出货至海外先进制程客户开展产线验证，推动海外订单规模持续增长</w:t>
            </w:r>
            <w:r>
              <w:rPr>
                <w:szCs w:val="21"/>
                <w:highlight w:val="none"/>
              </w:rPr>
              <w:t>。2026年上半年，</w:t>
            </w:r>
            <w:r>
              <w:rPr>
                <w:rFonts w:hint="eastAsia"/>
                <w:szCs w:val="21"/>
                <w:highlight w:val="none"/>
              </w:rPr>
              <w:t>公司实现海外收入超过5,000万元</w:t>
            </w:r>
            <w:r>
              <w:rPr>
                <w:szCs w:val="21"/>
                <w:highlight w:val="none"/>
              </w:rPr>
              <w:t>，未来还有很大增长空间</w:t>
            </w:r>
            <w:r>
              <w:rPr>
                <w:rFonts w:hint="eastAsia"/>
                <w:szCs w:val="21"/>
                <w:highlight w:val="none"/>
              </w:rPr>
              <w:t>。</w:t>
            </w:r>
            <w:r>
              <w:rPr>
                <w:szCs w:val="21"/>
                <w:highlight w:val="none"/>
              </w:rPr>
              <w:t>凭借性价比以及定制化服务等优势，公司对未来海外收入的持续增长充满信心。</w:t>
            </w:r>
          </w:p>
          <w:p w14:paraId="64A83328">
            <w:pPr>
              <w:tabs>
                <w:tab w:val="left" w:pos="0"/>
              </w:tabs>
              <w:spacing w:line="360" w:lineRule="auto"/>
              <w:ind w:left="420" w:leftChars="200"/>
              <w:rPr>
                <w:b/>
                <w:szCs w:val="21"/>
                <w:highlight w:val="none"/>
              </w:rPr>
            </w:pPr>
          </w:p>
          <w:p w14:paraId="5D7015C2">
            <w:pPr>
              <w:numPr>
                <w:ilvl w:val="0"/>
                <w:numId w:val="1"/>
              </w:numPr>
              <w:spacing w:line="360" w:lineRule="auto"/>
              <w:ind w:firstLine="422" w:firstLineChars="200"/>
              <w:rPr>
                <w:b/>
                <w:szCs w:val="21"/>
                <w:highlight w:val="none"/>
              </w:rPr>
            </w:pPr>
            <w:r>
              <w:rPr>
                <w:rFonts w:hint="eastAsia"/>
                <w:b/>
                <w:szCs w:val="21"/>
                <w:highlight w:val="none"/>
              </w:rPr>
              <w:t>关于核心零部件供应稳定性。</w:t>
            </w:r>
          </w:p>
          <w:p w14:paraId="25A1AB46">
            <w:pPr>
              <w:spacing w:line="360" w:lineRule="auto"/>
              <w:ind w:firstLine="420" w:firstLineChars="200"/>
              <w:rPr>
                <w:szCs w:val="21"/>
                <w:highlight w:val="none"/>
              </w:rPr>
            </w:pPr>
            <w:r>
              <w:rPr>
                <w:rFonts w:hint="eastAsia"/>
                <w:szCs w:val="21"/>
                <w:highlight w:val="none"/>
              </w:rPr>
              <w:t>答：</w:t>
            </w:r>
          </w:p>
          <w:p w14:paraId="4F1EAA69">
            <w:pPr>
              <w:spacing w:line="360" w:lineRule="auto"/>
              <w:ind w:firstLine="420" w:firstLineChars="200"/>
              <w:rPr>
                <w:szCs w:val="21"/>
                <w:highlight w:val="none"/>
              </w:rPr>
            </w:pPr>
            <w:r>
              <w:rPr>
                <w:rFonts w:hint="eastAsia"/>
                <w:szCs w:val="21"/>
                <w:highlight w:val="none"/>
              </w:rPr>
              <w:t>长期以来，公司在设备整机的研发和产业化进程中，同时会进行 大量的投入与国产零部件供应商开展技术合作。目前公司在上游零部件国产化方面成效显著，能够满足各系列设备面向国内最先进制程客户的量产需求以及向更先进制程工艺的研发需求，通过持续与国产供应商就未来生产需求进行前瞻性沟通，能够确保供应链能够在设备完成研发后顺利转入大规模量产，为客户持续稳定供货。</w:t>
            </w:r>
          </w:p>
          <w:p w14:paraId="5361E8AF">
            <w:pPr>
              <w:spacing w:line="360" w:lineRule="exact"/>
              <w:rPr>
                <w:szCs w:val="21"/>
                <w:highlight w:val="none"/>
              </w:rPr>
            </w:pPr>
          </w:p>
          <w:p w14:paraId="56008F06">
            <w:pPr>
              <w:spacing w:line="360" w:lineRule="auto"/>
              <w:ind w:firstLine="420" w:firstLineChars="200"/>
              <w:rPr>
                <w:szCs w:val="21"/>
              </w:rPr>
            </w:pPr>
            <w:r>
              <w:rPr>
                <w:rFonts w:hint="eastAsia"/>
                <w:szCs w:val="21"/>
                <w:highlight w:val="none"/>
              </w:rPr>
              <w:t>除以上问题外，其余交流内容已在之前发布的投资者关系活动记录表或定期报告等公告中披露，本次不再重复披露。</w:t>
            </w:r>
          </w:p>
        </w:tc>
      </w:tr>
    </w:tbl>
    <w:p w14:paraId="43E42DC8">
      <w:pPr>
        <w:spacing w:line="360" w:lineRule="auto"/>
      </w:pPr>
      <w:r>
        <w:br w:type="page"/>
      </w:r>
    </w:p>
    <w:p w14:paraId="223D064A">
      <w:pPr>
        <w:rPr>
          <w:b/>
          <w:bCs/>
        </w:rPr>
      </w:pPr>
      <w:r>
        <w:rPr>
          <w:b/>
          <w:bCs/>
        </w:rPr>
        <w:t>附件 1《与会单位名单》</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375136F4">
        <w:tblPrEx>
          <w:tblLayout w:type="fixed"/>
        </w:tblPrEx>
        <w:tc>
          <w:tcPr>
            <w:tcW w:w="8296" w:type="dxa"/>
          </w:tcPr>
          <w:p w14:paraId="2CFACA87">
            <w:pPr>
              <w:jc w:val="center"/>
              <w:rPr>
                <w:b/>
                <w:bCs/>
                <w14:ligatures w14:val="none"/>
              </w:rPr>
            </w:pPr>
            <w:r>
              <w:rPr>
                <w:b/>
                <w:bCs/>
                <w14:ligatures w14:val="none"/>
              </w:rPr>
              <w:t>机构名称（排名不分先后）</w:t>
            </w:r>
          </w:p>
        </w:tc>
      </w:tr>
      <w:tr w14:paraId="576E8C8F">
        <w:tblPrEx>
          <w:tblLayout w:type="fixed"/>
        </w:tblPrEx>
        <w:tc>
          <w:tcPr>
            <w:tcW w:w="8296" w:type="dxa"/>
            <w:vAlign w:val="center"/>
          </w:tcPr>
          <w:p w14:paraId="658732BB">
            <w:pPr>
              <w:widowControl/>
              <w:jc w:val="left"/>
              <w:textAlignment w:val="center"/>
              <w:rPr>
                <w:rFonts w:hint="default" w:ascii="Times New Roman" w:hAnsi="Times New Roman" w:cs="Times New Roman"/>
                <w:color w:val="000000"/>
                <w:sz w:val="22"/>
                <w:szCs w:val="22"/>
                <w14:ligatures w14:val="none"/>
              </w:rPr>
            </w:pPr>
            <w:r>
              <w:rPr>
                <w:rFonts w:hint="default" w:ascii="Times New Roman" w:hAnsi="Times New Roman" w:cs="Times New Roman"/>
                <w:color w:val="000000"/>
                <w:kern w:val="0"/>
                <w:sz w:val="22"/>
                <w:szCs w:val="22"/>
                <w:lang w:bidi="ar"/>
                <w14:ligatures w14:val="none"/>
              </w:rPr>
              <w:t>Citadel International Equities</w:t>
            </w:r>
          </w:p>
        </w:tc>
      </w:tr>
      <w:tr w14:paraId="677E7FF7">
        <w:tblPrEx>
          <w:tblLayout w:type="fixed"/>
        </w:tblPrEx>
        <w:tc>
          <w:tcPr>
            <w:tcW w:w="8296" w:type="dxa"/>
            <w:vAlign w:val="center"/>
          </w:tcPr>
          <w:p w14:paraId="61111CC7">
            <w:pPr>
              <w:widowControl/>
              <w:jc w:val="left"/>
              <w:textAlignment w:val="center"/>
              <w:rPr>
                <w:rFonts w:hint="default" w:ascii="Times New Roman" w:hAnsi="Times New Roman" w:cs="Times New Roman"/>
                <w:color w:val="000000"/>
                <w:kern w:val="0"/>
                <w:sz w:val="22"/>
                <w:szCs w:val="22"/>
                <w:lang w:bidi="ar"/>
                <w14:ligatures w14:val="none"/>
              </w:rPr>
            </w:pPr>
            <w:r>
              <w:rPr>
                <w:rFonts w:hint="default" w:ascii="Times New Roman" w:hAnsi="Times New Roman" w:cs="Times New Roman"/>
                <w:color w:val="000000"/>
                <w:kern w:val="0"/>
                <w:sz w:val="22"/>
                <w:szCs w:val="22"/>
                <w:lang w:bidi="ar"/>
                <w14:ligatures w14:val="none"/>
              </w:rPr>
              <w:t>Gratus Investment Management</w:t>
            </w:r>
          </w:p>
        </w:tc>
      </w:tr>
      <w:tr w14:paraId="5E932FB0">
        <w:tblPrEx>
          <w:tblLayout w:type="fixed"/>
        </w:tblPrEx>
        <w:tc>
          <w:tcPr>
            <w:tcW w:w="8296" w:type="dxa"/>
            <w:vAlign w:val="center"/>
          </w:tcPr>
          <w:p w14:paraId="532766C4">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博时基金管理有限公司</w:t>
            </w:r>
          </w:p>
        </w:tc>
      </w:tr>
      <w:tr w14:paraId="7D888106">
        <w:tblPrEx>
          <w:tblLayout w:type="fixed"/>
        </w:tblPrEx>
        <w:tc>
          <w:tcPr>
            <w:tcW w:w="8296" w:type="dxa"/>
            <w:vAlign w:val="center"/>
          </w:tcPr>
          <w:p w14:paraId="4117697E">
            <w:pPr>
              <w:widowControl/>
              <w:jc w:val="left"/>
              <w:textAlignment w:val="center"/>
              <w:rPr>
                <w:rFonts w:hint="eastAsia" w:ascii="宋体" w:hAnsi="宋体" w:cs="宋体"/>
                <w:color w:val="000000"/>
                <w:kern w:val="0"/>
                <w:sz w:val="22"/>
                <w:szCs w:val="22"/>
                <w:lang w:bidi="ar"/>
                <w14:ligatures w14:val="none"/>
              </w:rPr>
            </w:pPr>
            <w:r>
              <w:rPr>
                <w:rFonts w:hint="eastAsia" w:ascii="宋体" w:hAnsi="宋体" w:cs="宋体"/>
                <w:color w:val="000000"/>
                <w:kern w:val="0"/>
                <w:sz w:val="22"/>
                <w:szCs w:val="22"/>
                <w:lang w:bidi="ar"/>
                <w14:ligatures w14:val="none"/>
              </w:rPr>
              <w:t>长江证券股份有限公司</w:t>
            </w:r>
          </w:p>
        </w:tc>
      </w:tr>
      <w:tr w14:paraId="218F9249">
        <w:tblPrEx>
          <w:tblLayout w:type="fixed"/>
        </w:tblPrEx>
        <w:tc>
          <w:tcPr>
            <w:tcW w:w="8296" w:type="dxa"/>
            <w:vAlign w:val="center"/>
          </w:tcPr>
          <w:p w14:paraId="31EC0C2B">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大成基金管理有限公司</w:t>
            </w:r>
          </w:p>
        </w:tc>
      </w:tr>
      <w:tr w14:paraId="78248112">
        <w:tblPrEx>
          <w:tblLayout w:type="fixed"/>
        </w:tblPrEx>
        <w:tc>
          <w:tcPr>
            <w:tcW w:w="8296" w:type="dxa"/>
            <w:vAlign w:val="center"/>
          </w:tcPr>
          <w:p w14:paraId="7282A685">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德邦基金管理有限公司</w:t>
            </w:r>
          </w:p>
        </w:tc>
      </w:tr>
      <w:tr w14:paraId="60F9641B">
        <w:tblPrEx>
          <w:tblLayout w:type="fixed"/>
        </w:tblPrEx>
        <w:tc>
          <w:tcPr>
            <w:tcW w:w="8296" w:type="dxa"/>
            <w:vAlign w:val="center"/>
          </w:tcPr>
          <w:p w14:paraId="5D9E97F6">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富国基金管理有限公司</w:t>
            </w:r>
          </w:p>
        </w:tc>
      </w:tr>
      <w:tr w14:paraId="4D9E16E9">
        <w:tblPrEx>
          <w:tblLayout w:type="fixed"/>
        </w:tblPrEx>
        <w:tc>
          <w:tcPr>
            <w:tcW w:w="8296" w:type="dxa"/>
            <w:vAlign w:val="center"/>
          </w:tcPr>
          <w:p w14:paraId="3507FDB5">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工银瑞信基金管理有限公司</w:t>
            </w:r>
          </w:p>
        </w:tc>
      </w:tr>
      <w:tr w14:paraId="796B0166">
        <w:tblPrEx>
          <w:tblLayout w:type="fixed"/>
        </w:tblPrEx>
        <w:tc>
          <w:tcPr>
            <w:tcW w:w="8296" w:type="dxa"/>
            <w:vAlign w:val="center"/>
          </w:tcPr>
          <w:p w14:paraId="68CF5040">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广发证券股份有限公司</w:t>
            </w:r>
          </w:p>
        </w:tc>
      </w:tr>
      <w:tr w14:paraId="55352251">
        <w:tblPrEx>
          <w:tblLayout w:type="fixed"/>
        </w:tblPrEx>
        <w:tc>
          <w:tcPr>
            <w:tcW w:w="8296" w:type="dxa"/>
            <w:vAlign w:val="center"/>
          </w:tcPr>
          <w:p w14:paraId="43DD5733">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国泰基金管理有限公司</w:t>
            </w:r>
          </w:p>
        </w:tc>
      </w:tr>
      <w:tr w14:paraId="64FEE101">
        <w:tblPrEx>
          <w:tblLayout w:type="fixed"/>
        </w:tblPrEx>
        <w:tc>
          <w:tcPr>
            <w:tcW w:w="8296" w:type="dxa"/>
            <w:vAlign w:val="center"/>
          </w:tcPr>
          <w:p w14:paraId="08C9DABF">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国信证券股份有限公司</w:t>
            </w:r>
          </w:p>
        </w:tc>
      </w:tr>
      <w:tr w14:paraId="1B1F8390">
        <w:tblPrEx>
          <w:tblLayout w:type="fixed"/>
        </w:tblPrEx>
        <w:tc>
          <w:tcPr>
            <w:tcW w:w="8296" w:type="dxa"/>
            <w:vAlign w:val="center"/>
          </w:tcPr>
          <w:p w14:paraId="7B6E3F97">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海富通基金管理有限公司</w:t>
            </w:r>
          </w:p>
        </w:tc>
      </w:tr>
      <w:tr w14:paraId="78DE520F">
        <w:tblPrEx>
          <w:tblLayout w:type="fixed"/>
        </w:tblPrEx>
        <w:tc>
          <w:tcPr>
            <w:tcW w:w="8296" w:type="dxa"/>
            <w:vAlign w:val="center"/>
          </w:tcPr>
          <w:p w14:paraId="58ED1E63">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华泰柏瑞基金管理有限公司</w:t>
            </w:r>
          </w:p>
        </w:tc>
      </w:tr>
      <w:tr w14:paraId="684565D1">
        <w:tblPrEx>
          <w:tblLayout w:type="fixed"/>
        </w:tblPrEx>
        <w:tc>
          <w:tcPr>
            <w:tcW w:w="8296" w:type="dxa"/>
            <w:vAlign w:val="center"/>
          </w:tcPr>
          <w:p w14:paraId="57351790">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华泰证券股份有限公司</w:t>
            </w:r>
          </w:p>
        </w:tc>
      </w:tr>
      <w:tr w14:paraId="5C06E9C0">
        <w:tblPrEx>
          <w:tblLayout w:type="fixed"/>
        </w:tblPrEx>
        <w:tc>
          <w:tcPr>
            <w:tcW w:w="8296" w:type="dxa"/>
            <w:vAlign w:val="center"/>
          </w:tcPr>
          <w:p w14:paraId="6FDA12ED">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华夏基金管理有限公司</w:t>
            </w:r>
          </w:p>
        </w:tc>
      </w:tr>
      <w:tr w14:paraId="7D0CB7BF">
        <w:tblPrEx>
          <w:tblLayout w:type="fixed"/>
        </w:tblPrEx>
        <w:tc>
          <w:tcPr>
            <w:tcW w:w="8296" w:type="dxa"/>
            <w:vAlign w:val="center"/>
          </w:tcPr>
          <w:p w14:paraId="121113A2">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汇添富基金管理股份有限公司</w:t>
            </w:r>
          </w:p>
        </w:tc>
      </w:tr>
      <w:tr w14:paraId="2F90BEED">
        <w:tblPrEx>
          <w:tblLayout w:type="fixed"/>
        </w:tblPrEx>
        <w:tc>
          <w:tcPr>
            <w:tcW w:w="8296" w:type="dxa"/>
            <w:vAlign w:val="center"/>
          </w:tcPr>
          <w:p w14:paraId="3A75089C">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嘉实基金管理有限公司</w:t>
            </w:r>
          </w:p>
        </w:tc>
      </w:tr>
      <w:tr w14:paraId="32E5B209">
        <w:tblPrEx>
          <w:tblLayout w:type="fixed"/>
        </w:tblPrEx>
        <w:tc>
          <w:tcPr>
            <w:tcW w:w="8296" w:type="dxa"/>
            <w:vAlign w:val="center"/>
          </w:tcPr>
          <w:p w14:paraId="41A555CC">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建信养老金管理有限责任公司</w:t>
            </w:r>
          </w:p>
        </w:tc>
      </w:tr>
      <w:tr w14:paraId="4108191B">
        <w:tblPrEx>
          <w:tblLayout w:type="fixed"/>
        </w:tblPrEx>
        <w:tc>
          <w:tcPr>
            <w:tcW w:w="8296" w:type="dxa"/>
            <w:vAlign w:val="center"/>
          </w:tcPr>
          <w:p w14:paraId="3F3ABF40">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景顺长城基金管理有限公司</w:t>
            </w:r>
          </w:p>
        </w:tc>
      </w:tr>
      <w:tr w14:paraId="2FB20911">
        <w:tblPrEx>
          <w:tblLayout w:type="fixed"/>
        </w:tblPrEx>
        <w:tc>
          <w:tcPr>
            <w:tcW w:w="8296" w:type="dxa"/>
            <w:vAlign w:val="center"/>
          </w:tcPr>
          <w:p w14:paraId="3DB7E272">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开源证券股份有限公司</w:t>
            </w:r>
          </w:p>
        </w:tc>
      </w:tr>
      <w:tr w14:paraId="1784624D">
        <w:tblPrEx>
          <w:tblLayout w:type="fixed"/>
        </w:tblPrEx>
        <w:tc>
          <w:tcPr>
            <w:tcW w:w="8296" w:type="dxa"/>
            <w:vAlign w:val="center"/>
          </w:tcPr>
          <w:p w14:paraId="1C4CFF70">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摩根基金管理（中国）有限公司</w:t>
            </w:r>
          </w:p>
        </w:tc>
      </w:tr>
      <w:tr w14:paraId="6A93687F">
        <w:tblPrEx>
          <w:tblLayout w:type="fixed"/>
        </w:tblPrEx>
        <w:tc>
          <w:tcPr>
            <w:tcW w:w="8296" w:type="dxa"/>
            <w:vAlign w:val="center"/>
          </w:tcPr>
          <w:p w14:paraId="53CD6688">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南方基金管理股份有限公司</w:t>
            </w:r>
          </w:p>
        </w:tc>
      </w:tr>
      <w:tr w14:paraId="5736DB01">
        <w:tblPrEx>
          <w:tblLayout w:type="fixed"/>
        </w:tblPrEx>
        <w:tc>
          <w:tcPr>
            <w:tcW w:w="8296" w:type="dxa"/>
            <w:vAlign w:val="center"/>
          </w:tcPr>
          <w:p w14:paraId="0DEB938F">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北京磐泽资产管理有限责任公司</w:t>
            </w:r>
          </w:p>
        </w:tc>
      </w:tr>
      <w:tr w14:paraId="08C958FA">
        <w:tblPrEx>
          <w:tblLayout w:type="fixed"/>
        </w:tblPrEx>
        <w:tc>
          <w:tcPr>
            <w:tcW w:w="8296" w:type="dxa"/>
            <w:vAlign w:val="center"/>
          </w:tcPr>
          <w:p w14:paraId="4F022394">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鹏华基金管理有限公司</w:t>
            </w:r>
          </w:p>
        </w:tc>
      </w:tr>
      <w:tr w14:paraId="14869B11">
        <w:tblPrEx>
          <w:tblLayout w:type="fixed"/>
        </w:tblPrEx>
        <w:tc>
          <w:tcPr>
            <w:tcW w:w="8296" w:type="dxa"/>
            <w:vAlign w:val="center"/>
          </w:tcPr>
          <w:p w14:paraId="237A6CD9">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平安养老保险有限责任公司</w:t>
            </w:r>
          </w:p>
        </w:tc>
      </w:tr>
      <w:tr w14:paraId="48649D5F">
        <w:tblPrEx>
          <w:tblLayout w:type="fixed"/>
        </w:tblPrEx>
        <w:tc>
          <w:tcPr>
            <w:tcW w:w="8296" w:type="dxa"/>
            <w:vAlign w:val="center"/>
          </w:tcPr>
          <w:p w14:paraId="3CC63B1E">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 xml:space="preserve">共青城奇点私募基金管理合伙企业（有限合伙） </w:t>
            </w:r>
          </w:p>
        </w:tc>
      </w:tr>
      <w:tr w14:paraId="60D22E02">
        <w:tblPrEx>
          <w:tblLayout w:type="fixed"/>
        </w:tblPrEx>
        <w:tc>
          <w:tcPr>
            <w:tcW w:w="8296" w:type="dxa"/>
            <w:vAlign w:val="center"/>
          </w:tcPr>
          <w:p w14:paraId="2A1A8337">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融通基金管理有限公司</w:t>
            </w:r>
          </w:p>
        </w:tc>
      </w:tr>
      <w:tr w14:paraId="4369D63A">
        <w:tblPrEx>
          <w:tblLayout w:type="fixed"/>
        </w:tblPrEx>
        <w:tc>
          <w:tcPr>
            <w:tcW w:w="8296" w:type="dxa"/>
            <w:vAlign w:val="center"/>
          </w:tcPr>
          <w:p w14:paraId="023411AD">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上海东方证券资产管理有限公司</w:t>
            </w:r>
          </w:p>
        </w:tc>
      </w:tr>
      <w:tr w14:paraId="4A5BE727">
        <w:tblPrEx>
          <w:tblLayout w:type="fixed"/>
        </w:tblPrEx>
        <w:tc>
          <w:tcPr>
            <w:tcW w:w="8296" w:type="dxa"/>
            <w:vAlign w:val="center"/>
          </w:tcPr>
          <w:p w14:paraId="39718117">
            <w:pPr>
              <w:widowControl/>
              <w:jc w:val="left"/>
              <w:textAlignment w:val="center"/>
              <w:rPr>
                <w:rFonts w:hint="eastAsia" w:ascii="宋体" w:hAnsi="宋体" w:cs="宋体"/>
                <w:color w:val="000000"/>
                <w:kern w:val="0"/>
                <w:sz w:val="22"/>
                <w:szCs w:val="22"/>
                <w:lang w:bidi="ar"/>
                <w14:ligatures w14:val="none"/>
              </w:rPr>
            </w:pPr>
            <w:r>
              <w:rPr>
                <w:rFonts w:hint="eastAsia" w:ascii="宋体" w:hAnsi="宋体" w:cs="宋体"/>
                <w:color w:val="000000"/>
                <w:kern w:val="0"/>
                <w:sz w:val="22"/>
                <w:szCs w:val="22"/>
                <w:lang w:bidi="ar"/>
                <w14:ligatures w14:val="none"/>
              </w:rPr>
              <w:t>上海高毅资产管理合伙企业（有限合伙）</w:t>
            </w:r>
          </w:p>
        </w:tc>
      </w:tr>
      <w:tr w14:paraId="6C999814">
        <w:tblPrEx>
          <w:tblLayout w:type="fixed"/>
        </w:tblPrEx>
        <w:tc>
          <w:tcPr>
            <w:tcW w:w="8296" w:type="dxa"/>
            <w:vAlign w:val="center"/>
          </w:tcPr>
          <w:p w14:paraId="0B6FA0D4">
            <w:pPr>
              <w:widowControl/>
              <w:jc w:val="left"/>
              <w:textAlignment w:val="center"/>
              <w:rPr>
                <w:rFonts w:hint="eastAsia" w:ascii="宋体" w:hAnsi="宋体" w:cs="宋体"/>
                <w:color w:val="000000"/>
                <w:kern w:val="0"/>
                <w:sz w:val="22"/>
                <w:szCs w:val="22"/>
                <w:lang w:bidi="ar"/>
                <w14:ligatures w14:val="none"/>
              </w:rPr>
            </w:pPr>
            <w:r>
              <w:rPr>
                <w:rFonts w:hint="eastAsia" w:ascii="宋体" w:hAnsi="宋体" w:cs="宋体"/>
                <w:color w:val="000000"/>
                <w:kern w:val="0"/>
                <w:sz w:val="22"/>
                <w:szCs w:val="22"/>
                <w:lang w:bidi="ar"/>
                <w14:ligatures w14:val="none"/>
              </w:rPr>
              <w:t>上海混沌投资（集团）有限公司</w:t>
            </w:r>
          </w:p>
        </w:tc>
      </w:tr>
      <w:tr w14:paraId="634F38C9">
        <w:tblPrEx>
          <w:tblLayout w:type="fixed"/>
        </w:tblPrEx>
        <w:tc>
          <w:tcPr>
            <w:tcW w:w="8296" w:type="dxa"/>
            <w:vAlign w:val="center"/>
          </w:tcPr>
          <w:p w14:paraId="7A6EDBE0">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上海趣时资产管理有限公司</w:t>
            </w:r>
          </w:p>
        </w:tc>
      </w:tr>
      <w:tr w14:paraId="50768610">
        <w:tblPrEx>
          <w:tblLayout w:type="fixed"/>
        </w:tblPrEx>
        <w:tc>
          <w:tcPr>
            <w:tcW w:w="8296" w:type="dxa"/>
            <w:vAlign w:val="center"/>
          </w:tcPr>
          <w:p w14:paraId="6DA8C15B">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申万菱信基金管理有限公司</w:t>
            </w:r>
          </w:p>
        </w:tc>
      </w:tr>
      <w:tr w14:paraId="01CD3502">
        <w:tblPrEx>
          <w:tblLayout w:type="fixed"/>
        </w:tblPrEx>
        <w:tc>
          <w:tcPr>
            <w:tcW w:w="8296" w:type="dxa"/>
            <w:vAlign w:val="center"/>
          </w:tcPr>
          <w:p w14:paraId="3D21E349">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泰康资产管理有限责任公司</w:t>
            </w:r>
          </w:p>
        </w:tc>
      </w:tr>
      <w:tr w14:paraId="036D09C5">
        <w:tblPrEx>
          <w:tblLayout w:type="fixed"/>
        </w:tblPrEx>
        <w:tc>
          <w:tcPr>
            <w:tcW w:w="8296" w:type="dxa"/>
            <w:vAlign w:val="center"/>
          </w:tcPr>
          <w:p w14:paraId="3417B176">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万家基金管理有限公司</w:t>
            </w:r>
          </w:p>
        </w:tc>
      </w:tr>
      <w:tr w14:paraId="288D8D37">
        <w:tblPrEx>
          <w:tblLayout w:type="fixed"/>
        </w:tblPrEx>
        <w:tc>
          <w:tcPr>
            <w:tcW w:w="8296" w:type="dxa"/>
            <w:vAlign w:val="center"/>
          </w:tcPr>
          <w:p w14:paraId="62031455">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西部证券股份有限公司</w:t>
            </w:r>
          </w:p>
        </w:tc>
      </w:tr>
      <w:tr w14:paraId="74831A98">
        <w:tblPrEx>
          <w:tblLayout w:type="fixed"/>
        </w:tblPrEx>
        <w:tc>
          <w:tcPr>
            <w:tcW w:w="8296" w:type="dxa"/>
            <w:vAlign w:val="center"/>
          </w:tcPr>
          <w:p w14:paraId="7BF5205B">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兴证全球基金管理有限公司</w:t>
            </w:r>
          </w:p>
        </w:tc>
      </w:tr>
      <w:tr w14:paraId="5EDDFF64">
        <w:tblPrEx>
          <w:tblLayout w:type="fixed"/>
        </w:tblPrEx>
        <w:tc>
          <w:tcPr>
            <w:tcW w:w="8296" w:type="dxa"/>
            <w:vAlign w:val="center"/>
          </w:tcPr>
          <w:p w14:paraId="4C8499F3">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易方达基金管理有限公司</w:t>
            </w:r>
          </w:p>
        </w:tc>
      </w:tr>
      <w:tr w14:paraId="3659B0BA">
        <w:tblPrEx>
          <w:tblLayout w:type="fixed"/>
        </w:tblPrEx>
        <w:tc>
          <w:tcPr>
            <w:tcW w:w="8296" w:type="dxa"/>
            <w:vAlign w:val="center"/>
          </w:tcPr>
          <w:p w14:paraId="0B642846">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银华基金管理股份有限公司</w:t>
            </w:r>
          </w:p>
        </w:tc>
      </w:tr>
      <w:tr w14:paraId="63BA4BA6">
        <w:tblPrEx>
          <w:tblLayout w:type="fixed"/>
        </w:tblPrEx>
        <w:tc>
          <w:tcPr>
            <w:tcW w:w="8296" w:type="dxa"/>
            <w:vAlign w:val="center"/>
          </w:tcPr>
          <w:p w14:paraId="50B3C5FB">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招商基金管理有限公司</w:t>
            </w:r>
          </w:p>
        </w:tc>
      </w:tr>
      <w:tr w14:paraId="487EAD86">
        <w:tblPrEx>
          <w:tblLayout w:type="fixed"/>
        </w:tblPrEx>
        <w:tc>
          <w:tcPr>
            <w:tcW w:w="8296" w:type="dxa"/>
            <w:vAlign w:val="center"/>
          </w:tcPr>
          <w:p w14:paraId="6BBD3CBF">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中欧基金管理有限公司</w:t>
            </w:r>
          </w:p>
        </w:tc>
      </w:tr>
      <w:tr w14:paraId="31590D64">
        <w:tblPrEx>
          <w:tblLayout w:type="fixed"/>
        </w:tblPrEx>
        <w:tc>
          <w:tcPr>
            <w:tcW w:w="8296" w:type="dxa"/>
            <w:vAlign w:val="center"/>
          </w:tcPr>
          <w:p w14:paraId="1F197126">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中信保诚资产管理有限责任公司</w:t>
            </w:r>
          </w:p>
        </w:tc>
      </w:tr>
      <w:tr w14:paraId="79BAC7B3">
        <w:tblPrEx>
          <w:tblLayout w:type="fixed"/>
        </w:tblPrEx>
        <w:tc>
          <w:tcPr>
            <w:tcW w:w="8296" w:type="dxa"/>
            <w:vAlign w:val="center"/>
          </w:tcPr>
          <w:p w14:paraId="3417A1F2">
            <w:pPr>
              <w:widowControl/>
              <w:jc w:val="left"/>
              <w:textAlignment w:val="center"/>
              <w:rPr>
                <w:rFonts w:hint="eastAsia" w:ascii="宋体" w:hAnsi="宋体" w:cs="宋体"/>
                <w:color w:val="000000"/>
                <w:sz w:val="22"/>
                <w:szCs w:val="22"/>
                <w14:ligatures w14:val="none"/>
              </w:rPr>
            </w:pPr>
            <w:r>
              <w:rPr>
                <w:rFonts w:hint="eastAsia" w:ascii="宋体" w:hAnsi="宋体" w:cs="宋体"/>
                <w:color w:val="000000"/>
                <w:kern w:val="0"/>
                <w:sz w:val="22"/>
                <w:szCs w:val="22"/>
                <w:lang w:bidi="ar"/>
                <w14:ligatures w14:val="none"/>
              </w:rPr>
              <w:t>中信建投证券股份有限公司</w:t>
            </w:r>
          </w:p>
        </w:tc>
      </w:tr>
    </w:tbl>
    <w:p w14:paraId="2AEA4D68">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楷体">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5C116"/>
    <w:multiLevelType w:val="multilevel"/>
    <w:tmpl w:val="52B5C116"/>
    <w:lvl w:ilvl="0" w:tentative="0">
      <w:start w:val="1"/>
      <w:numFmt w:val="decimal"/>
      <w:suff w:val="nothing"/>
      <w:lvlText w:val="%1、"/>
      <w:lvlJc w:val="left"/>
      <w:pPr>
        <w:tabs>
          <w:tab w:val="left" w:pos="0"/>
        </w:tabs>
        <w:ind w:left="0"/>
      </w:pPr>
      <w:rPr>
        <w:rFonts w:hint="default"/>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730D2BD4"/>
    <w:multiLevelType w:val="multilevel"/>
    <w:tmpl w:val="730D2BD4"/>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8"/>
    <w:unhideWhenUsed/>
    <w:qFormat/>
    <w:uiPriority w:val="99"/>
    <w:rPr>
      <w:b/>
      <w:bCs/>
    </w:rPr>
  </w:style>
  <w:style w:type="paragraph" w:styleId="3">
    <w:name w:val="annotation text"/>
    <w:basedOn w:val="1"/>
    <w:link w:val="17"/>
    <w:unhideWhenUsed/>
    <w:qFormat/>
    <w:uiPriority w:val="99"/>
    <w:pPr>
      <w:jc w:val="left"/>
    </w:pPr>
  </w:style>
  <w:style w:type="paragraph" w:styleId="4">
    <w:name w:val="Balloon Text"/>
    <w:basedOn w:val="1"/>
    <w:link w:val="19"/>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rPr>
      <w:sz w:val="24"/>
    </w:rPr>
  </w:style>
  <w:style w:type="character" w:styleId="9">
    <w:name w:val="FollowedHyperlink"/>
    <w:basedOn w:val="8"/>
    <w:unhideWhenUsed/>
    <w:qFormat/>
    <w:uiPriority w:val="99"/>
    <w:rPr>
      <w:color w:val="954F72"/>
      <w:u w:val="single"/>
    </w:rPr>
  </w:style>
  <w:style w:type="character" w:styleId="10">
    <w:name w:val="Emphasis"/>
    <w:basedOn w:val="8"/>
    <w:qFormat/>
    <w:uiPriority w:val="20"/>
    <w:rPr>
      <w:i/>
    </w:rPr>
  </w:style>
  <w:style w:type="character" w:styleId="11">
    <w:name w:val="Hyperlink"/>
    <w:basedOn w:val="8"/>
    <w:unhideWhenUsed/>
    <w:qFormat/>
    <w:uiPriority w:val="99"/>
    <w:rPr>
      <w:color w:val="0563C1"/>
      <w:u w:val="single"/>
    </w:rPr>
  </w:style>
  <w:style w:type="character" w:styleId="12">
    <w:name w:val="annotation reference"/>
    <w:basedOn w:val="8"/>
    <w:unhideWhenUsed/>
    <w:qFormat/>
    <w:uiPriority w:val="99"/>
    <w:rPr>
      <w:sz w:val="21"/>
      <w:szCs w:val="21"/>
    </w:rPr>
  </w:style>
  <w:style w:type="table" w:styleId="14">
    <w:name w:val="Table Grid"/>
    <w:basedOn w:val="13"/>
    <w:qFormat/>
    <w:uiPriority w:val="39"/>
    <w:rPr>
      <w:kern w:val="2"/>
      <w:sz w:val="22"/>
      <w:szCs w:val="24"/>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页眉 字符"/>
    <w:basedOn w:val="8"/>
    <w:link w:val="6"/>
    <w:qFormat/>
    <w:uiPriority w:val="99"/>
    <w:rPr>
      <w:rFonts w:ascii="Times New Roman" w:hAnsi="Times New Roman" w:eastAsia="宋体" w:cs="Times New Roman"/>
      <w:sz w:val="18"/>
      <w:szCs w:val="18"/>
    </w:rPr>
  </w:style>
  <w:style w:type="character" w:customStyle="1" w:styleId="16">
    <w:name w:val="页脚 字符"/>
    <w:basedOn w:val="8"/>
    <w:link w:val="5"/>
    <w:qFormat/>
    <w:uiPriority w:val="99"/>
    <w:rPr>
      <w:rFonts w:ascii="Times New Roman" w:hAnsi="Times New Roman" w:eastAsia="宋体" w:cs="Times New Roman"/>
      <w:sz w:val="18"/>
      <w:szCs w:val="18"/>
    </w:rPr>
  </w:style>
  <w:style w:type="character" w:customStyle="1" w:styleId="17">
    <w:name w:val="批注文字 字符"/>
    <w:basedOn w:val="8"/>
    <w:link w:val="3"/>
    <w:qFormat/>
    <w:uiPriority w:val="99"/>
    <w:rPr>
      <w:rFonts w:ascii="Times New Roman" w:hAnsi="Times New Roman" w:eastAsia="宋体" w:cs="Times New Roman"/>
      <w:szCs w:val="24"/>
    </w:rPr>
  </w:style>
  <w:style w:type="character" w:customStyle="1" w:styleId="18">
    <w:name w:val="批注主题 字符"/>
    <w:basedOn w:val="17"/>
    <w:link w:val="2"/>
    <w:semiHidden/>
    <w:qFormat/>
    <w:uiPriority w:val="99"/>
    <w:rPr>
      <w:rFonts w:ascii="Times New Roman" w:hAnsi="Times New Roman" w:eastAsia="宋体" w:cs="Times New Roman"/>
      <w:b/>
      <w:bCs/>
      <w:szCs w:val="24"/>
    </w:rPr>
  </w:style>
  <w:style w:type="character" w:customStyle="1" w:styleId="19">
    <w:name w:val="批注框文本 字符"/>
    <w:basedOn w:val="8"/>
    <w:link w:val="4"/>
    <w:semiHidden/>
    <w:qFormat/>
    <w:uiPriority w:val="99"/>
    <w:rPr>
      <w:rFonts w:ascii="Times New Roman" w:hAnsi="Times New Roman" w:eastAsia="宋体" w:cs="Times New Roman"/>
      <w:sz w:val="18"/>
      <w:szCs w:val="18"/>
    </w:rPr>
  </w:style>
  <w:style w:type="paragraph" w:customStyle="1" w:styleId="2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2">
    <w:name w:val="font5"/>
    <w:basedOn w:val="1"/>
    <w:qFormat/>
    <w:uiPriority w:val="0"/>
    <w:pPr>
      <w:widowControl/>
      <w:spacing w:before="100" w:beforeAutospacing="1" w:after="100" w:afterAutospacing="1"/>
      <w:jc w:val="left"/>
    </w:pPr>
    <w:rPr>
      <w:rFonts w:ascii="楷体" w:hAnsi="楷体" w:eastAsia="楷体" w:cs="宋体"/>
      <w:kern w:val="0"/>
      <w:sz w:val="18"/>
      <w:szCs w:val="18"/>
    </w:rPr>
  </w:style>
  <w:style w:type="paragraph" w:customStyle="1" w:styleId="23">
    <w:name w:val="font6"/>
    <w:basedOn w:val="1"/>
    <w:qFormat/>
    <w:uiPriority w:val="0"/>
    <w:pPr>
      <w:widowControl/>
      <w:spacing w:before="100" w:beforeAutospacing="1" w:after="100" w:afterAutospacing="1"/>
      <w:jc w:val="left"/>
    </w:pPr>
    <w:rPr>
      <w:rFonts w:ascii="楷体" w:hAnsi="楷体" w:eastAsia="楷体" w:cs="宋体"/>
      <w:b/>
      <w:bCs/>
      <w:color w:val="000000"/>
      <w:kern w:val="0"/>
      <w:sz w:val="28"/>
      <w:szCs w:val="28"/>
    </w:rPr>
  </w:style>
  <w:style w:type="paragraph" w:customStyle="1" w:styleId="24">
    <w:name w:val="xl63"/>
    <w:basedOn w:val="1"/>
    <w:qFormat/>
    <w:uiPriority w:val="0"/>
    <w:pPr>
      <w:widowControl/>
      <w:spacing w:before="100" w:beforeAutospacing="1" w:after="100" w:afterAutospacing="1"/>
      <w:jc w:val="center"/>
    </w:pPr>
    <w:rPr>
      <w:kern w:val="0"/>
      <w:sz w:val="24"/>
    </w:rPr>
  </w:style>
  <w:style w:type="paragraph" w:customStyle="1" w:styleId="25">
    <w:name w:val="xl64"/>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6">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kern w:val="0"/>
      <w:sz w:val="24"/>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
    <w:name w:val="xl70"/>
    <w:basedOn w:val="1"/>
    <w:qFormat/>
    <w:uiPriority w:val="0"/>
    <w:pPr>
      <w:widowControl/>
      <w:spacing w:before="100" w:beforeAutospacing="1" w:after="100" w:afterAutospacing="1"/>
      <w:jc w:val="center"/>
    </w:pPr>
    <w:rPr>
      <w:kern w:val="0"/>
      <w:sz w:val="24"/>
    </w:rPr>
  </w:style>
  <w:style w:type="paragraph" w:customStyle="1" w:styleId="32">
    <w:name w:val="xl71"/>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34">
    <w:name w:val="List Paragraph"/>
    <w:basedOn w:val="1"/>
    <w:unhideWhenUsed/>
    <w:uiPriority w:val="99"/>
    <w:pPr>
      <w:ind w:firstLine="420" w:firstLineChars="200"/>
    </w:pPr>
  </w:style>
  <w:style w:type="paragraph" w:customStyle="1" w:styleId="35">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2545</Words>
  <Characters>2652</Characters>
  <Lines>24</Lines>
  <Paragraphs>6</Paragraphs>
  <TotalTime>0</TotalTime>
  <ScaleCrop>false</ScaleCrop>
  <LinksUpToDate>false</LinksUpToDate>
  <CharactersWithSpaces>2775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2026-08-20T15:46:00Z</dcterms:created>
  <dc:creator>skd004</dc:creator>
  <cp:lastModifiedBy>iPhone</cp:lastModifiedBy>
  <dcterms:modified xsi:type="dcterms:W3CDTF">2026-09-11T16:52:35Z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2052-26.8.1</vt:lpwstr>
  </property>
  <property fmtid="{D5CDD505-2E9C-101B-9397-08002B2CF9AE}" pid="3" name="ICV">
    <vt:lpwstr>121D0155DA7F49678F8F6481E09021BC_13</vt:lpwstr>
  </property>
  <property fmtid="{D5CDD505-2E9C-101B-9397-08002B2CF9AE}" pid="4" name="KSOTemplateDocerSaveRecord">
    <vt:lpwstr>eyJoZGlkIjoiMjAyYzIzNDM2ZmQ0NThhMzE2OWRmODYzMWIwNWE2MmMiLCJ1c2VySWQiOiIxNjczNzY5MTMxIn0=</vt:lpwstr>
  </property>
</Properties>
</file>