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6C867">
      <w:pPr>
        <w:widowControl/>
        <w:shd w:val="clear" w:color="auto" w:fill="FFFFFF"/>
        <w:spacing w:line="480" w:lineRule="auto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bookmarkStart w:id="0" w:name="_GoBack"/>
      <w:bookmarkEnd w:id="0"/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证券代码：688379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             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证券简称：华光新材</w:t>
      </w:r>
    </w:p>
    <w:p w14:paraId="3AA2DEFA">
      <w:pPr>
        <w:widowControl/>
        <w:shd w:val="clear" w:color="auto" w:fill="FFFFFF"/>
        <w:spacing w:line="480" w:lineRule="auto"/>
        <w:jc w:val="center"/>
        <w:rPr>
          <w:rFonts w:ascii="Courier New" w:hAnsi="Courier New" w:eastAsia="宋体" w:cs="宋体"/>
          <w:color w:val="000000"/>
          <w:kern w:val="0"/>
          <w:sz w:val="30"/>
          <w:szCs w:val="30"/>
        </w:rPr>
      </w:pPr>
      <w:r>
        <w:rPr>
          <w:rFonts w:ascii="Courier New" w:hAnsi="Courier New" w:eastAsia="宋体" w:cs="宋体"/>
          <w:b/>
          <w:bCs/>
          <w:color w:val="000000"/>
          <w:kern w:val="0"/>
          <w:sz w:val="30"/>
          <w:szCs w:val="30"/>
        </w:rPr>
        <w:t>杭州华光焊接新材料股份有限公司投资者关系活动记录表</w:t>
      </w:r>
    </w:p>
    <w:p w14:paraId="1550E235">
      <w:pPr>
        <w:widowControl/>
        <w:shd w:val="clear" w:color="auto" w:fill="FFFFFF"/>
        <w:spacing w:line="480" w:lineRule="auto"/>
        <w:ind w:firstLine="480" w:firstLineChars="200"/>
        <w:jc w:val="right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编号：202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6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-0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10</w:t>
      </w:r>
    </w:p>
    <w:tbl>
      <w:tblPr>
        <w:tblStyle w:val="9"/>
        <w:tblpPr w:leftFromText="180" w:rightFromText="180" w:vertAnchor="text" w:tblpXSpec="right" w:tblpY="1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455"/>
      </w:tblGrid>
      <w:tr w14:paraId="6F7B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5B02C65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投资者关系活动类别</w:t>
            </w:r>
          </w:p>
        </w:tc>
        <w:tc>
          <w:tcPr>
            <w:tcW w:w="7455" w:type="dxa"/>
            <w:vAlign w:val="center"/>
          </w:tcPr>
          <w:p w14:paraId="1481106B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■特定对象调研 □分析师会议</w:t>
            </w:r>
          </w:p>
          <w:p w14:paraId="365F8D8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□媒体采访 □业绩说明会</w:t>
            </w:r>
          </w:p>
          <w:p w14:paraId="0AC601F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□新闻发布会 □路演活动</w:t>
            </w:r>
          </w:p>
          <w:p w14:paraId="6945120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□现场参观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 xml:space="preserve"> </w:t>
            </w:r>
          </w:p>
          <w:p w14:paraId="19D08496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□其他</w:t>
            </w:r>
          </w:p>
        </w:tc>
      </w:tr>
      <w:tr w14:paraId="6A96B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696" w:type="dxa"/>
            <w:vAlign w:val="center"/>
          </w:tcPr>
          <w:p w14:paraId="62C46DE7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参与单位名称</w:t>
            </w:r>
          </w:p>
        </w:tc>
        <w:tc>
          <w:tcPr>
            <w:tcW w:w="7455" w:type="dxa"/>
            <w:vAlign w:val="center"/>
          </w:tcPr>
          <w:p w14:paraId="24B90F8F">
            <w:pPr>
              <w:widowControl/>
              <w:spacing w:line="420" w:lineRule="atLeas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易方达基金、国海富兰克林基金、富国基金、摩根基金、华安基金、勤辰基金、惠升基金、中和资本、财通基金、天风证券</w:t>
            </w:r>
          </w:p>
        </w:tc>
      </w:tr>
      <w:tr w14:paraId="505B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32D950F2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时间</w:t>
            </w:r>
          </w:p>
        </w:tc>
        <w:tc>
          <w:tcPr>
            <w:tcW w:w="7455" w:type="dxa"/>
            <w:vAlign w:val="center"/>
          </w:tcPr>
          <w:p w14:paraId="56031C25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8日-2026年9月11日</w:t>
            </w:r>
          </w:p>
        </w:tc>
      </w:tr>
      <w:tr w14:paraId="3B4F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6476C21A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参会方式</w:t>
            </w:r>
          </w:p>
        </w:tc>
        <w:tc>
          <w:tcPr>
            <w:tcW w:w="7455" w:type="dxa"/>
            <w:vAlign w:val="center"/>
          </w:tcPr>
          <w:p w14:paraId="3B0148B8">
            <w:pPr>
              <w:widowControl/>
              <w:spacing w:line="42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机构路演、现场调研、线上调研</w:t>
            </w:r>
          </w:p>
        </w:tc>
      </w:tr>
      <w:tr w14:paraId="456D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7835A1AA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上市公司接待人员姓名</w:t>
            </w:r>
          </w:p>
        </w:tc>
        <w:tc>
          <w:tcPr>
            <w:tcW w:w="7455" w:type="dxa"/>
            <w:vAlign w:val="center"/>
          </w:tcPr>
          <w:p w14:paraId="3C87EBC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董事会秘书胡岭、证券事务代表李美娟</w:t>
            </w:r>
          </w:p>
        </w:tc>
      </w:tr>
      <w:tr w14:paraId="7628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1E7D300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投资者关系活动主要内容介绍</w:t>
            </w:r>
          </w:p>
        </w:tc>
        <w:tc>
          <w:tcPr>
            <w:tcW w:w="7455" w:type="dxa"/>
            <w:vAlign w:val="center"/>
          </w:tcPr>
          <w:p w14:paraId="37E9D9DA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第一部分 介绍公司相关情况</w:t>
            </w:r>
          </w:p>
          <w:p w14:paraId="022097AC">
            <w:pPr>
              <w:pStyle w:val="13"/>
              <w:widowControl/>
              <w:spacing w:line="460" w:lineRule="exact"/>
              <w:ind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内容包括华光新材基本情况、2026年半年度经营状况、未来发展规划。</w:t>
            </w:r>
          </w:p>
          <w:p w14:paraId="4DE8B63E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</w:p>
          <w:p w14:paraId="360B16B7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第二部分 </w:t>
            </w:r>
            <w:r>
              <w:rPr>
                <w:rFonts w:ascii="Times New Roman" w:hAnsi="Times New Roman"/>
                <w:sz w:val="24"/>
                <w:szCs w:val="24"/>
              </w:rPr>
              <w:t>提问回答</w:t>
            </w:r>
          </w:p>
          <w:p w14:paraId="68524302">
            <w:pPr>
              <w:pStyle w:val="13"/>
              <w:widowControl/>
              <w:spacing w:line="460" w:lineRule="exact"/>
              <w:ind w:firstLine="0" w:firstLineChars="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公司各类产品与下游应用领域之间的对应关系是怎样的，公司在行业内的核心竞争力是什么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6CE795E7">
            <w:pPr>
              <w:pStyle w:val="13"/>
              <w:widowControl/>
              <w:spacing w:line="460" w:lineRule="exact"/>
              <w:ind w:firstLine="0" w:firstLine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公司主要产品为铜基钎料、银钎料、铝基钎料、锡基钎料、镍基钎料和银浆等材料。钎焊材料特别适合用于精密、异种材料及异种结构的焊接，具有导电、导热及耐蚀等特性，广泛应用于同种金属、异种金属、金属与非金属之间的钎焊连接，下游应用涵盖制冷暖通、电力电气、电子、新能源汽车及其他工业应用等领域。因不同客户、不同应用场景、不同部件的焊接需求不同，同一个应用领域可以用到多种钎焊材料。公司建立了品类齐全的产品体系，</w:t>
            </w:r>
            <w:r>
              <w:rPr>
                <w:rFonts w:hint="eastAsia" w:ascii="宋体" w:hAnsi="宋体" w:cs="宋体"/>
                <w:sz w:val="24"/>
                <w:szCs w:val="24"/>
              </w:rPr>
              <w:t>运用先进焊接技术并配套自动化焊接设备，为客户提供一站式产品与焊接技术整体解决方案的服务，精准匹配高端制造对精密连接的需求，赢得更广泛的市场认同和客户信赖。</w:t>
            </w:r>
          </w:p>
          <w:p w14:paraId="1E32AA33">
            <w:pPr>
              <w:pStyle w:val="13"/>
              <w:widowControl/>
              <w:spacing w:line="460" w:lineRule="exact"/>
              <w:ind w:firstLine="0" w:firstLineChars="0"/>
              <w:rPr>
                <w:rFonts w:ascii="宋体" w:hAnsi="宋体" w:cs="宋体"/>
                <w:sz w:val="24"/>
                <w:szCs w:val="24"/>
              </w:rPr>
            </w:pPr>
          </w:p>
          <w:p w14:paraId="3EA571F9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今年上半年公司营收实现了较高增长，主要驱动因素是什么？</w:t>
            </w:r>
          </w:p>
          <w:p w14:paraId="783DD088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答：2026年上半年营业收入超23亿元，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同比增长91.44%，主要因为公司在巩固制冷暖通、电力电气等领域业务的基础上，积极拓展电子、新能源汽车等新赛道，业务量逐步放大；同时，原材料价格上涨也带动了营收的增长。</w:t>
            </w:r>
          </w:p>
          <w:p w14:paraId="27ABB7CD">
            <w:pPr>
              <w:pStyle w:val="13"/>
              <w:widowControl/>
              <w:spacing w:line="460" w:lineRule="exact"/>
              <w:ind w:firstLine="480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3255C76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今年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半年度各业务领域营业收入增长情况及业务结构情况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4A10F5DC">
            <w:pPr>
              <w:numPr>
                <w:ilvl w:val="255"/>
                <w:numId w:val="0"/>
              </w:numPr>
              <w:spacing w:line="360" w:lineRule="auto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近年来，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公司在巩固制冷暖通、电力电气等领域的基础上积极拓展电子、新能源汽车等新赛道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2026年上半年公司各应用领域的营收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均实现了增长，其中制冷领域营收同比增长65.31%，电力电气领域营收同比增长58.32%，新能源汽车领域营收同比增长141.13%，电子领域营收同比增长177.37%。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新领域营收增长带动公司业务结构持续优化，其中，制冷暖通领域收入占比为37.82%，电子领域为29.78%，电力电气领域为19.45%，新能源汽车领域</w:t>
            </w: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6.61%，其他各类工业应用领域</w:t>
            </w: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6.33%。</w:t>
            </w:r>
            <w:r>
              <w:rPr>
                <w:rFonts w:ascii="'宋体'" w:hAnsi="'宋体'" w:eastAsia="'宋体'"/>
                <w:color w:val="000000"/>
                <w:sz w:val="24"/>
              </w:rPr>
              <w:t>多元化结构</w:t>
            </w:r>
            <w:r>
              <w:rPr>
                <w:rFonts w:hint="eastAsia" w:ascii="'宋体'" w:hAnsi="'宋体'" w:eastAsia="'宋体'"/>
                <w:color w:val="000000"/>
                <w:sz w:val="24"/>
              </w:rPr>
              <w:t>有效改善了</w:t>
            </w:r>
            <w:r>
              <w:rPr>
                <w:rFonts w:ascii="'宋体'" w:hAnsi="'宋体'" w:eastAsia="'宋体'"/>
                <w:color w:val="000000"/>
                <w:sz w:val="24"/>
              </w:rPr>
              <w:t>单一行业周期波动</w:t>
            </w:r>
            <w:r>
              <w:rPr>
                <w:rFonts w:hint="eastAsia" w:ascii="'宋体'" w:hAnsi="'宋体'" w:eastAsia="'宋体'"/>
                <w:color w:val="000000"/>
                <w:sz w:val="24"/>
              </w:rPr>
              <w:t>带来的业绩影响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。</w:t>
            </w:r>
          </w:p>
          <w:p w14:paraId="3823565E">
            <w:pPr>
              <w:numPr>
                <w:ilvl w:val="255"/>
                <w:numId w:val="0"/>
              </w:numPr>
              <w:spacing w:line="360" w:lineRule="auto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449C82D">
            <w:pPr>
              <w:pStyle w:val="13"/>
              <w:spacing w:line="460" w:lineRule="exact"/>
              <w:ind w:firstLine="0" w:firstLineChars="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问题4、目前公司数据中心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液冷业务开拓进展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情况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如何？</w:t>
            </w:r>
          </w:p>
          <w:p w14:paraId="3998CE96">
            <w:pPr>
              <w:widowControl/>
              <w:spacing w:line="360" w:lineRule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</w:t>
            </w:r>
            <w:r>
              <w:rPr>
                <w:rFonts w:ascii="宋体" w:hAnsi="宋体" w:cs="宋体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sz w:val="24"/>
                <w:szCs w:val="24"/>
              </w:rPr>
              <w:t>随着下游需求的增长及自身产能的提升，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数据中心液冷用精密钎焊材料营业收入进一步增长，2026年上半年实现营业收入2.16亿元，占总营业收入的9.36%，成为公司业绩增长的重要动力。</w:t>
            </w:r>
          </w:p>
          <w:p w14:paraId="4933D89F">
            <w:pPr>
              <w:pStyle w:val="13"/>
              <w:widowControl/>
              <w:spacing w:line="460" w:lineRule="exact"/>
              <w:ind w:left="-360" w:firstLine="48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47D714B5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问题5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泰国工厂上半年营收情况，产能释放节奏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1ED257D2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答：泰国工厂（一期）在今年2月投产后，紧锣密鼓推进客户审厂工作，已逐步实现销售收入。现阶段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泰国工厂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处于产能爬坡阶段，下半年销售规模可望稳步提升。</w:t>
            </w:r>
          </w:p>
          <w:p w14:paraId="48B83274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788C2E2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上半年锡基钎料增长情况如何，其中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锡膏业务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进展情况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？</w:t>
            </w:r>
          </w:p>
          <w:p w14:paraId="0C7C8A2F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答：2026年上半年，锡基钎料营业收入实现2.76亿元，在优化产品销售结构的基础上，营收同比增长42.74%。其中，锡膏业务收入实现较高增长，但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受行业验证周期较长等因素影响，在整体营收中占比不高。后续公司将进一步加大微小间距锡膏产品研发，加快国内外新客户验证导入，持续提升锡膏业务营收规模。</w:t>
            </w:r>
          </w:p>
          <w:p w14:paraId="27303F70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66927F96">
            <w:pPr>
              <w:widowControl/>
              <w:spacing w:line="360" w:lineRule="auto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3BF2B63F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0E26EC36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213DF73A">
            <w:pPr>
              <w:pStyle w:val="13"/>
              <w:spacing w:line="460" w:lineRule="exact"/>
              <w:ind w:firstLine="0" w:firstLineChars="0"/>
              <w:rPr>
                <w:rFonts w:ascii="宋体" w:hAnsi="宋体" w:cs="宋体"/>
                <w:sz w:val="24"/>
                <w:szCs w:val="24"/>
              </w:rPr>
            </w:pPr>
          </w:p>
          <w:p w14:paraId="651DCF9F">
            <w:pPr>
              <w:pStyle w:val="13"/>
              <w:spacing w:line="460" w:lineRule="exact"/>
              <w:ind w:firstLine="48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  <w:szCs w:val="24"/>
              </w:rPr>
              <w:t>接待过程中，公司与投资者进行了充分的交流与沟通，并严格遵守有关法律法规及公司《信息披露管理制度》等要求，</w:t>
            </w:r>
            <w:r>
              <w:rPr>
                <w:rFonts w:hint="eastAsia" w:ascii="宋体" w:hAnsi="宋体"/>
                <w:sz w:val="24"/>
                <w:szCs w:val="24"/>
              </w:rPr>
              <w:t>确保</w:t>
            </w:r>
            <w:r>
              <w:rPr>
                <w:rFonts w:ascii="宋体" w:hAnsi="宋体"/>
                <w:sz w:val="24"/>
                <w:szCs w:val="24"/>
              </w:rPr>
              <w:t>信息披露的真实、准确、完整、及时、公平。</w:t>
            </w:r>
          </w:p>
        </w:tc>
      </w:tr>
    </w:tbl>
    <w:p w14:paraId="00924CE7"/>
    <w:p w14:paraId="66DE16F7"/>
    <w:sectPr>
      <w:pgSz w:w="11906" w:h="16838"/>
      <w:pgMar w:top="1134" w:right="1418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'宋体'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19"/>
    <w:rsid w:val="000C024B"/>
    <w:rsid w:val="00135019"/>
    <w:rsid w:val="00186E5D"/>
    <w:rsid w:val="00240707"/>
    <w:rsid w:val="00296986"/>
    <w:rsid w:val="004A0CFC"/>
    <w:rsid w:val="00587FE9"/>
    <w:rsid w:val="005F3E69"/>
    <w:rsid w:val="00616EBB"/>
    <w:rsid w:val="00692F32"/>
    <w:rsid w:val="0081745A"/>
    <w:rsid w:val="00AD3DCD"/>
    <w:rsid w:val="00C07970"/>
    <w:rsid w:val="00C56F41"/>
    <w:rsid w:val="00D043BB"/>
    <w:rsid w:val="00D715FA"/>
    <w:rsid w:val="00DB78CC"/>
    <w:rsid w:val="00EA0EB4"/>
    <w:rsid w:val="00EA4335"/>
    <w:rsid w:val="00EE781A"/>
    <w:rsid w:val="00EF6069"/>
    <w:rsid w:val="00FA4AF8"/>
    <w:rsid w:val="00FC19E0"/>
    <w:rsid w:val="01531AA2"/>
    <w:rsid w:val="0232079E"/>
    <w:rsid w:val="0410030A"/>
    <w:rsid w:val="049067AC"/>
    <w:rsid w:val="07635FE9"/>
    <w:rsid w:val="08031F33"/>
    <w:rsid w:val="083E495B"/>
    <w:rsid w:val="0A805ABD"/>
    <w:rsid w:val="0AA11E30"/>
    <w:rsid w:val="0C663271"/>
    <w:rsid w:val="0FF9556D"/>
    <w:rsid w:val="128226C0"/>
    <w:rsid w:val="1682314E"/>
    <w:rsid w:val="16AF5D04"/>
    <w:rsid w:val="192045E2"/>
    <w:rsid w:val="19B96A31"/>
    <w:rsid w:val="19EB5EAF"/>
    <w:rsid w:val="1B3837CC"/>
    <w:rsid w:val="1D3746B3"/>
    <w:rsid w:val="1F3C4541"/>
    <w:rsid w:val="1F8660A0"/>
    <w:rsid w:val="20BA2B17"/>
    <w:rsid w:val="210B63F6"/>
    <w:rsid w:val="2475598C"/>
    <w:rsid w:val="25667D35"/>
    <w:rsid w:val="26B57D5D"/>
    <w:rsid w:val="2B8B5E68"/>
    <w:rsid w:val="2E9640D5"/>
    <w:rsid w:val="2FB63E2D"/>
    <w:rsid w:val="2FCF2953"/>
    <w:rsid w:val="2FDD2EE6"/>
    <w:rsid w:val="308D5437"/>
    <w:rsid w:val="309175CE"/>
    <w:rsid w:val="31311B12"/>
    <w:rsid w:val="32543208"/>
    <w:rsid w:val="328968A6"/>
    <w:rsid w:val="328B38AD"/>
    <w:rsid w:val="34183724"/>
    <w:rsid w:val="34982C18"/>
    <w:rsid w:val="382872B8"/>
    <w:rsid w:val="3849593E"/>
    <w:rsid w:val="3C94676F"/>
    <w:rsid w:val="3CA16CEE"/>
    <w:rsid w:val="3CD427B4"/>
    <w:rsid w:val="3ECB2497"/>
    <w:rsid w:val="417A6FCF"/>
    <w:rsid w:val="41996B74"/>
    <w:rsid w:val="41F53A9C"/>
    <w:rsid w:val="42532B34"/>
    <w:rsid w:val="42EA2285"/>
    <w:rsid w:val="434334FE"/>
    <w:rsid w:val="43DA4301"/>
    <w:rsid w:val="46993E67"/>
    <w:rsid w:val="47592A82"/>
    <w:rsid w:val="49276894"/>
    <w:rsid w:val="4A976A30"/>
    <w:rsid w:val="4AD62257"/>
    <w:rsid w:val="4B07690F"/>
    <w:rsid w:val="4BF81337"/>
    <w:rsid w:val="4CE90385"/>
    <w:rsid w:val="4F7840A6"/>
    <w:rsid w:val="4FB5139E"/>
    <w:rsid w:val="50824463"/>
    <w:rsid w:val="50EF4EA5"/>
    <w:rsid w:val="50FC43CE"/>
    <w:rsid w:val="52C360E1"/>
    <w:rsid w:val="549F3B48"/>
    <w:rsid w:val="56A142C6"/>
    <w:rsid w:val="599216E5"/>
    <w:rsid w:val="59B42321"/>
    <w:rsid w:val="5B03124A"/>
    <w:rsid w:val="5B341957"/>
    <w:rsid w:val="5B573045"/>
    <w:rsid w:val="5B5F2EB5"/>
    <w:rsid w:val="5EF83509"/>
    <w:rsid w:val="5EFF6126"/>
    <w:rsid w:val="5F881BCB"/>
    <w:rsid w:val="6014041E"/>
    <w:rsid w:val="60DC2CC3"/>
    <w:rsid w:val="61194FDB"/>
    <w:rsid w:val="615117B2"/>
    <w:rsid w:val="61FA48E2"/>
    <w:rsid w:val="64375FEA"/>
    <w:rsid w:val="64580CB0"/>
    <w:rsid w:val="64F67B8C"/>
    <w:rsid w:val="65367B51"/>
    <w:rsid w:val="65FA0F8A"/>
    <w:rsid w:val="660E63DF"/>
    <w:rsid w:val="68D04B6C"/>
    <w:rsid w:val="6B3B4F08"/>
    <w:rsid w:val="6C1B38EF"/>
    <w:rsid w:val="6FA974BD"/>
    <w:rsid w:val="6FB8233D"/>
    <w:rsid w:val="71B75F36"/>
    <w:rsid w:val="74614EB2"/>
    <w:rsid w:val="787550FD"/>
    <w:rsid w:val="79A05AEA"/>
    <w:rsid w:val="7F1B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_Style 6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4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文字 Char"/>
    <w:basedOn w:val="10"/>
    <w:link w:val="3"/>
    <w:qFormat/>
    <w:uiPriority w:val="0"/>
    <w:rPr>
      <w:kern w:val="2"/>
      <w:sz w:val="21"/>
      <w:szCs w:val="22"/>
    </w:rPr>
  </w:style>
  <w:style w:type="character" w:customStyle="1" w:styleId="17">
    <w:name w:val="批注主题 Char"/>
    <w:basedOn w:val="16"/>
    <w:link w:val="7"/>
    <w:qFormat/>
    <w:uiPriority w:val="0"/>
    <w:rPr>
      <w:b/>
      <w:bCs/>
      <w:kern w:val="2"/>
      <w:sz w:val="21"/>
      <w:szCs w:val="22"/>
    </w:rPr>
  </w:style>
  <w:style w:type="character" w:customStyle="1" w:styleId="18">
    <w:name w:val="批注框文本 Char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1417</Words>
  <Characters>1518</Characters>
  <Lines>10</Lines>
  <Paragraphs>3</Paragraphs>
  <TotalTime>27</TotalTime>
  <ScaleCrop>false</ScaleCrop>
  <LinksUpToDate>false</LinksUpToDate>
  <CharactersWithSpaces>1562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2026-09-14T01:42:00Z</dcterms:created>
  <dc:creator>limeijuan</dc:creator>
  <cp:lastModifiedBy>柳柳</cp:lastModifiedBy>
  <dcterms:modified xsi:type="dcterms:W3CDTF">2026-09-14T07:16:51Z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83132D2FB81C43F6A4ADFC9981C8EE9E_13</vt:lpwstr>
  </property>
  <property fmtid="{D5CDD505-2E9C-101B-9397-08002B2CF9AE}" pid="4" name="KSOTemplateDocerSaveRecord">
    <vt:lpwstr>eyJoZGlkIjoiODU2OWE2MGU2YTc1YTZjYmQ2YTQ5Mjg4Njk5MmZiZjgiLCJ1c2VySWQiOiI3MTg2NDM3MzIifQ==</vt:lpwstr>
  </property>
</Properties>
</file>