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4FAB9">
      <w:pPr>
        <w:spacing w:before="156" w:beforeLines="50" w:after="156" w:afterLines="50" w:line="400" w:lineRule="exact"/>
        <w:rPr>
          <w:rFonts w:hint="eastAsia" w:ascii="宋体" w:hAnsi="宋体"/>
          <w:bCs/>
          <w:iCs/>
          <w:color w:val="000000" w:themeColor="text1"/>
          <w:sz w:val="24"/>
          <w14:textFill>
            <w14:solidFill>
              <w14:schemeClr w14:val="tx1"/>
            </w14:solidFill>
          </w14:textFill>
        </w:rPr>
      </w:pPr>
      <w:r>
        <w:rPr>
          <w:rFonts w:hint="eastAsia" w:ascii="宋体" w:hAnsi="宋体"/>
          <w:bCs/>
          <w:iCs/>
          <w:color w:val="000000" w:themeColor="text1"/>
          <w:sz w:val="24"/>
          <w14:textFill>
            <w14:solidFill>
              <w14:schemeClr w14:val="tx1"/>
            </w14:solidFill>
          </w14:textFill>
        </w:rPr>
        <w:t>证券代码：</w:t>
      </w:r>
      <w:r>
        <w:rPr>
          <w:rFonts w:ascii="宋体" w:hAnsi="宋体" w:cs="宋体"/>
          <w:color w:val="000000" w:themeColor="text1"/>
          <w:sz w:val="24"/>
          <w14:textFill>
            <w14:solidFill>
              <w14:schemeClr w14:val="tx1"/>
            </w14:solidFill>
          </w14:textFill>
        </w:rPr>
        <w:t>688063</w:t>
      </w:r>
      <w:r>
        <w:rPr>
          <w:rFonts w:hint="eastAsia" w:ascii="宋体" w:hAnsi="宋体"/>
          <w:bCs/>
          <w:iCs/>
          <w:color w:val="000000" w:themeColor="text1"/>
          <w:sz w:val="24"/>
          <w14:textFill>
            <w14:solidFill>
              <w14:schemeClr w14:val="tx1"/>
            </w14:solidFill>
          </w14:textFill>
        </w:rPr>
        <w:t xml:space="preserve">                      </w:t>
      </w:r>
      <w:r>
        <w:rPr>
          <w:rFonts w:ascii="宋体" w:hAnsi="宋体"/>
          <w:bCs/>
          <w:iCs/>
          <w:color w:val="000000" w:themeColor="text1"/>
          <w:sz w:val="24"/>
          <w14:textFill>
            <w14:solidFill>
              <w14:schemeClr w14:val="tx1"/>
            </w14:solidFill>
          </w14:textFill>
        </w:rPr>
        <w:t xml:space="preserve">         </w:t>
      </w:r>
      <w:r>
        <w:rPr>
          <w:rFonts w:hint="eastAsia" w:ascii="宋体" w:hAnsi="宋体"/>
          <w:bCs/>
          <w:iCs/>
          <w:color w:val="000000" w:themeColor="text1"/>
          <w:sz w:val="24"/>
          <w14:textFill>
            <w14:solidFill>
              <w14:schemeClr w14:val="tx1"/>
            </w14:solidFill>
          </w14:textFill>
        </w:rPr>
        <w:t xml:space="preserve"> </w:t>
      </w:r>
      <w:r>
        <w:rPr>
          <w:rFonts w:ascii="宋体" w:hAnsi="宋体"/>
          <w:bCs/>
          <w:iCs/>
          <w:color w:val="000000" w:themeColor="text1"/>
          <w:sz w:val="24"/>
          <w14:textFill>
            <w14:solidFill>
              <w14:schemeClr w14:val="tx1"/>
            </w14:solidFill>
          </w14:textFill>
        </w:rPr>
        <w:t xml:space="preserve">   </w:t>
      </w:r>
      <w:r>
        <w:rPr>
          <w:rFonts w:hint="eastAsia" w:ascii="宋体" w:hAnsi="宋体"/>
          <w:bCs/>
          <w:iCs/>
          <w:color w:val="000000" w:themeColor="text1"/>
          <w:sz w:val="24"/>
          <w14:textFill>
            <w14:solidFill>
              <w14:schemeClr w14:val="tx1"/>
            </w14:solidFill>
          </w14:textFill>
        </w:rPr>
        <w:t>证券简称：</w:t>
      </w:r>
      <w:r>
        <w:rPr>
          <w:rFonts w:ascii="宋体" w:hAnsi="宋体" w:cs="宋体"/>
          <w:color w:val="000000" w:themeColor="text1"/>
          <w:sz w:val="24"/>
          <w14:textFill>
            <w14:solidFill>
              <w14:schemeClr w14:val="tx1"/>
            </w14:solidFill>
          </w14:textFill>
        </w:rPr>
        <w:t>派能科技</w:t>
      </w:r>
    </w:p>
    <w:p w14:paraId="64F358C2">
      <w:pPr>
        <w:spacing w:before="156" w:beforeLines="50" w:after="156" w:afterLines="50" w:line="400" w:lineRule="exact"/>
        <w:jc w:val="center"/>
        <w:rPr>
          <w:rFonts w:hint="eastAsia"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14:textFill>
            <w14:solidFill>
              <w14:schemeClr w14:val="tx1"/>
            </w14:solidFill>
          </w14:textFill>
        </w:rPr>
        <w:t>上海派能能源科技股份有限</w:t>
      </w:r>
      <w:r>
        <w:rPr>
          <w:rFonts w:hint="eastAsia" w:ascii="黑体" w:hAnsi="黑体" w:eastAsia="黑体" w:cs="黑体"/>
          <w:b/>
          <w:color w:val="000000" w:themeColor="text1"/>
          <w:sz w:val="32"/>
          <w:szCs w:val="32"/>
          <w14:textFill>
            <w14:solidFill>
              <w14:schemeClr w14:val="tx1"/>
            </w14:solidFill>
          </w14:textFill>
        </w:rPr>
        <w:t>公司</w:t>
      </w:r>
    </w:p>
    <w:p w14:paraId="66A0E43D">
      <w:pPr>
        <w:spacing w:before="156" w:beforeLines="50" w:after="156" w:afterLines="50" w:line="400" w:lineRule="exact"/>
        <w:jc w:val="center"/>
        <w:rPr>
          <w:rFonts w:hint="eastAsia" w:ascii="宋体" w:hAnsi="宋体"/>
          <w:b/>
          <w:bCs/>
          <w:iCs/>
          <w:color w:val="000000" w:themeColor="text1"/>
          <w:sz w:val="32"/>
          <w:szCs w:val="32"/>
          <w14:textFill>
            <w14:solidFill>
              <w14:schemeClr w14:val="tx1"/>
            </w14:solidFill>
          </w14:textFill>
        </w:rPr>
      </w:pPr>
      <w:r>
        <w:rPr>
          <w:rFonts w:hint="eastAsia" w:ascii="黑体" w:hAnsi="黑体" w:eastAsia="黑体" w:cs="黑体"/>
          <w:b/>
          <w:bCs/>
          <w:iCs/>
          <w:color w:val="000000" w:themeColor="text1"/>
          <w:sz w:val="32"/>
          <w:szCs w:val="32"/>
          <w14:textFill>
            <w14:solidFill>
              <w14:schemeClr w14:val="tx1"/>
            </w14:solidFill>
          </w14:textFill>
        </w:rPr>
        <w:t>投资者关系活动记录表</w:t>
      </w:r>
    </w:p>
    <w:p w14:paraId="4560E93A">
      <w:pPr>
        <w:spacing w:line="400" w:lineRule="exact"/>
        <w:rPr>
          <w:rFonts w:hint="eastAsia" w:ascii="宋体" w:hAnsi="宋体" w:eastAsia="宋体"/>
          <w:bCs/>
          <w:iCs/>
          <w:color w:val="000000" w:themeColor="text1"/>
          <w:sz w:val="24"/>
          <w:lang w:eastAsia="zh-CN"/>
          <w14:textFill>
            <w14:solidFill>
              <w14:schemeClr w14:val="tx1"/>
            </w14:solidFill>
          </w14:textFill>
        </w:rPr>
      </w:pPr>
      <w:r>
        <w:rPr>
          <w:rFonts w:hint="eastAsia" w:ascii="宋体" w:hAnsi="宋体"/>
          <w:bCs/>
          <w:iCs/>
          <w:color w:val="000000" w:themeColor="text1"/>
          <w:sz w:val="24"/>
          <w14:textFill>
            <w14:solidFill>
              <w14:schemeClr w14:val="tx1"/>
            </w14:solidFill>
          </w14:textFill>
        </w:rPr>
        <w:t xml:space="preserve">                                                </w:t>
      </w:r>
      <w:r>
        <w:rPr>
          <w:rFonts w:ascii="宋体" w:hAnsi="宋体"/>
          <w:bCs/>
          <w:iCs/>
          <w:color w:val="000000" w:themeColor="text1"/>
          <w:sz w:val="24"/>
          <w14:textFill>
            <w14:solidFill>
              <w14:schemeClr w14:val="tx1"/>
            </w14:solidFill>
          </w14:textFill>
        </w:rPr>
        <w:t xml:space="preserve">    </w:t>
      </w:r>
      <w:r>
        <w:rPr>
          <w:rFonts w:hint="eastAsia" w:ascii="宋体" w:hAnsi="宋体"/>
          <w:bCs/>
          <w:iCs/>
          <w:color w:val="000000" w:themeColor="text1"/>
          <w:sz w:val="24"/>
          <w14:textFill>
            <w14:solidFill>
              <w14:schemeClr w14:val="tx1"/>
            </w14:solidFill>
          </w14:textFill>
        </w:rPr>
        <w:t xml:space="preserve">  编号：</w:t>
      </w:r>
      <w:r>
        <w:rPr>
          <w:rFonts w:ascii="宋体" w:hAnsi="宋体" w:cs="宋体"/>
          <w:color w:val="000000" w:themeColor="text1"/>
          <w:sz w:val="24"/>
          <w14:textFill>
            <w14:solidFill>
              <w14:schemeClr w14:val="tx1"/>
            </w14:solidFill>
          </w14:textFill>
        </w:rPr>
        <w:t>202</w:t>
      </w:r>
      <w:r>
        <w:rPr>
          <w:rFonts w:hint="eastAsia" w:ascii="宋体" w:hAnsi="宋体" w:cs="宋体"/>
          <w:color w:val="000000" w:themeColor="text1"/>
          <w:sz w:val="24"/>
          <w:lang w:val="en-US" w:eastAsia="zh-CN"/>
          <w14:textFill>
            <w14:solidFill>
              <w14:schemeClr w14:val="tx1"/>
            </w14:solidFill>
          </w14:textFill>
        </w:rPr>
        <w:t>6</w:t>
      </w:r>
      <w:r>
        <w:rPr>
          <w:rFonts w:ascii="宋体" w:hAnsi="宋体" w:cs="宋体"/>
          <w:color w:val="000000" w:themeColor="text1"/>
          <w:sz w:val="24"/>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0</w:t>
      </w:r>
      <w:r>
        <w:rPr>
          <w:rFonts w:hint="eastAsia" w:ascii="宋体" w:hAnsi="宋体" w:cs="宋体"/>
          <w:color w:val="000000" w:themeColor="text1"/>
          <w:sz w:val="24"/>
          <w:lang w:val="en-US" w:eastAsia="zh-CN"/>
          <w14:textFill>
            <w14:solidFill>
              <w14:schemeClr w14:val="tx1"/>
            </w14:solidFill>
          </w14:textFill>
        </w:rPr>
        <w:t>4</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6588"/>
      </w:tblGrid>
      <w:tr w14:paraId="38C2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vAlign w:val="center"/>
          </w:tcPr>
          <w:p w14:paraId="31E03395">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投资者关系活动类别</w:t>
            </w:r>
          </w:p>
        </w:tc>
        <w:tc>
          <w:tcPr>
            <w:tcW w:w="6588" w:type="dxa"/>
            <w:tcBorders>
              <w:top w:val="single" w:color="auto" w:sz="4" w:space="0"/>
              <w:left w:val="single" w:color="auto" w:sz="4" w:space="0"/>
              <w:bottom w:val="single" w:color="auto" w:sz="4" w:space="0"/>
              <w:right w:val="single" w:color="auto" w:sz="4" w:space="0"/>
            </w:tcBorders>
          </w:tcPr>
          <w:p w14:paraId="0127A8FC">
            <w:pPr>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 xml:space="preserve">特定对象调研        </w:t>
            </w: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分析师会议</w:t>
            </w:r>
          </w:p>
          <w:p w14:paraId="698A7475">
            <w:pPr>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 xml:space="preserve">媒体采访            </w:t>
            </w:r>
            <w:r>
              <w:rPr>
                <w:rFonts w:hint="eastAsia" w:ascii="宋体" w:hAnsi="宋体" w:cs="宋体"/>
                <w:color w:val="000000" w:themeColor="text1"/>
                <w:szCs w:val="21"/>
                <w14:textFill>
                  <w14:solidFill>
                    <w14:schemeClr w14:val="tx1"/>
                  </w14:solidFill>
                </w14:textFill>
              </w:rPr>
              <w:sym w:font="Wingdings 2" w:char="0052"/>
            </w:r>
            <w:r>
              <w:rPr>
                <w:rFonts w:hint="eastAsia" w:ascii="宋体" w:hAnsi="宋体" w:cs="宋体"/>
                <w:color w:val="000000" w:themeColor="text1"/>
                <w:szCs w:val="21"/>
                <w14:textFill>
                  <w14:solidFill>
                    <w14:schemeClr w14:val="tx1"/>
                  </w14:solidFill>
                </w14:textFill>
              </w:rPr>
              <w:t>业绩说明会</w:t>
            </w:r>
          </w:p>
          <w:p w14:paraId="7FA28D16">
            <w:pPr>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 xml:space="preserve">新闻发布会          </w:t>
            </w: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路演活动</w:t>
            </w:r>
          </w:p>
          <w:p w14:paraId="1A0B6F78">
            <w:pPr>
              <w:tabs>
                <w:tab w:val="left" w:pos="3045"/>
                <w:tab w:val="center" w:pos="3199"/>
              </w:tabs>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 xml:space="preserve">现场参观            </w:t>
            </w: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电话通讯</w:t>
            </w:r>
          </w:p>
          <w:p w14:paraId="43C0066A">
            <w:pPr>
              <w:tabs>
                <w:tab w:val="center" w:pos="3199"/>
              </w:tabs>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sym w:font="Wingdings 2" w:char="00A3"/>
            </w:r>
            <w:r>
              <w:rPr>
                <w:rFonts w:hint="eastAsia" w:ascii="宋体" w:hAnsi="宋体" w:cs="宋体"/>
                <w:color w:val="000000" w:themeColor="text1"/>
                <w:szCs w:val="21"/>
                <w14:textFill>
                  <w14:solidFill>
                    <w14:schemeClr w14:val="tx1"/>
                  </w14:solidFill>
                </w14:textFill>
              </w:rPr>
              <w:t>其他</w:t>
            </w:r>
          </w:p>
        </w:tc>
      </w:tr>
      <w:tr w14:paraId="2C9C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728" w:type="dxa"/>
            <w:tcBorders>
              <w:top w:val="single" w:color="auto" w:sz="4" w:space="0"/>
              <w:left w:val="single" w:color="auto" w:sz="4" w:space="0"/>
              <w:bottom w:val="single" w:color="auto" w:sz="4" w:space="0"/>
              <w:right w:val="single" w:color="auto" w:sz="4" w:space="0"/>
            </w:tcBorders>
            <w:vAlign w:val="center"/>
          </w:tcPr>
          <w:p w14:paraId="2A7F74AB">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参与单位名称及人员姓名</w:t>
            </w:r>
          </w:p>
        </w:tc>
        <w:tc>
          <w:tcPr>
            <w:tcW w:w="6588" w:type="dxa"/>
            <w:tcBorders>
              <w:top w:val="single" w:color="auto" w:sz="4" w:space="0"/>
              <w:left w:val="single" w:color="auto" w:sz="4" w:space="0"/>
              <w:bottom w:val="single" w:color="auto" w:sz="4" w:space="0"/>
              <w:right w:val="single" w:color="auto" w:sz="4" w:space="0"/>
            </w:tcBorders>
            <w:vAlign w:val="center"/>
          </w:tcPr>
          <w:p w14:paraId="76AB81B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线上参与</w:t>
            </w:r>
            <w:r>
              <w:rPr>
                <w:rFonts w:hint="eastAsia" w:ascii="宋体" w:hAnsi="宋体" w:cs="宋体"/>
                <w:color w:val="000000" w:themeColor="text1"/>
                <w:szCs w:val="21"/>
                <w:lang w:eastAsia="zh-CN"/>
                <w14:textFill>
                  <w14:solidFill>
                    <w14:schemeClr w14:val="tx1"/>
                  </w14:solidFill>
                </w14:textFill>
              </w:rPr>
              <w:t>“科创板2026年半年度新能源行业集体业绩</w:t>
            </w:r>
            <w:r>
              <w:rPr>
                <w:rFonts w:hint="eastAsia" w:ascii="宋体" w:hAnsi="宋体" w:cs="宋体"/>
                <w:color w:val="000000" w:themeColor="text1"/>
                <w:szCs w:val="21"/>
                <w:lang w:val="en-US" w:eastAsia="zh-CN"/>
                <w14:textFill>
                  <w14:solidFill>
                    <w14:schemeClr w14:val="tx1"/>
                  </w14:solidFill>
                </w14:textFill>
              </w:rPr>
              <w:t>说明会</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活动的上海派能能源科技股份有限公司（以下简称“公司”）投资者</w:t>
            </w:r>
          </w:p>
        </w:tc>
      </w:tr>
      <w:tr w14:paraId="0427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28" w:type="dxa"/>
            <w:tcBorders>
              <w:top w:val="single" w:color="auto" w:sz="4" w:space="0"/>
              <w:left w:val="single" w:color="auto" w:sz="4" w:space="0"/>
              <w:bottom w:val="single" w:color="auto" w:sz="4" w:space="0"/>
              <w:right w:val="single" w:color="auto" w:sz="4" w:space="0"/>
            </w:tcBorders>
            <w:vAlign w:val="center"/>
          </w:tcPr>
          <w:p w14:paraId="790A4050">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时间</w:t>
            </w:r>
          </w:p>
        </w:tc>
        <w:tc>
          <w:tcPr>
            <w:tcW w:w="6588" w:type="dxa"/>
            <w:tcBorders>
              <w:top w:val="single" w:color="auto" w:sz="4" w:space="0"/>
              <w:left w:val="single" w:color="auto" w:sz="4" w:space="0"/>
              <w:bottom w:val="single" w:color="auto" w:sz="4" w:space="0"/>
              <w:right w:val="single" w:color="auto" w:sz="4" w:space="0"/>
            </w:tcBorders>
            <w:vAlign w:val="center"/>
          </w:tcPr>
          <w:p w14:paraId="195244D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202</w:t>
            </w:r>
            <w:r>
              <w:rPr>
                <w:rFonts w:hint="eastAsia" w:ascii="宋体" w:hAnsi="宋体" w:cs="宋体"/>
                <w:bCs/>
                <w:iCs/>
                <w:color w:val="000000" w:themeColor="text1"/>
                <w:szCs w:val="21"/>
                <w:lang w:val="en-US" w:eastAsia="zh-CN"/>
                <w14:textFill>
                  <w14:solidFill>
                    <w14:schemeClr w14:val="tx1"/>
                  </w14:solidFill>
                </w14:textFill>
              </w:rPr>
              <w:t>6</w:t>
            </w:r>
            <w:r>
              <w:rPr>
                <w:rFonts w:hint="eastAsia" w:ascii="宋体" w:hAnsi="宋体" w:cs="宋体"/>
                <w:bCs/>
                <w:iCs/>
                <w:color w:val="000000" w:themeColor="text1"/>
                <w:szCs w:val="21"/>
                <w14:textFill>
                  <w14:solidFill>
                    <w14:schemeClr w14:val="tx1"/>
                  </w14:solidFill>
                </w14:textFill>
              </w:rPr>
              <w:t>年</w:t>
            </w:r>
            <w:r>
              <w:rPr>
                <w:rFonts w:hint="eastAsia" w:ascii="宋体" w:hAnsi="宋体" w:cs="宋体"/>
                <w:bCs/>
                <w:iCs/>
                <w:color w:val="000000" w:themeColor="text1"/>
                <w:szCs w:val="21"/>
                <w:lang w:val="en-US" w:eastAsia="zh-CN"/>
                <w14:textFill>
                  <w14:solidFill>
                    <w14:schemeClr w14:val="tx1"/>
                  </w14:solidFill>
                </w14:textFill>
              </w:rPr>
              <w:t>9</w:t>
            </w:r>
            <w:r>
              <w:rPr>
                <w:rFonts w:hint="eastAsia" w:ascii="宋体" w:hAnsi="宋体" w:cs="宋体"/>
                <w:bCs/>
                <w:iCs/>
                <w:color w:val="000000" w:themeColor="text1"/>
                <w:szCs w:val="21"/>
                <w14:textFill>
                  <w14:solidFill>
                    <w14:schemeClr w14:val="tx1"/>
                  </w14:solidFill>
                </w14:textFill>
              </w:rPr>
              <w:t>月</w:t>
            </w:r>
            <w:r>
              <w:rPr>
                <w:rFonts w:hint="eastAsia" w:ascii="宋体" w:hAnsi="宋体" w:cs="宋体"/>
                <w:bCs/>
                <w:iCs/>
                <w:color w:val="000000" w:themeColor="text1"/>
                <w:szCs w:val="21"/>
                <w:lang w:val="en-US" w:eastAsia="zh-CN"/>
                <w14:textFill>
                  <w14:solidFill>
                    <w14:schemeClr w14:val="tx1"/>
                  </w14:solidFill>
                </w14:textFill>
              </w:rPr>
              <w:t>3</w:t>
            </w:r>
            <w:r>
              <w:rPr>
                <w:rFonts w:hint="eastAsia" w:ascii="宋体" w:hAnsi="宋体" w:cs="宋体"/>
                <w:bCs/>
                <w:iCs/>
                <w:color w:val="000000" w:themeColor="text1"/>
                <w:szCs w:val="21"/>
                <w14:textFill>
                  <w14:solidFill>
                    <w14:schemeClr w14:val="tx1"/>
                  </w14:solidFill>
                </w14:textFill>
              </w:rPr>
              <w:t>日（星期</w:t>
            </w:r>
            <w:r>
              <w:rPr>
                <w:rFonts w:hint="eastAsia" w:ascii="宋体" w:hAnsi="宋体" w:cs="宋体"/>
                <w:bCs/>
                <w:iCs/>
                <w:color w:val="000000" w:themeColor="text1"/>
                <w:szCs w:val="21"/>
                <w:lang w:val="en-US" w:eastAsia="zh-CN"/>
                <w14:textFill>
                  <w14:solidFill>
                    <w14:schemeClr w14:val="tx1"/>
                  </w14:solidFill>
                </w14:textFill>
              </w:rPr>
              <w:t>四</w:t>
            </w:r>
            <w:r>
              <w:rPr>
                <w:rFonts w:hint="eastAsia" w:ascii="宋体" w:hAnsi="宋体" w:cs="宋体"/>
                <w:bCs/>
                <w:iCs/>
                <w:color w:val="000000" w:themeColor="text1"/>
                <w:szCs w:val="21"/>
                <w14:textFill>
                  <w14:solidFill>
                    <w14:schemeClr w14:val="tx1"/>
                  </w14:solidFill>
                </w14:textFill>
              </w:rPr>
              <w:t>）</w:t>
            </w:r>
            <w:r>
              <w:rPr>
                <w:rFonts w:hint="eastAsia" w:ascii="宋体" w:hAnsi="宋体" w:cs="宋体"/>
                <w:bCs/>
                <w:iCs/>
                <w:color w:val="000000" w:themeColor="text1"/>
                <w:szCs w:val="21"/>
                <w:lang w:val="en-US" w:eastAsia="zh-CN"/>
                <w14:textFill>
                  <w14:solidFill>
                    <w14:schemeClr w14:val="tx1"/>
                  </w14:solidFill>
                </w14:textFill>
              </w:rPr>
              <w:t>下</w:t>
            </w:r>
            <w:r>
              <w:rPr>
                <w:rFonts w:hint="eastAsia" w:ascii="宋体" w:hAnsi="宋体" w:cs="宋体"/>
                <w:bCs/>
                <w:iCs/>
                <w:color w:val="000000" w:themeColor="text1"/>
                <w:szCs w:val="21"/>
                <w14:textFill>
                  <w14:solidFill>
                    <w14:schemeClr w14:val="tx1"/>
                  </w14:solidFill>
                </w14:textFill>
              </w:rPr>
              <w:t>午1</w:t>
            </w:r>
            <w:r>
              <w:rPr>
                <w:rFonts w:hint="eastAsia" w:ascii="宋体" w:hAnsi="宋体" w:cs="宋体"/>
                <w:bCs/>
                <w:iCs/>
                <w:color w:val="000000" w:themeColor="text1"/>
                <w:szCs w:val="21"/>
                <w:lang w:val="en-US" w:eastAsia="zh-CN"/>
                <w14:textFill>
                  <w14:solidFill>
                    <w14:schemeClr w14:val="tx1"/>
                  </w14:solidFill>
                </w14:textFill>
              </w:rPr>
              <w:t>5</w:t>
            </w:r>
            <w:r>
              <w:rPr>
                <w:rFonts w:hint="eastAsia" w:ascii="宋体" w:hAnsi="宋体" w:cs="宋体"/>
                <w:bCs/>
                <w:iCs/>
                <w:color w:val="000000" w:themeColor="text1"/>
                <w:szCs w:val="21"/>
                <w14:textFill>
                  <w14:solidFill>
                    <w14:schemeClr w14:val="tx1"/>
                  </w14:solidFill>
                </w14:textFill>
              </w:rPr>
              <w:t>:00-1</w:t>
            </w:r>
            <w:r>
              <w:rPr>
                <w:rFonts w:hint="eastAsia" w:ascii="宋体" w:hAnsi="宋体" w:cs="宋体"/>
                <w:bCs/>
                <w:iCs/>
                <w:color w:val="000000" w:themeColor="text1"/>
                <w:szCs w:val="21"/>
                <w:lang w:val="en-US" w:eastAsia="zh-CN"/>
                <w14:textFill>
                  <w14:solidFill>
                    <w14:schemeClr w14:val="tx1"/>
                  </w14:solidFill>
                </w14:textFill>
              </w:rPr>
              <w:t>7</w:t>
            </w:r>
            <w:r>
              <w:rPr>
                <w:rFonts w:hint="eastAsia" w:ascii="宋体" w:hAnsi="宋体" w:cs="宋体"/>
                <w:bCs/>
                <w:iCs/>
                <w:color w:val="000000" w:themeColor="text1"/>
                <w:szCs w:val="21"/>
                <w14:textFill>
                  <w14:solidFill>
                    <w14:schemeClr w14:val="tx1"/>
                  </w14:solidFill>
                </w14:textFill>
              </w:rPr>
              <w:t>:00</w:t>
            </w:r>
          </w:p>
        </w:tc>
      </w:tr>
      <w:tr w14:paraId="2C0F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vAlign w:val="center"/>
          </w:tcPr>
          <w:p w14:paraId="7A25A238">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地点</w:t>
            </w:r>
          </w:p>
        </w:tc>
        <w:tc>
          <w:tcPr>
            <w:tcW w:w="6588" w:type="dxa"/>
            <w:tcBorders>
              <w:top w:val="single" w:color="auto" w:sz="4" w:space="0"/>
              <w:left w:val="single" w:color="auto" w:sz="4" w:space="0"/>
              <w:bottom w:val="single" w:color="auto" w:sz="4" w:space="0"/>
              <w:right w:val="single" w:color="auto" w:sz="4" w:space="0"/>
            </w:tcBorders>
            <w:vAlign w:val="center"/>
          </w:tcPr>
          <w:p w14:paraId="543DB892">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上海证券交易所上证路演中心</w:t>
            </w:r>
          </w:p>
          <w:p w14:paraId="28824B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（网址：https://roadshow.sseinfo.com/）</w:t>
            </w:r>
          </w:p>
        </w:tc>
      </w:tr>
      <w:tr w14:paraId="1ACC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728" w:type="dxa"/>
            <w:tcBorders>
              <w:top w:val="single" w:color="auto" w:sz="4" w:space="0"/>
              <w:left w:val="single" w:color="auto" w:sz="4" w:space="0"/>
              <w:bottom w:val="single" w:color="auto" w:sz="4" w:space="0"/>
              <w:right w:val="single" w:color="auto" w:sz="4" w:space="0"/>
            </w:tcBorders>
            <w:vAlign w:val="center"/>
          </w:tcPr>
          <w:p w14:paraId="786C7D60">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上市公司接待人员姓名</w:t>
            </w:r>
          </w:p>
        </w:tc>
        <w:tc>
          <w:tcPr>
            <w:tcW w:w="6588" w:type="dxa"/>
            <w:tcBorders>
              <w:top w:val="single" w:color="auto" w:sz="4" w:space="0"/>
              <w:left w:val="single" w:color="auto" w:sz="4" w:space="0"/>
              <w:bottom w:val="single" w:color="auto" w:sz="4" w:space="0"/>
              <w:right w:val="single" w:color="auto" w:sz="4" w:space="0"/>
            </w:tcBorders>
            <w:vAlign w:val="center"/>
          </w:tcPr>
          <w:p w14:paraId="2E93251D">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公司董事、总裁</w:t>
            </w:r>
            <w:r>
              <w:rPr>
                <w:rFonts w:hint="eastAsia" w:ascii="宋体" w:hAnsi="宋体" w:cs="宋体"/>
                <w:bCs/>
                <w:iCs/>
                <w:color w:val="000000" w:themeColor="text1"/>
                <w:szCs w:val="21"/>
                <w:lang w:eastAsia="zh-CN"/>
                <w14:textFill>
                  <w14:solidFill>
                    <w14:schemeClr w14:val="tx1"/>
                  </w14:solidFill>
                </w14:textFill>
              </w:rPr>
              <w:t>：</w:t>
            </w:r>
            <w:r>
              <w:rPr>
                <w:rFonts w:hint="eastAsia" w:ascii="宋体" w:hAnsi="宋体" w:cs="宋体"/>
                <w:bCs/>
                <w:iCs/>
                <w:color w:val="000000" w:themeColor="text1"/>
                <w:szCs w:val="21"/>
                <w14:textFill>
                  <w14:solidFill>
                    <w14:schemeClr w14:val="tx1"/>
                  </w14:solidFill>
                </w14:textFill>
              </w:rPr>
              <w:t>谈文先生；</w:t>
            </w:r>
          </w:p>
          <w:p w14:paraId="276E41E5">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公司独立董事</w:t>
            </w:r>
            <w:r>
              <w:rPr>
                <w:rFonts w:hint="eastAsia" w:ascii="宋体" w:hAnsi="宋体" w:cs="宋体"/>
                <w:bCs/>
                <w:iCs/>
                <w:color w:val="000000" w:themeColor="text1"/>
                <w:szCs w:val="21"/>
                <w:lang w:eastAsia="zh-CN"/>
                <w14:textFill>
                  <w14:solidFill>
                    <w14:schemeClr w14:val="tx1"/>
                  </w14:solidFill>
                </w14:textFill>
              </w:rPr>
              <w:t>：</w:t>
            </w:r>
            <w:r>
              <w:rPr>
                <w:rFonts w:hint="eastAsia" w:ascii="宋体" w:hAnsi="宋体" w:cs="宋体"/>
                <w:bCs/>
                <w:iCs/>
                <w:color w:val="000000" w:themeColor="text1"/>
                <w:szCs w:val="21"/>
                <w14:textFill>
                  <w14:solidFill>
                    <w14:schemeClr w14:val="tx1"/>
                  </w14:solidFill>
                </w14:textFill>
              </w:rPr>
              <w:t>李德成先生；</w:t>
            </w:r>
          </w:p>
          <w:p w14:paraId="5C2E947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公司副总裁、财务负责人、董事会秘书</w:t>
            </w:r>
            <w:r>
              <w:rPr>
                <w:rFonts w:hint="eastAsia" w:ascii="宋体" w:hAnsi="宋体" w:cs="宋体"/>
                <w:bCs/>
                <w:iCs/>
                <w:color w:val="000000" w:themeColor="text1"/>
                <w:szCs w:val="21"/>
                <w:lang w:eastAsia="zh-CN"/>
                <w14:textFill>
                  <w14:solidFill>
                    <w14:schemeClr w14:val="tx1"/>
                  </w14:solidFill>
                </w14:textFill>
              </w:rPr>
              <w:t>：</w:t>
            </w:r>
            <w:r>
              <w:rPr>
                <w:rFonts w:hint="eastAsia" w:ascii="宋体" w:hAnsi="宋体" w:cs="宋体"/>
                <w:bCs/>
                <w:iCs/>
                <w:color w:val="000000" w:themeColor="text1"/>
                <w:szCs w:val="21"/>
                <w14:textFill>
                  <w14:solidFill>
                    <w14:schemeClr w14:val="tx1"/>
                  </w14:solidFill>
                </w14:textFill>
              </w:rPr>
              <w:t>叶文举先生</w:t>
            </w:r>
          </w:p>
        </w:tc>
      </w:tr>
      <w:tr w14:paraId="3ED3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1728" w:type="dxa"/>
            <w:tcBorders>
              <w:top w:val="single" w:color="auto" w:sz="4" w:space="0"/>
              <w:left w:val="single" w:color="auto" w:sz="4" w:space="0"/>
              <w:bottom w:val="single" w:color="auto" w:sz="4" w:space="0"/>
              <w:right w:val="single" w:color="auto" w:sz="4" w:space="0"/>
            </w:tcBorders>
            <w:vAlign w:val="center"/>
          </w:tcPr>
          <w:p w14:paraId="33B68671">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投资者关系活动主要内容介绍</w:t>
            </w:r>
          </w:p>
        </w:tc>
        <w:tc>
          <w:tcPr>
            <w:tcW w:w="6588" w:type="dxa"/>
            <w:tcBorders>
              <w:top w:val="single" w:color="auto" w:sz="4" w:space="0"/>
              <w:left w:val="single" w:color="auto" w:sz="4" w:space="0"/>
              <w:bottom w:val="single" w:color="auto" w:sz="4" w:space="0"/>
              <w:right w:val="single" w:color="auto" w:sz="4" w:space="0"/>
            </w:tcBorders>
          </w:tcPr>
          <w:p w14:paraId="15D290F9">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cs="宋体"/>
                <w:color w:val="000000"/>
                <w:szCs w:val="21"/>
                <w:lang w:bidi="ar"/>
              </w:rPr>
            </w:pPr>
            <w:r>
              <w:rPr>
                <w:rFonts w:hint="eastAsia" w:ascii="宋体" w:hAnsi="宋体" w:cs="宋体"/>
                <w:color w:val="000000"/>
                <w:szCs w:val="21"/>
                <w:lang w:bidi="ar"/>
              </w:rPr>
              <w:t>公司参加“科创板2026年半年度新能源行业集体业绩说明会”活动，就投资者关心的公司202</w:t>
            </w:r>
            <w:r>
              <w:rPr>
                <w:rFonts w:hint="eastAsia" w:ascii="宋体" w:hAnsi="宋体" w:cs="宋体"/>
                <w:color w:val="000000"/>
                <w:szCs w:val="21"/>
                <w:lang w:val="en-US" w:eastAsia="zh-CN" w:bidi="ar"/>
              </w:rPr>
              <w:t>6</w:t>
            </w:r>
            <w:r>
              <w:rPr>
                <w:rFonts w:hint="eastAsia" w:ascii="宋体" w:hAnsi="宋体" w:cs="宋体"/>
                <w:color w:val="000000"/>
                <w:szCs w:val="21"/>
                <w:lang w:bidi="ar"/>
              </w:rPr>
              <w:t>年</w:t>
            </w:r>
            <w:r>
              <w:rPr>
                <w:rFonts w:hint="eastAsia" w:ascii="宋体" w:hAnsi="宋体" w:cs="宋体"/>
                <w:color w:val="000000"/>
                <w:szCs w:val="21"/>
                <w:lang w:val="en-US" w:eastAsia="zh-CN" w:bidi="ar"/>
              </w:rPr>
              <w:t>半</w:t>
            </w:r>
            <w:r>
              <w:rPr>
                <w:rFonts w:hint="eastAsia" w:ascii="宋体" w:hAnsi="宋体" w:cs="宋体"/>
                <w:color w:val="000000"/>
                <w:szCs w:val="21"/>
                <w:lang w:bidi="ar"/>
              </w:rPr>
              <w:t>年度的经营成果、</w:t>
            </w:r>
            <w:r>
              <w:rPr>
                <w:rFonts w:hint="eastAsia" w:ascii="宋体" w:hAnsi="宋体" w:cs="宋体"/>
                <w:color w:val="000000"/>
                <w:szCs w:val="21"/>
                <w:lang w:val="en-US" w:eastAsia="zh-CN" w:bidi="ar"/>
              </w:rPr>
              <w:t>财务状况、</w:t>
            </w:r>
            <w:r>
              <w:rPr>
                <w:rFonts w:hint="eastAsia" w:ascii="宋体" w:hAnsi="宋体" w:cs="宋体"/>
                <w:color w:val="000000"/>
                <w:szCs w:val="21"/>
                <w:lang w:bidi="ar"/>
              </w:rPr>
              <w:t>公司治理、发展战略和经营状况等问题进行了在线交流，交流的主要内容包括：</w:t>
            </w:r>
          </w:p>
          <w:p w14:paraId="4D799F95">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51E80B2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公司目前欧洲户用储能市场库存去化进展如何？从2026年二季度以来，公司欧洲主要市场的终端需求、经销商库存以及新增订单相比2025年同期有何变化？目前是否已经看到需求持续复苏的明确迹象？</w:t>
            </w:r>
          </w:p>
          <w:p w14:paraId="179D7879">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ind w:firstLine="0" w:firstLineChars="0"/>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欧洲一直是公司重要的海外市场之一。随着前期渠道库存逐步消化以及终端市场需求改善，欧洲户用储能市场正在逐步回归更加理性的发展状态。2026年以来，公司持续深耕欧洲等成熟市场，积极推进产品迭代、渠道建设和本地化服务，并与主要客户保持良好沟通。从市场情况看，欧洲部分主要市场终端需求较前期有所改善，公司根据客户订单、市场需求、交货周期及库存情况进行滚动排产。具体经营数据请以公司定期报告及相关公告为准。公司将持续关注欧洲市场需求及渠道库存变化，巩固家储业务优势，同时积极拓展工商业储能等应用场景，努力提升欧洲市场综合竞争力。感谢您的关注！</w:t>
            </w:r>
          </w:p>
          <w:p w14:paraId="2D89C0F4">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2EE4EA36">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请问截至目前，公司2026年下半年储能产品订单情况相比上半年有何变化？目前订单可见周期大约为多久？欧洲户储、工商业储能以及其他海外市场的订单增长分别表现如何？</w:t>
            </w:r>
          </w:p>
          <w:p w14:paraId="314EF00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根据市场需求、客户订单及交付安排持续推进生产经营，目前整体订单及生产交付工作正常开展。2026年下半年以来，公司持续深耕欧洲等成熟市场，并积极拓展工商业储能及其他海外市场，不断丰富产品和应用场景，提升全球市场覆盖能力。欧洲家用储能市场随着渠道库存持续消化和终端需求逐步改善，市场需求呈现逐步恢复态势；工商业储能仍处于积极拓展阶段，公司持续推进相关产品、渠道及项目落地；同时，公司也在积极开拓</w:t>
            </w:r>
            <w:r>
              <w:rPr>
                <w:rFonts w:hint="eastAsia" w:ascii="宋体" w:hAnsi="宋体" w:cs="宋体"/>
                <w:b w:val="0"/>
                <w:bCs w:val="0"/>
                <w:color w:val="1F1F1F"/>
                <w:sz w:val="21"/>
                <w:szCs w:val="21"/>
                <w:lang w:val="en-US" w:eastAsia="zh-CN"/>
              </w:rPr>
              <w:t>其他海外</w:t>
            </w:r>
            <w:r>
              <w:rPr>
                <w:rFonts w:hint="eastAsia" w:ascii="宋体" w:hAnsi="宋体" w:cs="宋体"/>
                <w:b w:val="0"/>
                <w:bCs w:val="0"/>
                <w:color w:val="1F1F1F"/>
                <w:sz w:val="21"/>
                <w:szCs w:val="21"/>
              </w:rPr>
              <w:t>市场，进一步优化市场结构。关于下半年订单较上半年的具体变化，敬请以公司定期报告及相关公告为准。感谢您的关注！</w:t>
            </w:r>
          </w:p>
          <w:p w14:paraId="4DC59B1C">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3A5DCA54">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目前公司储能业务毛利率相比历史较高水平仍有一定差距。随着欧洲户储价格竞争趋缓、原材料成本变化及产品结构优化，公司预计2026年下半年及2027年毛利率将呈现怎样的变化趋势？未来是否有望恢复至20%以上甚至25%左右？</w:t>
            </w:r>
          </w:p>
          <w:p w14:paraId="13FCDCD8">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ind w:firstLine="0" w:firstLineChars="0"/>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尊敬的投资者，您好！公司储能产品毛利率受市场供需、产品及区域结构、原材料价格、市场竞争等多重因素综合影响。2026年上半年，公司主营业务</w:t>
            </w:r>
            <w:r>
              <w:rPr>
                <w:rFonts w:hint="eastAsia" w:ascii="宋体" w:hAnsi="宋体" w:cs="宋体"/>
                <w:b w:val="0"/>
                <w:bCs w:val="0"/>
                <w:color w:val="1F1F1F"/>
                <w:sz w:val="21"/>
                <w:szCs w:val="21"/>
                <w:lang w:eastAsia="zh-CN"/>
              </w:rPr>
              <w:t>毛利率</w:t>
            </w:r>
            <w:r>
              <w:rPr>
                <w:rFonts w:hint="eastAsia" w:ascii="宋体" w:hAnsi="宋体" w:cs="宋体"/>
                <w:b w:val="0"/>
                <w:bCs w:val="0"/>
                <w:color w:val="1F1F1F"/>
                <w:sz w:val="21"/>
                <w:szCs w:val="21"/>
              </w:rPr>
              <w:t>较上年同期增加1.24个百分点，整体盈利能力有所提升。近年来，全球储能市场持续发展，公司积极应对市场竞争和行业变化，通过持续推进技术创新、产品迭代、降本增效以及全球市场拓展，不断提升产品竞争力和经营效率。随着海外市场持续拓展、新产品逐步导入以及产品和市场结构不断优化，上述因素有望对公司盈利能力形成积极支撑。同时，储能行业仍处于快速发展和竞争格局持续演变阶段，未来毛利率水平仍将</w:t>
            </w:r>
            <w:r>
              <w:rPr>
                <w:rFonts w:hint="eastAsia" w:ascii="宋体" w:hAnsi="宋体" w:cs="宋体"/>
                <w:b w:val="0"/>
                <w:bCs w:val="0"/>
                <w:color w:val="1F1F1F"/>
                <w:sz w:val="21"/>
                <w:szCs w:val="21"/>
                <w:lang w:eastAsia="zh-CN"/>
              </w:rPr>
              <w:t>受</w:t>
            </w:r>
            <w:r>
              <w:rPr>
                <w:rFonts w:hint="eastAsia" w:ascii="宋体" w:hAnsi="宋体" w:cs="宋体"/>
                <w:b w:val="0"/>
                <w:bCs w:val="0"/>
                <w:color w:val="1F1F1F"/>
                <w:sz w:val="21"/>
                <w:szCs w:val="21"/>
              </w:rPr>
              <w:t>市场竞争、原材料价格及产品结构等因素影响。公司将持续做好经营管理，努力推动盈利能力改善。感谢您的关注！</w:t>
            </w:r>
          </w:p>
          <w:p w14:paraId="66AAC6B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6664726C">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轻型动力电池市场卷成红海，严重拖累整体毛利，请问公司为何切入轻型动力？后续预计轻型动力出货稳定后，毛利能达到多少</w:t>
            </w:r>
            <w:r>
              <w:rPr>
                <w:rFonts w:hint="eastAsia" w:ascii="宋体" w:hAnsi="宋体" w:cs="宋体"/>
                <w:b w:val="0"/>
                <w:bCs w:val="0"/>
                <w:color w:val="1F1F1F"/>
                <w:sz w:val="21"/>
                <w:szCs w:val="21"/>
                <w:lang w:eastAsia="zh-CN"/>
              </w:rPr>
              <w:t>？</w:t>
            </w:r>
            <w:r>
              <w:rPr>
                <w:rFonts w:hint="eastAsia" w:ascii="宋体" w:hAnsi="宋体" w:cs="宋体"/>
                <w:b w:val="0"/>
                <w:bCs w:val="0"/>
                <w:color w:val="1F1F1F"/>
                <w:sz w:val="21"/>
                <w:szCs w:val="21"/>
              </w:rPr>
              <w:t>公司的大储业务预计今年的出货和毛利情况如何？电池税对公司订单的影响如何？是否已经提价？控股股东除了基站电池业务外，是否有其他协同效应？公司近一年内是否有增资计划？</w:t>
            </w:r>
          </w:p>
          <w:p w14:paraId="5B74BA40">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0000F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轻型动力电池业务是公司基于市场需求及自身技术、产品能力进行的业务拓展，有助于进一步丰富产品应用场景。2026年上半年，公司轻型动力板块已完成1-8kWh产品矩阵，并在共享换电、电动摩托车、电动三轮等领域实现批量交付；独立储能方面，公司已开发基于588Ah、601Ah大电芯的6.25MWh和8MWh集装箱储能产品，并计划于2026年下半年逐步投入量产。</w:t>
            </w:r>
            <w:r>
              <w:rPr>
                <w:rFonts w:hint="eastAsia" w:ascii="宋体" w:hAnsi="宋体" w:cs="宋体"/>
                <w:b w:val="0"/>
                <w:bCs w:val="0"/>
                <w:color w:val="auto"/>
                <w:sz w:val="21"/>
                <w:szCs w:val="21"/>
              </w:rPr>
              <w:t>关于电池消费税政策，公司持续关注相关政策变化，并结合政策要求、市场供需、产品结构、客户需求等因素积极做好经营应对。公司与控股股东在各自业务定位基础上独立开展经营，并依法依规处理相关业务关系。公司将结合自身发展战略和实际经营需要，充分发挥各方资源优势，积极探索有利于公司长期发展的合作机会。关于未来资本运作安排，公司将根据业务发展、资金需求及市场情况综合考虑。如达到披露标准，公司将严格按照相关法律法规及时履行信息披露义务。感谢您的关注！</w:t>
            </w:r>
          </w:p>
          <w:p w14:paraId="0DF4653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60BF9F2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公司曾经作为户储龙头，短短几年时间，已经在户储行业排名靠后，面对思格、德业等企业的竞争，公司有何应对策略？</w:t>
            </w:r>
          </w:p>
          <w:p w14:paraId="040AF8B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ind w:firstLine="0" w:firstLineChars="0"/>
              <w:jc w:val="both"/>
              <w:textAlignment w:val="auto"/>
              <w:rPr>
                <w:rFonts w:hint="eastAsia" w:ascii="宋体" w:hAnsi="宋体" w:cs="宋体"/>
                <w:b/>
                <w:bCs/>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始终密切关注行业竞争格局和市场变化，并积极采取措施巩固和提升自身竞争力。公司长期深耕储能领域，在储能电芯、模组、BMS及储能系统集成等方面拥有较为完整的自主研发能力和长期技术积累。面对行业竞争，公司一方面持续巩固欧洲等优势市场，加快拓展美日、亚非等海外市场，完善全球销售及本地化服务体系；另一方面持续推进产品迭代和应用场景拓展，在巩固家用储能业务基础的同时，积极发展工商业储能、独立储能等业务，进一步丰富产品矩阵和业务结构。2026年上半年，公司产品销售量为3,431MWh，同比增长158.36%。未来，公司将继续坚持技术创新和全球化发展，持续提升产品竞争力、市场拓展能力及运营效率，积极把握全球储能市场发展机遇，推动公司实现高质量发展。感谢您的关注！</w:t>
            </w:r>
          </w:p>
          <w:p w14:paraId="45CF56A0">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5CA671E5">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贵司每年持续高研发投入与产出是否匹配？目前看来轻型动力和大储毛利都极低，户储也卷成红海，几乎看不到利润产出，是否有必要持续高研发投入？</w:t>
            </w:r>
          </w:p>
          <w:p w14:paraId="5E295D4E">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研发创新是企业构建长期核心竞争力的根本保障，也是公司保持产品竞争力和技术储备的重要支撑。公司始终重视研发创新，并紧密围绕行业技术趋势、市场需求及业务战略，合理配置研发资源。针对当前市场环境，公司将持续关注研发效率和成果转化，努力推动研发工作更好地服务于产品升级与业务发展，为长期经营表现打好基础。感谢您的关注！</w:t>
            </w:r>
          </w:p>
          <w:p w14:paraId="09D40CD0">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3FB58295">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如果未来欧洲户储需求持续恢复，同时工商业储能和大储业务进入放量阶段，公司认为未来2—3年收入和利润增长最主要的驱动力分别来自哪些业务？其中哪些业务目前已经具备较明确的订单或产能支撑？</w:t>
            </w:r>
          </w:p>
          <w:p w14:paraId="454C56C2">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尊敬的投资者，您好！公司将持续巩固家用储能业务优势，同时积极发展工商业储能、独立储能等业务，并加快海外市场拓展，持续优化业务结构。2026年上半年，公</w:t>
            </w:r>
            <w:r>
              <w:rPr>
                <w:rFonts w:hint="eastAsia" w:ascii="宋体" w:hAnsi="宋体" w:cs="宋体"/>
                <w:b w:val="0"/>
                <w:bCs w:val="0"/>
                <w:color w:val="1F1F1F"/>
                <w:sz w:val="21"/>
                <w:szCs w:val="21"/>
                <w:lang w:eastAsia="zh-CN"/>
              </w:rPr>
              <w:t>司在</w:t>
            </w:r>
            <w:r>
              <w:rPr>
                <w:rFonts w:hint="eastAsia" w:ascii="宋体" w:hAnsi="宋体" w:cs="宋体"/>
                <w:b w:val="0"/>
                <w:bCs w:val="0"/>
                <w:color w:val="1F1F1F"/>
                <w:sz w:val="21"/>
                <w:szCs w:val="21"/>
              </w:rPr>
              <w:t>欧洲优势市场保持稳定出货，欧洲、中东、东南亚地区家储及工商业储能需求持续放量；国内工商业储能已实现规模销售。产能方面，公司持续推进产线建设和运营优化，工商业储能产品系统产线生产效率持续提升；独立储能方面，公司已开发6.25MWh和8MWh集装箱储能产品，并计划于2026年下半年逐步投入量产。未来，公司将根据市场需求和业务发展情况持续提升经营质量和盈利能力。感谢您的关注！</w:t>
            </w:r>
          </w:p>
          <w:p w14:paraId="232199E5">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20B40BB2">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公司预计何时能在AIDC业务上有具体订单？ 目前是否有与相关企业合作开发或做市场拓展？</w:t>
            </w:r>
          </w:p>
          <w:p w14:paraId="6C82CCD1">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尊敬的投资者，您好！公司持续关注AIDC等新兴应用场景带来的储能市场机会，并已针对相关场景进行产品布局。2026年上半年，公司针对表前储能和AIDC配储，发布了基于588Ah大电芯的6.25MWh 0.5C电池储能系统和基于601Ah大电芯的8MWh的0.25C长时电池储能系统。未来公司将积极把握AIDC配储市场的发展机遇，加大市场推广力度，推动相关产品实现商业化落地，培育新的业绩增长点。感谢您的关注！</w:t>
            </w:r>
          </w:p>
          <w:p w14:paraId="60B703AB">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2C59F20E">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贵公司又要破发破净了你们对后市如何应对</w:t>
            </w:r>
            <w:r>
              <w:rPr>
                <w:rFonts w:hint="eastAsia" w:ascii="宋体" w:hAnsi="宋体" w:cs="宋体"/>
                <w:b w:val="0"/>
                <w:bCs w:val="0"/>
                <w:color w:val="1F1F1F"/>
                <w:sz w:val="21"/>
                <w:szCs w:val="21"/>
                <w:lang w:eastAsia="zh-CN"/>
              </w:rPr>
              <w:t>？</w:t>
            </w:r>
          </w:p>
          <w:p w14:paraId="4091BB40">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高度重视股价表现和投资者回报。二级市场股价受宏观经济、行业环境、市场流动性及投资者预期等多方面因素影响。公司将持续聚焦储能主业，通过加强市场拓展、技术创新、成本控制和运营效率提升，不断增强公司盈利能力和内在价值。同时，公司将持续推进“提质增效重回报”相关工作，加强投资者沟通，积极维护全体股东合法权益。感谢您的关注！</w:t>
            </w:r>
          </w:p>
          <w:p w14:paraId="3782ECA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46189112">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公司目前已经布局工商业储能产品。请问目前工商业储能业务的订单规模和客户拓展情况如何？2026—2027年是否会成为公司新的主要增长点？未来收入占比有没有阶段性目标？</w:t>
            </w:r>
          </w:p>
          <w:p w14:paraId="1A9D165F">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积极拓展工商业储能业务，持续与优质投资商及EPC建设单位合作，相关产品已在工业园区、电力用户、微电网等多场景实现项目落地，并实现规模销售。公司将持续聚焦优质客户和项目，加强市场拓展，不断提升工商业储能业务的市场竞争力。未来，公司将根据市场需求和业务发展情况持续优化业务结构，具体订单及收入情况请以公司后续披露信息为准。感谢您的关注！</w:t>
            </w:r>
          </w:p>
          <w:p w14:paraId="6C93C79C">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513FD36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欧洲近年来电价及天然气价格波动明显。公司如何判断当前欧洲电价、峰谷价差以及能源政策变化对户用储能经济性的影响？如果欧洲能源价格维持目前水平，对2026—2027年户储需求是否具有持续刺激作用？</w:t>
            </w:r>
          </w:p>
          <w:p w14:paraId="1A754C56">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尊敬的投资者，您好！2026年上半年，欧洲部分市场在动态电价机制及补库等因素推动下，家用储能需求有所恢复。未来家用储能需求仍将</w:t>
            </w:r>
            <w:r>
              <w:rPr>
                <w:rFonts w:hint="eastAsia" w:ascii="宋体" w:hAnsi="宋体" w:cs="宋体"/>
                <w:b w:val="0"/>
                <w:bCs w:val="0"/>
                <w:color w:val="1F1F1F"/>
                <w:sz w:val="21"/>
                <w:szCs w:val="21"/>
                <w:lang w:eastAsia="zh-CN"/>
              </w:rPr>
              <w:t>受</w:t>
            </w:r>
            <w:r>
              <w:rPr>
                <w:rFonts w:hint="eastAsia" w:ascii="宋体" w:hAnsi="宋体" w:cs="宋体"/>
                <w:b w:val="0"/>
                <w:bCs w:val="0"/>
                <w:color w:val="1F1F1F"/>
                <w:sz w:val="21"/>
                <w:szCs w:val="21"/>
              </w:rPr>
              <w:t>能源价格、补贴政策、光伏装机、融资成本等多重因素影响，具体市场表现存在一定不确定性。公司将持续关注欧洲能源价格、电力市场机制及相关政策变化，并结合不同国家和地区的市场特点推进产品和市场布局。感谢您的关注！</w:t>
            </w:r>
          </w:p>
          <w:p w14:paraId="198FB247">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27A4D12B">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bCs/>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目前欧洲仍是公司重要的户用储能市场。请问公司在美国、澳大利亚、中东、东南亚等新兴市场的拓展情况如何？未来两三年海外市场结构是否会发生明显变化？</w:t>
            </w:r>
          </w:p>
          <w:p w14:paraId="03C8DDEB">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持续推进全球化市场布局，目前业务范围已覆盖全球90多个国家和地区。在巩固欧洲等优势市场的同时，公司积极拓展美国、日本、澳大利亚、中东、东南亚、非洲等海外市场，不断完善全球营销及本地化服务体系。未来，公司将结合不同国家和地区的市场需求及政策环境，持续拓展新兴市场，进一步提升全球市场覆盖能力和海外市场布局的多元化水平。感谢您的关注！</w:t>
            </w:r>
          </w:p>
          <w:p w14:paraId="21564AC5">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6BA7586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公司未来在高容量电池、液冷储能、智能EMS以及高压户储等产品上的研发和产品升级规划如何？新产品相较传统产品在售价、单位盈利以及客户结构方面是否有明显改善？</w:t>
            </w:r>
          </w:p>
          <w:p w14:paraId="1B0F6B43">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尊敬的投资者，您好！公司基于2025年在独立储能市场取得的成绩，继续重点布局独立储能业务方向，投建了新的大电芯产线，开发了基于588Ah、601Ah大电芯的6.25MWh和8MWh的集装箱储能产品，并计划于2026 年下半年逐步投入量产，未来公司将不断提升产品安全性、智能化、系统集成及场景适配能力。感谢您的关注！</w:t>
            </w:r>
          </w:p>
          <w:p w14:paraId="6CDDBE94">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5FFE70C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公司钠电的预计量产时间？是否有钠电较为明确的订单？预计钠电投产后毛利</w:t>
            </w:r>
            <w:r>
              <w:rPr>
                <w:rFonts w:hint="eastAsia" w:ascii="宋体" w:hAnsi="宋体" w:cs="宋体"/>
                <w:b w:val="0"/>
                <w:bCs w:val="0"/>
                <w:color w:val="1F1F1F"/>
                <w:sz w:val="21"/>
                <w:szCs w:val="21"/>
                <w:lang w:eastAsia="zh-CN"/>
              </w:rPr>
              <w:t>率是</w:t>
            </w:r>
            <w:r>
              <w:rPr>
                <w:rFonts w:hint="eastAsia" w:ascii="宋体" w:hAnsi="宋体" w:cs="宋体"/>
                <w:b w:val="0"/>
                <w:bCs w:val="0"/>
                <w:color w:val="1F1F1F"/>
                <w:sz w:val="21"/>
                <w:szCs w:val="21"/>
              </w:rPr>
              <w:t>多少</w:t>
            </w:r>
            <w:r>
              <w:rPr>
                <w:rFonts w:hint="eastAsia" w:ascii="宋体" w:hAnsi="宋体" w:cs="宋体"/>
                <w:b w:val="0"/>
                <w:bCs w:val="0"/>
                <w:color w:val="1F1F1F"/>
                <w:sz w:val="21"/>
                <w:szCs w:val="21"/>
                <w:lang w:eastAsia="zh-CN"/>
              </w:rPr>
              <w:t>？</w:t>
            </w:r>
          </w:p>
          <w:p w14:paraId="16CAC289">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持续推进钠离子电池产业化，钠电板块重点开拓启停和轻型车市场，启停钠电配合客户完成主机厂定点配套，新能源车用钠电辅助电源通过测试并批量交付；轻型车钠电通过行业头部企业测试并批量交付，具有良好的低温、倍率性能和循环寿命表现，有效提升轻型车爬坡能力和使用寿命。随着相关产品规模化量产和交付，有望为公司贡献新的业绩增长点。感谢您的关注！</w:t>
            </w:r>
          </w:p>
          <w:p w14:paraId="47A503F3">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09A3F3CE">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eastAsia="宋体" w:cs="宋体"/>
                <w:b w:val="0"/>
                <w:bCs w:val="0"/>
                <w:color w:val="1F1F1F"/>
                <w:sz w:val="21"/>
                <w:szCs w:val="21"/>
                <w:lang w:eastAsia="zh-CN"/>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二股东减持了多少股票了，还剩多少</w:t>
            </w:r>
            <w:r>
              <w:rPr>
                <w:rFonts w:hint="eastAsia" w:ascii="宋体" w:hAnsi="宋体" w:cs="宋体"/>
                <w:b w:val="0"/>
                <w:bCs w:val="0"/>
                <w:color w:val="1F1F1F"/>
                <w:sz w:val="21"/>
                <w:szCs w:val="21"/>
                <w:lang w:eastAsia="zh-CN"/>
              </w:rPr>
              <w:t>？</w:t>
            </w:r>
          </w:p>
          <w:p w14:paraId="1BB362B1">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尊敬的投资者，您好！截至2026年8月</w:t>
            </w:r>
            <w:r>
              <w:rPr>
                <w:rFonts w:hint="eastAsia" w:ascii="宋体" w:hAnsi="宋体" w:cs="宋体"/>
                <w:b w:val="0"/>
                <w:bCs w:val="0"/>
                <w:color w:val="1F1F1F"/>
                <w:sz w:val="21"/>
                <w:szCs w:val="21"/>
                <w:lang w:val="en-US" w:eastAsia="zh-CN"/>
              </w:rPr>
              <w:t>6</w:t>
            </w:r>
            <w:r>
              <w:rPr>
                <w:rFonts w:hint="eastAsia" w:ascii="宋体" w:hAnsi="宋体" w:cs="宋体"/>
                <w:b w:val="0"/>
                <w:bCs w:val="0"/>
                <w:color w:val="1F1F1F"/>
                <w:sz w:val="21"/>
                <w:szCs w:val="21"/>
              </w:rPr>
              <w:t>日，派锂（宁波）创业投资合伙企业（有限合伙）持有公司股份12,268,166股，占公司总股本的5.00%，具体情况详见公司于2026年8月8日在上海证券交易所网站（www.sse.com.cn）披露的《关于持股5%以上股东权益变动触及1%及5%刻度的提示性公告》。该股东目前的减持计划仍处于实施期间，公司将严格按照相关规定及时履行信息披露义务，请以公司在指定信息披露媒体发布的公告为准。感谢您的关注！</w:t>
            </w:r>
          </w:p>
          <w:p w14:paraId="6D03B64A">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p>
          <w:p w14:paraId="19DBC4E2">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问题：</w:t>
            </w:r>
            <w:r>
              <w:rPr>
                <w:rFonts w:hint="eastAsia" w:ascii="宋体" w:hAnsi="宋体" w:cs="宋体"/>
                <w:b w:val="0"/>
                <w:bCs w:val="0"/>
                <w:color w:val="1F1F1F"/>
                <w:sz w:val="21"/>
                <w:szCs w:val="21"/>
              </w:rPr>
              <w:t>贵公司有没有并购重组，收购母公司资产之类？公司产品有没有用在无人机和机器人身上？</w:t>
            </w:r>
          </w:p>
          <w:p w14:paraId="180E333E">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尊敬的投资者，您好！公司暂无相关可以披露的信息，谢谢您的关注！</w:t>
            </w:r>
          </w:p>
          <w:p w14:paraId="504A60DD">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val="0"/>
                <w:bCs w:val="0"/>
                <w:color w:val="1F1F1F"/>
                <w:sz w:val="21"/>
                <w:szCs w:val="21"/>
              </w:rPr>
            </w:pPr>
            <w:bookmarkStart w:id="0" w:name="_GoBack"/>
            <w:bookmarkEnd w:id="0"/>
            <w:r>
              <w:rPr>
                <w:rFonts w:hint="eastAsia" w:ascii="宋体" w:hAnsi="宋体" w:cs="宋体"/>
                <w:b/>
                <w:bCs/>
                <w:color w:val="1F1F1F"/>
                <w:sz w:val="21"/>
                <w:szCs w:val="21"/>
              </w:rPr>
              <w:t>问题：</w:t>
            </w:r>
            <w:r>
              <w:rPr>
                <w:rFonts w:hint="eastAsia" w:ascii="宋体" w:hAnsi="宋体" w:cs="宋体"/>
                <w:b w:val="0"/>
                <w:bCs w:val="0"/>
                <w:color w:val="1F1F1F"/>
                <w:sz w:val="21"/>
                <w:szCs w:val="21"/>
              </w:rPr>
              <w:t>公司全球化布局持续深化，欧洲市场稳定出货，美日高端市场实现高速增长。但当前国际地缘政治环境复杂，美国对中国电池企业设置贸易壁垒，欧盟相关贸易政策也在收紧。请问：（1）美国市场业务目前占公司营收多大比例？是否受到相关政策的实质性影响？（2）面对海外贸易壁垒，公司有何应对策略？（3）公司在亚非拉新兴市场的布局进展如何？</w:t>
            </w:r>
          </w:p>
          <w:p w14:paraId="353D4A11">
            <w:pPr>
              <w:pStyle w:val="15"/>
              <w:keepNext w:val="0"/>
              <w:keepLines w:val="0"/>
              <w:pageBreakBefore w:val="0"/>
              <w:widowControl/>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Autospacing="0" w:after="0" w:afterAutospacing="0" w:line="360" w:lineRule="auto"/>
              <w:jc w:val="both"/>
              <w:textAlignment w:val="auto"/>
              <w:rPr>
                <w:rFonts w:hint="eastAsia" w:ascii="宋体" w:hAnsi="宋体" w:cs="宋体"/>
                <w:b/>
                <w:bCs/>
                <w:color w:val="1F1F1F"/>
                <w:sz w:val="21"/>
                <w:szCs w:val="21"/>
              </w:rPr>
            </w:pPr>
            <w:r>
              <w:rPr>
                <w:rFonts w:hint="eastAsia" w:ascii="宋体" w:hAnsi="宋体" w:cs="宋体"/>
                <w:b/>
                <w:bCs/>
                <w:color w:val="1F1F1F"/>
                <w:sz w:val="21"/>
                <w:szCs w:val="21"/>
              </w:rPr>
              <w:t>回答：</w:t>
            </w:r>
            <w:r>
              <w:rPr>
                <w:rFonts w:hint="eastAsia" w:ascii="宋体" w:hAnsi="宋体" w:cs="宋体"/>
                <w:b w:val="0"/>
                <w:bCs w:val="0"/>
                <w:color w:val="1F1F1F"/>
                <w:sz w:val="21"/>
                <w:szCs w:val="21"/>
              </w:rPr>
              <w:t>尊敬的投资者，您好！2026年上半年，公司境外主营业务收入21.84亿元，占主营业务收入的83.51%。公司持续关注国际贸易政策变化及其对海外业务的影响，目前通过完善产品认证、加强本地化营销和服务体系、优化全球市场布局等方式积极应对潜在贸易壁垒。在巩固欧洲等优势市场的同时，公司积极拓展美洲、非洲、亚太等市场。报告期内，中东、东南亚地区家储及工商业储能需求持续增长，亚非等新兴市场需求持续释放。未来，公司将进一步推进海外市场多元化布局，降低单一市场波动带来的影响。感谢您的关注！</w:t>
            </w:r>
          </w:p>
        </w:tc>
      </w:tr>
      <w:tr w14:paraId="3A25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728" w:type="dxa"/>
            <w:tcBorders>
              <w:top w:val="single" w:color="auto" w:sz="4" w:space="0"/>
              <w:left w:val="single" w:color="auto" w:sz="4" w:space="0"/>
              <w:bottom w:val="single" w:color="auto" w:sz="4" w:space="0"/>
              <w:right w:val="single" w:color="auto" w:sz="4" w:space="0"/>
            </w:tcBorders>
            <w:vAlign w:val="center"/>
          </w:tcPr>
          <w:p w14:paraId="4C050CDF">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关于本次活动是否涉及应当披露重大信息的说明</w:t>
            </w:r>
          </w:p>
        </w:tc>
        <w:tc>
          <w:tcPr>
            <w:tcW w:w="6588" w:type="dxa"/>
            <w:tcBorders>
              <w:top w:val="single" w:color="auto" w:sz="4" w:space="0"/>
              <w:left w:val="single" w:color="auto" w:sz="4" w:space="0"/>
              <w:bottom w:val="single" w:color="auto" w:sz="4" w:space="0"/>
              <w:right w:val="single" w:color="auto" w:sz="4" w:space="0"/>
            </w:tcBorders>
            <w:vAlign w:val="center"/>
          </w:tcPr>
          <w:p w14:paraId="78CBB680">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本次活动不涉及应当披露的重大信息。</w:t>
            </w:r>
          </w:p>
        </w:tc>
      </w:tr>
      <w:tr w14:paraId="28E9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728" w:type="dxa"/>
            <w:tcBorders>
              <w:top w:val="single" w:color="auto" w:sz="4" w:space="0"/>
              <w:left w:val="single" w:color="auto" w:sz="4" w:space="0"/>
              <w:bottom w:val="single" w:color="auto" w:sz="4" w:space="0"/>
              <w:right w:val="single" w:color="auto" w:sz="4" w:space="0"/>
            </w:tcBorders>
            <w:vAlign w:val="center"/>
          </w:tcPr>
          <w:p w14:paraId="459A5484">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附件清单</w:t>
            </w:r>
          </w:p>
          <w:p w14:paraId="4CA91A54">
            <w:pPr>
              <w:spacing w:line="276"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（如有）</w:t>
            </w:r>
          </w:p>
        </w:tc>
        <w:tc>
          <w:tcPr>
            <w:tcW w:w="6588" w:type="dxa"/>
            <w:tcBorders>
              <w:top w:val="single" w:color="auto" w:sz="4" w:space="0"/>
              <w:left w:val="single" w:color="auto" w:sz="4" w:space="0"/>
              <w:bottom w:val="single" w:color="auto" w:sz="4" w:space="0"/>
              <w:right w:val="single" w:color="auto" w:sz="4" w:space="0"/>
            </w:tcBorders>
            <w:vAlign w:val="center"/>
          </w:tcPr>
          <w:p w14:paraId="0E63E235">
            <w:pPr>
              <w:spacing w:line="360" w:lineRule="auto"/>
              <w:rPr>
                <w:rFonts w:hint="eastAsia" w:ascii="宋体" w:hAnsi="宋体" w:cs="宋体"/>
                <w:color w:val="000000" w:themeColor="text1"/>
                <w:szCs w:val="21"/>
                <w14:textFill>
                  <w14:solidFill>
                    <w14:schemeClr w14:val="tx1"/>
                  </w14:solidFill>
                </w14:textFill>
              </w:rPr>
            </w:pPr>
          </w:p>
        </w:tc>
      </w:tr>
      <w:tr w14:paraId="0391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vAlign w:val="center"/>
          </w:tcPr>
          <w:p w14:paraId="2CB6A18B">
            <w:pPr>
              <w:spacing w:line="360" w:lineRule="auto"/>
              <w:jc w:val="center"/>
              <w:rPr>
                <w:rFonts w:hint="eastAsia" w:ascii="宋体" w:hAnsi="宋体" w:cs="宋体"/>
                <w:b/>
                <w:bCs/>
                <w:iCs/>
                <w:color w:val="000000" w:themeColor="text1"/>
                <w:szCs w:val="21"/>
                <w14:textFill>
                  <w14:solidFill>
                    <w14:schemeClr w14:val="tx1"/>
                  </w14:solidFill>
                </w14:textFill>
              </w:rPr>
            </w:pPr>
            <w:r>
              <w:rPr>
                <w:rFonts w:hint="eastAsia" w:ascii="宋体" w:hAnsi="宋体" w:cs="宋体"/>
                <w:b/>
                <w:bCs/>
                <w:iCs/>
                <w:color w:val="000000" w:themeColor="text1"/>
                <w:szCs w:val="21"/>
                <w14:textFill>
                  <w14:solidFill>
                    <w14:schemeClr w14:val="tx1"/>
                  </w14:solidFill>
                </w14:textFill>
              </w:rPr>
              <w:t>日期</w:t>
            </w:r>
          </w:p>
        </w:tc>
        <w:tc>
          <w:tcPr>
            <w:tcW w:w="6588" w:type="dxa"/>
            <w:tcBorders>
              <w:top w:val="single" w:color="auto" w:sz="4" w:space="0"/>
              <w:left w:val="single" w:color="auto" w:sz="4" w:space="0"/>
              <w:bottom w:val="single" w:color="auto" w:sz="4" w:space="0"/>
              <w:right w:val="single" w:color="auto" w:sz="4" w:space="0"/>
            </w:tcBorders>
            <w:vAlign w:val="center"/>
          </w:tcPr>
          <w:p w14:paraId="75601EF8">
            <w:pPr>
              <w:spacing w:line="360" w:lineRule="auto"/>
              <w:rPr>
                <w:rFonts w:hint="eastAsia" w:ascii="宋体" w:hAnsi="宋体" w:cs="宋体"/>
                <w:bCs/>
                <w:iCs/>
                <w:color w:val="000000" w:themeColor="text1"/>
                <w:szCs w:val="21"/>
                <w14:textFill>
                  <w14:solidFill>
                    <w14:schemeClr w14:val="tx1"/>
                  </w14:solidFill>
                </w14:textFill>
              </w:rPr>
            </w:pPr>
            <w:r>
              <w:rPr>
                <w:rFonts w:hint="eastAsia" w:ascii="宋体" w:hAnsi="宋体" w:cs="宋体"/>
                <w:bCs/>
                <w:iCs/>
                <w:color w:val="000000" w:themeColor="text1"/>
                <w:szCs w:val="21"/>
                <w14:textFill>
                  <w14:solidFill>
                    <w14:schemeClr w14:val="tx1"/>
                  </w14:solidFill>
                </w14:textFill>
              </w:rPr>
              <w:t>202</w:t>
            </w:r>
            <w:r>
              <w:rPr>
                <w:rFonts w:hint="eastAsia" w:ascii="宋体" w:hAnsi="宋体" w:cs="宋体"/>
                <w:bCs/>
                <w:iCs/>
                <w:color w:val="000000" w:themeColor="text1"/>
                <w:szCs w:val="21"/>
                <w:lang w:val="en-US" w:eastAsia="zh-CN"/>
                <w14:textFill>
                  <w14:solidFill>
                    <w14:schemeClr w14:val="tx1"/>
                  </w14:solidFill>
                </w14:textFill>
              </w:rPr>
              <w:t>6</w:t>
            </w:r>
            <w:r>
              <w:rPr>
                <w:rFonts w:hint="eastAsia" w:ascii="宋体" w:hAnsi="宋体" w:cs="宋体"/>
                <w:bCs/>
                <w:iCs/>
                <w:color w:val="000000" w:themeColor="text1"/>
                <w:szCs w:val="21"/>
                <w14:textFill>
                  <w14:solidFill>
                    <w14:schemeClr w14:val="tx1"/>
                  </w14:solidFill>
                </w14:textFill>
              </w:rPr>
              <w:t>年</w:t>
            </w:r>
            <w:r>
              <w:rPr>
                <w:rFonts w:hint="eastAsia" w:ascii="宋体" w:hAnsi="宋体" w:cs="宋体"/>
                <w:bCs/>
                <w:iCs/>
                <w:color w:val="000000" w:themeColor="text1"/>
                <w:szCs w:val="21"/>
                <w:lang w:val="en-US" w:eastAsia="zh-CN"/>
                <w14:textFill>
                  <w14:solidFill>
                    <w14:schemeClr w14:val="tx1"/>
                  </w14:solidFill>
                </w14:textFill>
              </w:rPr>
              <w:t>9</w:t>
            </w:r>
            <w:r>
              <w:rPr>
                <w:rFonts w:hint="eastAsia" w:ascii="宋体" w:hAnsi="宋体" w:cs="宋体"/>
                <w:bCs/>
                <w:iCs/>
                <w:color w:val="000000" w:themeColor="text1"/>
                <w:szCs w:val="21"/>
                <w14:textFill>
                  <w14:solidFill>
                    <w14:schemeClr w14:val="tx1"/>
                  </w14:solidFill>
                </w14:textFill>
              </w:rPr>
              <w:t>月</w:t>
            </w:r>
            <w:r>
              <w:rPr>
                <w:rFonts w:hint="eastAsia" w:ascii="宋体" w:hAnsi="宋体" w:cs="宋体"/>
                <w:bCs/>
                <w:iCs/>
                <w:color w:val="000000" w:themeColor="text1"/>
                <w:szCs w:val="21"/>
                <w:lang w:val="en-US" w:eastAsia="zh-CN"/>
                <w14:textFill>
                  <w14:solidFill>
                    <w14:schemeClr w14:val="tx1"/>
                  </w14:solidFill>
                </w14:textFill>
              </w:rPr>
              <w:t>3</w:t>
            </w:r>
            <w:r>
              <w:rPr>
                <w:rFonts w:hint="eastAsia" w:ascii="宋体" w:hAnsi="宋体" w:cs="宋体"/>
                <w:bCs/>
                <w:iCs/>
                <w:color w:val="000000" w:themeColor="text1"/>
                <w:szCs w:val="21"/>
                <w14:textFill>
                  <w14:solidFill>
                    <w14:schemeClr w14:val="tx1"/>
                  </w14:solidFill>
                </w14:textFill>
              </w:rPr>
              <w:t>日</w:t>
            </w:r>
          </w:p>
        </w:tc>
      </w:tr>
    </w:tbl>
    <w:p w14:paraId="6E1CD183">
      <w:pPr>
        <w:ind w:firstLine="420"/>
        <w:rPr>
          <w:rFonts w:hint="eastAsia" w:ascii="宋体" w:hAnsi="宋体"/>
          <w:color w:val="000000" w:themeColor="text1"/>
          <w14:textFill>
            <w14:solidFill>
              <w14:schemeClr w14:val="tx1"/>
            </w14:solidFill>
          </w14:textFill>
        </w:rPr>
      </w:pPr>
    </w:p>
    <w:p w14:paraId="629E72B1"/>
    <w:sectPr>
      <w:footerReference r:id="rId3" w:type="default"/>
      <w:pgSz w:w="11906" w:h="16838"/>
      <w:pgMar w:top="1440" w:right="1800" w:bottom="1440" w:left="1800" w:header="0"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1489976"/>
    </w:sdtPr>
    <w:sdtContent>
      <w:sdt>
        <w:sdtPr>
          <w:id w:val="1728636285"/>
        </w:sdtPr>
        <w:sdtContent>
          <w:p w14:paraId="35F4E261">
            <w:pPr>
              <w:pStyle w:val="1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8A7"/>
    <w:rsid w:val="0005581F"/>
    <w:rsid w:val="000568A7"/>
    <w:rsid w:val="00056D1E"/>
    <w:rsid w:val="000A300D"/>
    <w:rsid w:val="000A3E54"/>
    <w:rsid w:val="000B2D9F"/>
    <w:rsid w:val="000C49EE"/>
    <w:rsid w:val="001269D3"/>
    <w:rsid w:val="00130597"/>
    <w:rsid w:val="00137980"/>
    <w:rsid w:val="001528ED"/>
    <w:rsid w:val="00164B01"/>
    <w:rsid w:val="001B4173"/>
    <w:rsid w:val="001B66C7"/>
    <w:rsid w:val="001D1CAD"/>
    <w:rsid w:val="001D4B0F"/>
    <w:rsid w:val="001F41CE"/>
    <w:rsid w:val="00213E26"/>
    <w:rsid w:val="00226F52"/>
    <w:rsid w:val="0022726F"/>
    <w:rsid w:val="00227ED0"/>
    <w:rsid w:val="0027275A"/>
    <w:rsid w:val="002C5E9D"/>
    <w:rsid w:val="002E76DE"/>
    <w:rsid w:val="00343894"/>
    <w:rsid w:val="00390757"/>
    <w:rsid w:val="00397543"/>
    <w:rsid w:val="003A1E29"/>
    <w:rsid w:val="003A392C"/>
    <w:rsid w:val="00402186"/>
    <w:rsid w:val="0040324C"/>
    <w:rsid w:val="00412BC1"/>
    <w:rsid w:val="004136BF"/>
    <w:rsid w:val="00443F62"/>
    <w:rsid w:val="004B5FBD"/>
    <w:rsid w:val="004B6072"/>
    <w:rsid w:val="004D76B6"/>
    <w:rsid w:val="004E4756"/>
    <w:rsid w:val="005319DD"/>
    <w:rsid w:val="005504E7"/>
    <w:rsid w:val="00551D0B"/>
    <w:rsid w:val="005713BA"/>
    <w:rsid w:val="005E42F8"/>
    <w:rsid w:val="005F2CFD"/>
    <w:rsid w:val="005F4DD6"/>
    <w:rsid w:val="00607B1A"/>
    <w:rsid w:val="00616FF4"/>
    <w:rsid w:val="00620CC0"/>
    <w:rsid w:val="00631B7C"/>
    <w:rsid w:val="00673B87"/>
    <w:rsid w:val="006B36AF"/>
    <w:rsid w:val="006C5597"/>
    <w:rsid w:val="006D6F3B"/>
    <w:rsid w:val="00711656"/>
    <w:rsid w:val="00712B85"/>
    <w:rsid w:val="007210AF"/>
    <w:rsid w:val="00777274"/>
    <w:rsid w:val="007949E2"/>
    <w:rsid w:val="00801C72"/>
    <w:rsid w:val="008054AE"/>
    <w:rsid w:val="00821939"/>
    <w:rsid w:val="00850086"/>
    <w:rsid w:val="0085280C"/>
    <w:rsid w:val="008678E8"/>
    <w:rsid w:val="00882D86"/>
    <w:rsid w:val="008A3F81"/>
    <w:rsid w:val="008B1A33"/>
    <w:rsid w:val="008B59AE"/>
    <w:rsid w:val="008C15C8"/>
    <w:rsid w:val="008C6FD8"/>
    <w:rsid w:val="008D0491"/>
    <w:rsid w:val="008E1D5A"/>
    <w:rsid w:val="008E6396"/>
    <w:rsid w:val="00915E4A"/>
    <w:rsid w:val="00923DDD"/>
    <w:rsid w:val="00926BE5"/>
    <w:rsid w:val="009375D1"/>
    <w:rsid w:val="0094240A"/>
    <w:rsid w:val="00955D10"/>
    <w:rsid w:val="00971C57"/>
    <w:rsid w:val="009A04E2"/>
    <w:rsid w:val="009A1553"/>
    <w:rsid w:val="009C767D"/>
    <w:rsid w:val="009F2A86"/>
    <w:rsid w:val="00A073C6"/>
    <w:rsid w:val="00A13B4C"/>
    <w:rsid w:val="00A43A70"/>
    <w:rsid w:val="00A65261"/>
    <w:rsid w:val="00A67168"/>
    <w:rsid w:val="00A701DC"/>
    <w:rsid w:val="00A75D2D"/>
    <w:rsid w:val="00A778DE"/>
    <w:rsid w:val="00A86480"/>
    <w:rsid w:val="00A978D7"/>
    <w:rsid w:val="00AA7F76"/>
    <w:rsid w:val="00AC10EB"/>
    <w:rsid w:val="00AE04E4"/>
    <w:rsid w:val="00AF03F1"/>
    <w:rsid w:val="00B033B6"/>
    <w:rsid w:val="00B219DF"/>
    <w:rsid w:val="00B3193C"/>
    <w:rsid w:val="00B370F3"/>
    <w:rsid w:val="00B64187"/>
    <w:rsid w:val="00B84332"/>
    <w:rsid w:val="00BB0B6E"/>
    <w:rsid w:val="00BB6762"/>
    <w:rsid w:val="00BD44C2"/>
    <w:rsid w:val="00BE79BC"/>
    <w:rsid w:val="00C10E01"/>
    <w:rsid w:val="00C34C77"/>
    <w:rsid w:val="00C9180B"/>
    <w:rsid w:val="00CE3FB3"/>
    <w:rsid w:val="00CF73D4"/>
    <w:rsid w:val="00D27A93"/>
    <w:rsid w:val="00D32DFC"/>
    <w:rsid w:val="00D816E8"/>
    <w:rsid w:val="00DE07FC"/>
    <w:rsid w:val="00DF1972"/>
    <w:rsid w:val="00E0120E"/>
    <w:rsid w:val="00E671CE"/>
    <w:rsid w:val="00EA2E3D"/>
    <w:rsid w:val="00EB0E4F"/>
    <w:rsid w:val="00EC506B"/>
    <w:rsid w:val="00ED00F7"/>
    <w:rsid w:val="00EE29C8"/>
    <w:rsid w:val="00EF5D94"/>
    <w:rsid w:val="00EF77C4"/>
    <w:rsid w:val="00F21D3A"/>
    <w:rsid w:val="00F370DB"/>
    <w:rsid w:val="00F650EB"/>
    <w:rsid w:val="00F65872"/>
    <w:rsid w:val="00F72275"/>
    <w:rsid w:val="00F87CDE"/>
    <w:rsid w:val="00FA1F10"/>
    <w:rsid w:val="00FC3361"/>
    <w:rsid w:val="021E6880"/>
    <w:rsid w:val="03F4702C"/>
    <w:rsid w:val="04861B0C"/>
    <w:rsid w:val="06C31EBD"/>
    <w:rsid w:val="07126147"/>
    <w:rsid w:val="0756371B"/>
    <w:rsid w:val="075E5B77"/>
    <w:rsid w:val="088A0B1A"/>
    <w:rsid w:val="0A9B66BA"/>
    <w:rsid w:val="0B906E95"/>
    <w:rsid w:val="0C1C35C4"/>
    <w:rsid w:val="0CB17C2B"/>
    <w:rsid w:val="0D410F49"/>
    <w:rsid w:val="0E591889"/>
    <w:rsid w:val="0EB144BA"/>
    <w:rsid w:val="0F357BC8"/>
    <w:rsid w:val="10233173"/>
    <w:rsid w:val="105C0433"/>
    <w:rsid w:val="11F646F7"/>
    <w:rsid w:val="12086AC4"/>
    <w:rsid w:val="12706417"/>
    <w:rsid w:val="1336140F"/>
    <w:rsid w:val="140C1889"/>
    <w:rsid w:val="14233CA2"/>
    <w:rsid w:val="1433594E"/>
    <w:rsid w:val="16327340"/>
    <w:rsid w:val="178B0E34"/>
    <w:rsid w:val="17C4348D"/>
    <w:rsid w:val="189E262D"/>
    <w:rsid w:val="19461284"/>
    <w:rsid w:val="1A136006"/>
    <w:rsid w:val="1C626685"/>
    <w:rsid w:val="1E6144DD"/>
    <w:rsid w:val="1F6F0182"/>
    <w:rsid w:val="1FB9548D"/>
    <w:rsid w:val="1FF266BE"/>
    <w:rsid w:val="201C5054"/>
    <w:rsid w:val="206477CF"/>
    <w:rsid w:val="22196184"/>
    <w:rsid w:val="221B1EC0"/>
    <w:rsid w:val="243674C1"/>
    <w:rsid w:val="24720EA1"/>
    <w:rsid w:val="24AB407B"/>
    <w:rsid w:val="258D4DA6"/>
    <w:rsid w:val="265A2982"/>
    <w:rsid w:val="2AE65F68"/>
    <w:rsid w:val="2B8F2DA7"/>
    <w:rsid w:val="2BA74800"/>
    <w:rsid w:val="2DB15917"/>
    <w:rsid w:val="2F6B3FCA"/>
    <w:rsid w:val="30265685"/>
    <w:rsid w:val="326E7E26"/>
    <w:rsid w:val="32E00968"/>
    <w:rsid w:val="340824FC"/>
    <w:rsid w:val="35234AC0"/>
    <w:rsid w:val="35886ECB"/>
    <w:rsid w:val="371923D0"/>
    <w:rsid w:val="37D921E5"/>
    <w:rsid w:val="384D62C0"/>
    <w:rsid w:val="3B152C0F"/>
    <w:rsid w:val="3B491430"/>
    <w:rsid w:val="3D475E43"/>
    <w:rsid w:val="3D4E5423"/>
    <w:rsid w:val="3EC7548D"/>
    <w:rsid w:val="3EDC37C7"/>
    <w:rsid w:val="3FEF631E"/>
    <w:rsid w:val="3FF6004C"/>
    <w:rsid w:val="40C003E6"/>
    <w:rsid w:val="43430519"/>
    <w:rsid w:val="43614A2D"/>
    <w:rsid w:val="44AE55D6"/>
    <w:rsid w:val="45700811"/>
    <w:rsid w:val="478A3822"/>
    <w:rsid w:val="48720040"/>
    <w:rsid w:val="48AD1A9B"/>
    <w:rsid w:val="4A4934DE"/>
    <w:rsid w:val="4C012BBE"/>
    <w:rsid w:val="4D1D5BE5"/>
    <w:rsid w:val="4DFF1573"/>
    <w:rsid w:val="4FE65908"/>
    <w:rsid w:val="4FF90D3C"/>
    <w:rsid w:val="517D49C4"/>
    <w:rsid w:val="52DA6ADC"/>
    <w:rsid w:val="53D53260"/>
    <w:rsid w:val="53E915AA"/>
    <w:rsid w:val="545B7EFC"/>
    <w:rsid w:val="550334E7"/>
    <w:rsid w:val="56592316"/>
    <w:rsid w:val="5B1F079D"/>
    <w:rsid w:val="5FE61B61"/>
    <w:rsid w:val="6115590B"/>
    <w:rsid w:val="616634E5"/>
    <w:rsid w:val="63E678B4"/>
    <w:rsid w:val="64406FC4"/>
    <w:rsid w:val="64925346"/>
    <w:rsid w:val="656C52F5"/>
    <w:rsid w:val="65CC6FD3"/>
    <w:rsid w:val="665054B9"/>
    <w:rsid w:val="67815CB5"/>
    <w:rsid w:val="681F67A2"/>
    <w:rsid w:val="68726545"/>
    <w:rsid w:val="698C7B29"/>
    <w:rsid w:val="6A010FA4"/>
    <w:rsid w:val="6A446AC4"/>
    <w:rsid w:val="6C356C08"/>
    <w:rsid w:val="6CF02B83"/>
    <w:rsid w:val="6E125360"/>
    <w:rsid w:val="6E573888"/>
    <w:rsid w:val="6E7521DB"/>
    <w:rsid w:val="71CC0FB3"/>
    <w:rsid w:val="734C0DB6"/>
    <w:rsid w:val="75373B04"/>
    <w:rsid w:val="755F74C6"/>
    <w:rsid w:val="75852CEC"/>
    <w:rsid w:val="770B3462"/>
    <w:rsid w:val="78533453"/>
    <w:rsid w:val="78826FA1"/>
    <w:rsid w:val="78D6184E"/>
    <w:rsid w:val="7BC61D30"/>
    <w:rsid w:val="7BDE6900"/>
    <w:rsid w:val="7C063151"/>
    <w:rsid w:val="7DD72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24"/>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25"/>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6"/>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7"/>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7">
    <w:name w:val="heading 6"/>
    <w:basedOn w:val="1"/>
    <w:next w:val="1"/>
    <w:link w:val="28"/>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8">
    <w:name w:val="heading 7"/>
    <w:basedOn w:val="1"/>
    <w:next w:val="1"/>
    <w:link w:val="29"/>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30"/>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31"/>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3"/>
    <w:semiHidden/>
    <w:unhideWhenUsed/>
    <w:qFormat/>
    <w:uiPriority w:val="99"/>
    <w:pPr>
      <w:jc w:val="left"/>
    </w:pPr>
  </w:style>
  <w:style w:type="paragraph" w:styleId="12">
    <w:name w:val="footer"/>
    <w:basedOn w:val="1"/>
    <w:link w:val="41"/>
    <w:unhideWhenUsed/>
    <w:qFormat/>
    <w:uiPriority w:val="99"/>
    <w:pPr>
      <w:tabs>
        <w:tab w:val="center" w:pos="4153"/>
        <w:tab w:val="right" w:pos="8306"/>
      </w:tabs>
      <w:snapToGrid w:val="0"/>
      <w:jc w:val="left"/>
    </w:pPr>
    <w:rPr>
      <w:sz w:val="18"/>
      <w:szCs w:val="18"/>
    </w:rPr>
  </w:style>
  <w:style w:type="paragraph" w:styleId="13">
    <w:name w:val="header"/>
    <w:basedOn w:val="1"/>
    <w:link w:val="42"/>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3"/>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17">
    <w:name w:val="annotation subject"/>
    <w:basedOn w:val="11"/>
    <w:next w:val="11"/>
    <w:link w:val="44"/>
    <w:semiHidden/>
    <w:unhideWhenUsed/>
    <w:qFormat/>
    <w:uiPriority w:val="99"/>
    <w:rPr>
      <w:b/>
      <w:bCs/>
    </w:rPr>
  </w:style>
  <w:style w:type="character" w:styleId="20">
    <w:name w:val="Strong"/>
    <w:basedOn w:val="19"/>
    <w:qFormat/>
    <w:uiPriority w:val="22"/>
    <w:rPr>
      <w:b/>
    </w:rPr>
  </w:style>
  <w:style w:type="character" w:styleId="21">
    <w:name w:val="Emphasis"/>
    <w:basedOn w:val="19"/>
    <w:qFormat/>
    <w:uiPriority w:val="20"/>
    <w:rPr>
      <w:i/>
    </w:rPr>
  </w:style>
  <w:style w:type="character" w:styleId="22">
    <w:name w:val="annotation reference"/>
    <w:basedOn w:val="19"/>
    <w:semiHidden/>
    <w:unhideWhenUsed/>
    <w:qFormat/>
    <w:uiPriority w:val="99"/>
    <w:rPr>
      <w:sz w:val="21"/>
      <w:szCs w:val="21"/>
    </w:rPr>
  </w:style>
  <w:style w:type="character" w:customStyle="1" w:styleId="23">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19"/>
    <w:link w:val="5"/>
    <w:semiHidden/>
    <w:qFormat/>
    <w:uiPriority w:val="9"/>
    <w:rPr>
      <w:rFonts w:cstheme="majorBidi"/>
      <w:color w:val="2F5597" w:themeColor="accent1" w:themeShade="BF"/>
      <w:sz w:val="28"/>
      <w:szCs w:val="28"/>
    </w:rPr>
  </w:style>
  <w:style w:type="character" w:customStyle="1" w:styleId="27">
    <w:name w:val="标题 5 字符"/>
    <w:basedOn w:val="19"/>
    <w:link w:val="6"/>
    <w:semiHidden/>
    <w:qFormat/>
    <w:uiPriority w:val="9"/>
    <w:rPr>
      <w:rFonts w:cstheme="majorBidi"/>
      <w:color w:val="2F5597" w:themeColor="accent1" w:themeShade="BF"/>
      <w:sz w:val="24"/>
    </w:rPr>
  </w:style>
  <w:style w:type="character" w:customStyle="1" w:styleId="28">
    <w:name w:val="标题 6 字符"/>
    <w:basedOn w:val="19"/>
    <w:link w:val="7"/>
    <w:semiHidden/>
    <w:qFormat/>
    <w:uiPriority w:val="9"/>
    <w:rPr>
      <w:rFonts w:cstheme="majorBidi"/>
      <w:b/>
      <w:bCs/>
      <w:color w:val="2F5597" w:themeColor="accent1" w:themeShade="BF"/>
    </w:rPr>
  </w:style>
  <w:style w:type="character" w:customStyle="1" w:styleId="29">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5">
    <w:name w:val="引用 字符"/>
    <w:basedOn w:val="19"/>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7">
    <w:name w:val="明显强调1"/>
    <w:basedOn w:val="19"/>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9">
    <w:name w:val="明显引用 字符"/>
    <w:basedOn w:val="19"/>
    <w:link w:val="38"/>
    <w:qFormat/>
    <w:uiPriority w:val="30"/>
    <w:rPr>
      <w:i/>
      <w:iCs/>
      <w:color w:val="2F5597" w:themeColor="accent1" w:themeShade="BF"/>
    </w:rPr>
  </w:style>
  <w:style w:type="character" w:customStyle="1" w:styleId="40">
    <w:name w:val="明显参考1"/>
    <w:basedOn w:val="19"/>
    <w:qFormat/>
    <w:uiPriority w:val="32"/>
    <w:rPr>
      <w:b/>
      <w:bCs/>
      <w:smallCaps/>
      <w:color w:val="2F5597" w:themeColor="accent1" w:themeShade="BF"/>
      <w:spacing w:val="5"/>
    </w:rPr>
  </w:style>
  <w:style w:type="character" w:customStyle="1" w:styleId="41">
    <w:name w:val="页脚 字符"/>
    <w:basedOn w:val="19"/>
    <w:link w:val="12"/>
    <w:qFormat/>
    <w:uiPriority w:val="99"/>
    <w:rPr>
      <w:rFonts w:ascii="Times New Roman" w:hAnsi="Times New Roman" w:eastAsia="宋体" w:cs="Times New Roman"/>
      <w:sz w:val="18"/>
      <w:szCs w:val="18"/>
      <w14:ligatures w14:val="none"/>
    </w:rPr>
  </w:style>
  <w:style w:type="character" w:customStyle="1" w:styleId="42">
    <w:name w:val="页眉 字符"/>
    <w:basedOn w:val="19"/>
    <w:link w:val="13"/>
    <w:qFormat/>
    <w:uiPriority w:val="99"/>
    <w:rPr>
      <w:rFonts w:ascii="Times New Roman" w:hAnsi="Times New Roman" w:eastAsia="宋体" w:cs="Times New Roman"/>
      <w:sz w:val="18"/>
      <w:szCs w:val="18"/>
      <w14:ligatures w14:val="none"/>
    </w:rPr>
  </w:style>
  <w:style w:type="character" w:customStyle="1" w:styleId="43">
    <w:name w:val="批注文字 字符"/>
    <w:basedOn w:val="19"/>
    <w:link w:val="11"/>
    <w:semiHidden/>
    <w:qFormat/>
    <w:uiPriority w:val="99"/>
    <w:rPr>
      <w:rFonts w:ascii="Times New Roman" w:hAnsi="Times New Roman" w:eastAsia="宋体" w:cs="Times New Roman"/>
      <w:sz w:val="21"/>
      <w14:ligatures w14:val="none"/>
    </w:rPr>
  </w:style>
  <w:style w:type="character" w:customStyle="1" w:styleId="44">
    <w:name w:val="批注主题 字符"/>
    <w:basedOn w:val="43"/>
    <w:link w:val="17"/>
    <w:semiHidden/>
    <w:qFormat/>
    <w:uiPriority w:val="99"/>
    <w:rPr>
      <w:rFonts w:ascii="Times New Roman" w:hAnsi="Times New Roman" w:eastAsia="宋体" w:cs="Times New Roman"/>
      <w:b/>
      <w:bCs/>
      <w:sz w:val="21"/>
      <w14:ligatures w14:val="none"/>
    </w:rPr>
  </w:style>
  <w:style w:type="character" w:customStyle="1" w:styleId="45">
    <w:name w:val="fontstyle01"/>
    <w:basedOn w:val="19"/>
    <w:qFormat/>
    <w:uiPriority w:val="0"/>
    <w:rPr>
      <w:rFonts w:hint="eastAsia" w:ascii="宋体" w:hAnsi="宋体" w:eastAsia="宋体"/>
      <w:color w:val="000000"/>
      <w:sz w:val="22"/>
      <w:szCs w:val="22"/>
    </w:rPr>
  </w:style>
  <w:style w:type="character" w:customStyle="1" w:styleId="46">
    <w:name w:val="fontstyle21"/>
    <w:basedOn w:val="19"/>
    <w:qFormat/>
    <w:uiPriority w:val="0"/>
    <w:rPr>
      <w:rFonts w:hint="default" w:ascii="TimesNewRomanPSMT" w:hAnsi="TimesNewRomanPSMT"/>
      <w:color w:val="000000"/>
      <w:sz w:val="22"/>
      <w:szCs w:val="22"/>
    </w:rPr>
  </w:style>
  <w:style w:type="paragraph" w:customStyle="1" w:styleId="47">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8b32b0d3-d583-40a4-b575-744d9df23ab7</errorID>
      <errorWord>下午15:00</errorWord>
      <group>L1_Knowledge</group>
      <groupName>知识性问题</groupName>
      <ability>L2_Time</ability>
      <abilityName>日期时间</abilityName>
      <candidateList>
        <item>15:00</item>
      </candidateList>
      <explain>24小时制的时间，不需要强调“下午”。</explain>
      <paraID>195244D6</paraID>
      <start>14</start>
      <end>21</end>
      <status>ignored</status>
      <modifiedWord/>
      <trackRevisions>false</trackRevisions>
    </reviewItem>
    <reviewItem>
      <errorID>7fda4705-ea03-421b-9646-7e505c2252f3</errorID>
      <errorWord>毛利率为</errorWord>
      <group>L1_Word</group>
      <groupName>字词问题</groupName>
      <ability>L2_Typo</ability>
      <abilityName>字词错误</abilityName>
      <candidateList>
        <item>毛利率</item>
      </candidateList>
      <explain/>
      <paraID>6DB4C613</paraID>
      <start>71</start>
      <end>74</end>
      <status>modified</status>
      <modifiedWord>毛利率</modifiedWord>
      <trackRevisions>false</trackRevisions>
    </reviewItem>
    <reviewItem>
      <errorID>69cc2a7f-1f3e-4155-99d6-41b2bfde6299</errorID>
      <errorWord>受到</errorWord>
      <group>L1_Word</group>
      <groupName>字词问题</groupName>
      <ability>L2_Typo</ability>
      <abilityName>字词错误</abilityName>
      <candidateList>
        <item>受</item>
      </candidateList>
      <explain/>
      <paraID>6DB4C613</paraID>
      <start>263</start>
      <end>264</end>
      <status>modified</status>
      <modifiedWord>受</modifiedWord>
      <trackRevisions>false</trackRevisions>
    </reviewItem>
    <reviewItem>
      <errorID>caa51a20-8263-4c0d-9a43-8b428db75826</errorID>
      <errorWord>?</errorWord>
      <group>L1_Format</group>
      <groupName>格式问题</groupName>
      <ability>L2_HalfPunc_CN</ability>
      <abilityName>全半角问题</abilityName>
      <candidateList>
        <item>？</item>
      </candidateList>
      <explain>文本全半角错误。</explain>
      <paraID>6664726C</paraID>
      <start>60</start>
      <end>61</end>
      <status>modified</status>
      <modifiedWord>？</modifiedWord>
      <trackRevisions>false</trackRevisions>
    </reviewItem>
    <reviewItem>
      <errorID>6f48a978-124e-4b28-9adc-4f444c6f6f54</errorID>
      <errorWord>司</errorWord>
      <group>L1_Word</group>
      <groupName>字词问题</groupName>
      <ability>L2_Typo</ability>
      <abilityName>字词错误</abilityName>
      <candidateList>
        <item>司在</item>
      </candidateList>
      <explain/>
      <paraID>454C56C2</paraID>
      <start>78</start>
      <end>80</end>
      <status>modified</status>
      <modifiedWord>司在</modifiedWord>
      <trackRevisions>false</trackRevisions>
    </reviewItem>
    <reviewItem>
      <errorID>01495e36-1f85-4b5a-9a6f-243eb64e84bc</errorID>
      <errorWord>受到</errorWord>
      <group>L1_Word</group>
      <groupName>字词问题</groupName>
      <ability>L2_Typo</ability>
      <abilityName>字词错误</abilityName>
      <candidateList>
        <item>受</item>
      </candidateList>
      <explain/>
      <paraID>1A754C56</paraID>
      <start>66</start>
      <end>67</end>
      <status>modified</status>
      <modifiedWord>受</modifiedWord>
      <trackRevisions>false</trackRevisions>
    </reviewItem>
    <reviewItem>
      <errorID>4d2c8b00-ad79-4062-923e-2e5b58babead</errorID>
      <errorWord>率</errorWord>
      <group>L1_Word</group>
      <groupName>字词问题</groupName>
      <ability>L2_Typo</ability>
      <abilityName>字词错误</abilityName>
      <candidateList>
        <item>率是</item>
      </candidateList>
      <explain/>
      <paraID>5FFE70CA</paraID>
      <start>39</start>
      <end>41</end>
      <status>modified</status>
      <modifiedWord>率是</modifiedWord>
      <trackRevisions>false</trackRevisions>
    </reviewItem>
  </reviewItems>
  <config/>
</contractReview>
</file>

<file path=customXml/itemProps1.xml><?xml version="1.0" encoding="utf-8"?>
<ds:datastoreItem xmlns:ds="http://schemas.openxmlformats.org/officeDocument/2006/customXml" ds:itemID="{52903fcb-1982-47c1-ac26-2fd2409fe818}">
  <ds:schemaRefs/>
</ds:datastoreItem>
</file>

<file path=docProps/app.xml><?xml version="1.0" encoding="utf-8"?>
<Properties xmlns="http://schemas.openxmlformats.org/officeDocument/2006/extended-properties" xmlns:vt="http://schemas.openxmlformats.org/officeDocument/2006/docPropsVTypes">
  <Template>Normal</Template>
  <Pages>8</Pages>
  <Words>5309</Words>
  <Characters>5595</Characters>
  <Lines>21</Lines>
  <Paragraphs>5</Paragraphs>
  <TotalTime>59</TotalTime>
  <ScaleCrop>false</ScaleCrop>
  <LinksUpToDate>false</LinksUpToDate>
  <CharactersWithSpaces>5729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2025-08-22T02:27:00Z</dcterms:created>
  <dc:creator>Yingying LIU</dc:creator>
  <cp:lastModifiedBy>Feitong Jiang</cp:lastModifiedBy>
  <cp:lastPrinted>2025-11-25T08:55:00Z</cp:lastPrinted>
  <dcterms:modified xsi:type="dcterms:W3CDTF">2026-09-03T10:22:04Z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eyJoZGlkIjoiY2MxODk3Y2Y4YTk5MTUwZDFiNDZkMmM0Njg2MGI5ODciLCJ1c2VySWQiOiI2ODA3MTUzODIifQ==</vt:lpwstr>
  </property>
  <property fmtid="{D5CDD505-2E9C-101B-9397-08002B2CF9AE}" pid="3" name="KSOProductBuildVer">
    <vt:lpwstr>2052-12.1.0.28043</vt:lpwstr>
  </property>
  <property fmtid="{D5CDD505-2E9C-101B-9397-08002B2CF9AE}" pid="4" name="ICV">
    <vt:lpwstr>988BF610CDE545D3BA48F69E63688353_13</vt:lpwstr>
  </property>
</Properties>
</file>