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5E78DD">
      <w:pPr>
        <w:spacing w:line="500" w:lineRule="exact"/>
        <w:jc w:val="center"/>
        <w:rPr>
          <w:rFonts w:ascii="黑体" w:hAnsi="黑体" w:eastAsia="黑体"/>
          <w:iCs/>
          <w:color w:val="000000" w:themeColor="text1"/>
          <w:sz w:val="44"/>
          <w:szCs w:val="28"/>
          <w14:textFill>
            <w14:solidFill>
              <w14:schemeClr w14:val="tx1"/>
            </w14:solidFill>
          </w14:textFill>
        </w:rPr>
      </w:pPr>
      <w:r>
        <w:rPr>
          <w:rFonts w:hint="eastAsia" w:ascii="黑体" w:hAnsi="黑体" w:eastAsia="黑体"/>
          <w:iCs/>
          <w:color w:val="000000" w:themeColor="text1"/>
          <w:sz w:val="44"/>
          <w:szCs w:val="28"/>
          <w14:textFill>
            <w14:solidFill>
              <w14:schemeClr w14:val="tx1"/>
            </w14:solidFill>
          </w14:textFill>
        </w:rPr>
        <w:t xml:space="preserve"> 苏州上声电子股份有限公司</w:t>
      </w:r>
    </w:p>
    <w:p w14:paraId="5249BDBE">
      <w:pPr>
        <w:spacing w:line="640" w:lineRule="exact"/>
        <w:jc w:val="center"/>
        <w:rPr>
          <w:rFonts w:ascii="黑体" w:hAnsi="黑体" w:eastAsia="黑体"/>
          <w:iCs/>
          <w:color w:val="000000" w:themeColor="text1"/>
          <w:sz w:val="44"/>
          <w:szCs w:val="28"/>
          <w14:textFill>
            <w14:solidFill>
              <w14:schemeClr w14:val="tx1"/>
            </w14:solidFill>
          </w14:textFill>
        </w:rPr>
      </w:pPr>
      <w:r>
        <w:rPr>
          <w:rFonts w:hint="eastAsia" w:ascii="黑体" w:hAnsi="黑体" w:eastAsia="黑体"/>
          <w:iCs/>
          <w:color w:val="000000" w:themeColor="text1"/>
          <w:sz w:val="44"/>
          <w:szCs w:val="28"/>
          <w14:textFill>
            <w14:solidFill>
              <w14:schemeClr w14:val="tx1"/>
            </w14:solidFill>
          </w14:textFill>
        </w:rPr>
        <w:t>投资者关系活动记录表</w:t>
      </w:r>
    </w:p>
    <w:p w14:paraId="0167E625">
      <w:pPr>
        <w:spacing w:before="156" w:beforeLines="50" w:after="156" w:afterLines="50" w:line="500" w:lineRule="exact"/>
        <w:jc w:val="center"/>
        <w:rPr>
          <w:rFonts w:ascii="仿宋" w:hAnsi="仿宋" w:eastAsia="仿宋"/>
          <w:iCs/>
          <w:color w:val="000000" w:themeColor="text1"/>
          <w:sz w:val="28"/>
          <w:szCs w:val="28"/>
          <w14:textFill>
            <w14:solidFill>
              <w14:schemeClr w14:val="tx1"/>
            </w14:solidFill>
          </w14:textFill>
        </w:rPr>
      </w:pPr>
      <w:r>
        <w:rPr>
          <w:rFonts w:hint="eastAsia" w:ascii="仿宋" w:hAnsi="仿宋" w:eastAsia="仿宋"/>
          <w:bCs/>
          <w:iCs/>
          <w:color w:val="000000" w:themeColor="text1"/>
          <w:sz w:val="28"/>
          <w:szCs w:val="28"/>
          <w14:textFill>
            <w14:solidFill>
              <w14:schemeClr w14:val="tx1"/>
            </w14:solidFill>
          </w14:textFill>
        </w:rPr>
        <w:t>证券简称：上声电子</w:t>
      </w:r>
      <w:r>
        <w:rPr>
          <w:rFonts w:ascii="仿宋" w:hAnsi="仿宋" w:eastAsia="仿宋"/>
          <w:bCs/>
          <w:iCs/>
          <w:color w:val="000000" w:themeColor="text1"/>
          <w:sz w:val="28"/>
          <w:szCs w:val="28"/>
          <w14:textFill>
            <w14:solidFill>
              <w14:schemeClr w14:val="tx1"/>
            </w14:solidFill>
          </w14:textFill>
        </w:rPr>
        <w:t xml:space="preserve">      </w:t>
      </w:r>
      <w:r>
        <w:rPr>
          <w:rFonts w:hint="eastAsia" w:ascii="仿宋" w:hAnsi="仿宋" w:eastAsia="仿宋"/>
          <w:bCs/>
          <w:iCs/>
          <w:color w:val="000000" w:themeColor="text1"/>
          <w:sz w:val="28"/>
          <w:szCs w:val="28"/>
          <w14:textFill>
            <w14:solidFill>
              <w14:schemeClr w14:val="tx1"/>
            </w14:solidFill>
          </w14:textFill>
        </w:rPr>
        <w:t>证券代码：6</w:t>
      </w:r>
      <w:r>
        <w:rPr>
          <w:rFonts w:ascii="仿宋" w:hAnsi="仿宋" w:eastAsia="仿宋"/>
          <w:bCs/>
          <w:iCs/>
          <w:color w:val="000000" w:themeColor="text1"/>
          <w:sz w:val="28"/>
          <w:szCs w:val="28"/>
          <w14:textFill>
            <w14:solidFill>
              <w14:schemeClr w14:val="tx1"/>
            </w14:solidFill>
          </w14:textFill>
        </w:rPr>
        <w:t xml:space="preserve">88533     </w:t>
      </w:r>
      <w:r>
        <w:rPr>
          <w:rFonts w:hint="eastAsia" w:ascii="仿宋" w:hAnsi="仿宋" w:eastAsia="仿宋"/>
          <w:bCs/>
          <w:iCs/>
          <w:color w:val="000000" w:themeColor="text1"/>
          <w:sz w:val="28"/>
          <w:szCs w:val="28"/>
          <w14:textFill>
            <w14:solidFill>
              <w14:schemeClr w14:val="tx1"/>
            </w14:solidFill>
          </w14:textFill>
        </w:rPr>
        <w:t>编号：2</w:t>
      </w:r>
      <w:r>
        <w:rPr>
          <w:rFonts w:ascii="仿宋" w:hAnsi="仿宋" w:eastAsia="仿宋"/>
          <w:bCs/>
          <w:iCs/>
          <w:color w:val="000000" w:themeColor="text1"/>
          <w:sz w:val="28"/>
          <w:szCs w:val="28"/>
          <w14:textFill>
            <w14:solidFill>
              <w14:schemeClr w14:val="tx1"/>
            </w14:solidFill>
          </w14:textFill>
        </w:rPr>
        <w:t>02</w:t>
      </w:r>
      <w:r>
        <w:rPr>
          <w:rFonts w:hint="eastAsia" w:ascii="仿宋" w:hAnsi="仿宋" w:eastAsia="仿宋"/>
          <w:bCs/>
          <w:iCs/>
          <w:color w:val="000000" w:themeColor="text1"/>
          <w:sz w:val="28"/>
          <w:szCs w:val="28"/>
          <w14:textFill>
            <w14:solidFill>
              <w14:schemeClr w14:val="tx1"/>
            </w14:solidFill>
          </w14:textFill>
        </w:rPr>
        <w:t>6</w:t>
      </w:r>
      <w:r>
        <w:rPr>
          <w:rFonts w:ascii="仿宋" w:hAnsi="仿宋" w:eastAsia="仿宋"/>
          <w:bCs/>
          <w:iCs/>
          <w:color w:val="000000" w:themeColor="text1"/>
          <w:sz w:val="28"/>
          <w:szCs w:val="28"/>
          <w14:textFill>
            <w14:solidFill>
              <w14:schemeClr w14:val="tx1"/>
            </w14:solidFill>
          </w14:textFill>
        </w:rPr>
        <w:t>-00</w:t>
      </w:r>
      <w:r>
        <w:rPr>
          <w:rFonts w:hint="eastAsia" w:ascii="仿宋" w:hAnsi="仿宋" w:eastAsia="仿宋"/>
          <w:bCs/>
          <w:iCs/>
          <w:color w:val="000000" w:themeColor="text1"/>
          <w:sz w:val="28"/>
          <w:szCs w:val="28"/>
          <w14:textFill>
            <w14:solidFill>
              <w14:schemeClr w14:val="tx1"/>
            </w14:solidFill>
          </w14:textFill>
        </w:rPr>
        <w:t>3</w:t>
      </w:r>
    </w:p>
    <w:tbl>
      <w:tblPr>
        <w:tblStyle w:val="6"/>
        <w:tblW w:w="96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47"/>
        <w:gridCol w:w="7087"/>
      </w:tblGrid>
      <w:tr w14:paraId="24994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6" w:hRule="atLeast"/>
          <w:jc w:val="center"/>
        </w:trPr>
        <w:tc>
          <w:tcPr>
            <w:tcW w:w="2547" w:type="dxa"/>
            <w:tcBorders>
              <w:top w:val="single" w:color="auto" w:sz="4" w:space="0"/>
              <w:left w:val="single" w:color="auto" w:sz="4" w:space="0"/>
              <w:bottom w:val="single" w:color="auto" w:sz="4" w:space="0"/>
              <w:right w:val="single" w:color="auto" w:sz="4" w:space="0"/>
            </w:tcBorders>
            <w:vAlign w:val="center"/>
          </w:tcPr>
          <w:p w14:paraId="2699DE52">
            <w:pPr>
              <w:spacing w:line="500" w:lineRule="exact"/>
              <w:jc w:val="center"/>
              <w:rPr>
                <w:rFonts w:ascii="仿宋" w:hAnsi="仿宋" w:eastAsia="仿宋"/>
                <w:bCs/>
                <w:iCs/>
                <w:color w:val="000000" w:themeColor="text1"/>
                <w:kern w:val="0"/>
                <w:sz w:val="28"/>
                <w:szCs w:val="28"/>
                <w14:textFill>
                  <w14:solidFill>
                    <w14:schemeClr w14:val="tx1"/>
                  </w14:solidFill>
                </w14:textFill>
              </w:rPr>
            </w:pPr>
            <w:r>
              <w:rPr>
                <w:rFonts w:hint="eastAsia" w:ascii="仿宋" w:hAnsi="仿宋" w:eastAsia="仿宋"/>
                <w:bCs/>
                <w:iCs/>
                <w:color w:val="000000" w:themeColor="text1"/>
                <w:kern w:val="0"/>
                <w:sz w:val="28"/>
                <w:szCs w:val="28"/>
                <w14:textFill>
                  <w14:solidFill>
                    <w14:schemeClr w14:val="tx1"/>
                  </w14:solidFill>
                </w14:textFill>
              </w:rPr>
              <w:t>投资者关系活动</w:t>
            </w:r>
          </w:p>
          <w:p w14:paraId="0F99E2B8">
            <w:pPr>
              <w:spacing w:line="500" w:lineRule="exact"/>
              <w:jc w:val="center"/>
              <w:rPr>
                <w:rFonts w:ascii="仿宋" w:hAnsi="仿宋" w:eastAsia="仿宋"/>
                <w:bCs/>
                <w:iCs/>
                <w:color w:val="000000" w:themeColor="text1"/>
                <w:kern w:val="0"/>
                <w:sz w:val="28"/>
                <w:szCs w:val="28"/>
                <w14:textFill>
                  <w14:solidFill>
                    <w14:schemeClr w14:val="tx1"/>
                  </w14:solidFill>
                </w14:textFill>
              </w:rPr>
            </w:pPr>
            <w:r>
              <w:rPr>
                <w:rFonts w:hint="eastAsia" w:ascii="仿宋" w:hAnsi="仿宋" w:eastAsia="仿宋"/>
                <w:bCs/>
                <w:iCs/>
                <w:color w:val="000000" w:themeColor="text1"/>
                <w:kern w:val="0"/>
                <w:sz w:val="28"/>
                <w:szCs w:val="28"/>
                <w14:textFill>
                  <w14:solidFill>
                    <w14:schemeClr w14:val="tx1"/>
                  </w14:solidFill>
                </w14:textFill>
              </w:rPr>
              <w:t>类别</w:t>
            </w:r>
          </w:p>
        </w:tc>
        <w:tc>
          <w:tcPr>
            <w:tcW w:w="7087" w:type="dxa"/>
            <w:tcBorders>
              <w:top w:val="single" w:color="auto" w:sz="4" w:space="0"/>
              <w:left w:val="single" w:color="auto" w:sz="4" w:space="0"/>
              <w:bottom w:val="single" w:color="auto" w:sz="4" w:space="0"/>
              <w:right w:val="single" w:color="auto" w:sz="4" w:space="0"/>
            </w:tcBorders>
            <w:vAlign w:val="center"/>
          </w:tcPr>
          <w:p w14:paraId="1D9B6DEC">
            <w:pPr>
              <w:tabs>
                <w:tab w:val="left" w:pos="3093"/>
              </w:tabs>
              <w:spacing w:line="420" w:lineRule="exact"/>
              <w:jc w:val="left"/>
              <w:rPr>
                <w:rFonts w:ascii="仿宋" w:hAnsi="仿宋" w:eastAsia="仿宋"/>
                <w:bCs/>
                <w:iCs/>
                <w:color w:val="000000" w:themeColor="text1"/>
                <w:kern w:val="0"/>
                <w:sz w:val="28"/>
                <w:szCs w:val="28"/>
                <w14:textFill>
                  <w14:solidFill>
                    <w14:schemeClr w14:val="tx1"/>
                  </w14:solidFill>
                </w14:textFill>
              </w:rPr>
            </w:pPr>
            <w:r>
              <w:rPr>
                <w:rFonts w:hint="eastAsia" w:ascii="仿宋" w:hAnsi="仿宋" w:eastAsia="仿宋"/>
                <w:bCs/>
                <w:iCs/>
                <w:color w:val="000000" w:themeColor="text1"/>
                <w:kern w:val="0"/>
                <w:sz w:val="28"/>
                <w:szCs w:val="28"/>
                <w14:textFill>
                  <w14:solidFill>
                    <w14:schemeClr w14:val="tx1"/>
                  </w14:solidFill>
                </w14:textFill>
              </w:rPr>
              <w:sym w:font="Wingdings 2" w:char="0052"/>
            </w:r>
            <w:r>
              <w:rPr>
                <w:rFonts w:hint="eastAsia" w:ascii="仿宋" w:hAnsi="仿宋" w:eastAsia="仿宋"/>
                <w:color w:val="000000" w:themeColor="text1"/>
                <w:kern w:val="0"/>
                <w:sz w:val="28"/>
                <w:szCs w:val="28"/>
                <w14:textFill>
                  <w14:solidFill>
                    <w14:schemeClr w14:val="tx1"/>
                  </w14:solidFill>
                </w14:textFill>
              </w:rPr>
              <w:t xml:space="preserve">特定对象调研        </w:t>
            </w:r>
            <w:r>
              <w:rPr>
                <w:rFonts w:hint="eastAsia" w:ascii="仿宋" w:hAnsi="仿宋" w:eastAsia="仿宋"/>
                <w:bCs/>
                <w:iCs/>
                <w:color w:val="000000" w:themeColor="text1"/>
                <w:kern w:val="0"/>
                <w:sz w:val="28"/>
                <w:szCs w:val="28"/>
                <w14:textFill>
                  <w14:solidFill>
                    <w14:schemeClr w14:val="tx1"/>
                  </w14:solidFill>
                </w14:textFill>
              </w:rPr>
              <w:t>□</w:t>
            </w:r>
            <w:r>
              <w:rPr>
                <w:rFonts w:hint="eastAsia" w:ascii="仿宋" w:hAnsi="仿宋" w:eastAsia="仿宋"/>
                <w:color w:val="000000" w:themeColor="text1"/>
                <w:kern w:val="0"/>
                <w:sz w:val="28"/>
                <w:szCs w:val="28"/>
                <w14:textFill>
                  <w14:solidFill>
                    <w14:schemeClr w14:val="tx1"/>
                  </w14:solidFill>
                </w14:textFill>
              </w:rPr>
              <w:t>分析师会议</w:t>
            </w:r>
          </w:p>
          <w:p w14:paraId="6ED4B3FC">
            <w:pPr>
              <w:spacing w:line="420" w:lineRule="exact"/>
              <w:jc w:val="left"/>
              <w:rPr>
                <w:rFonts w:ascii="仿宋" w:hAnsi="仿宋" w:eastAsia="仿宋"/>
                <w:bCs/>
                <w:iCs/>
                <w:color w:val="000000" w:themeColor="text1"/>
                <w:kern w:val="0"/>
                <w:sz w:val="28"/>
                <w:szCs w:val="28"/>
                <w14:textFill>
                  <w14:solidFill>
                    <w14:schemeClr w14:val="tx1"/>
                  </w14:solidFill>
                </w14:textFill>
              </w:rPr>
            </w:pPr>
            <w:r>
              <w:rPr>
                <w:rFonts w:hint="eastAsia" w:ascii="仿宋" w:hAnsi="仿宋" w:eastAsia="仿宋"/>
                <w:bCs/>
                <w:iCs/>
                <w:color w:val="000000" w:themeColor="text1"/>
                <w:kern w:val="0"/>
                <w:sz w:val="28"/>
                <w:szCs w:val="28"/>
                <w14:textFill>
                  <w14:solidFill>
                    <w14:schemeClr w14:val="tx1"/>
                  </w14:solidFill>
                </w14:textFill>
              </w:rPr>
              <w:t>□</w:t>
            </w:r>
            <w:r>
              <w:rPr>
                <w:rFonts w:hint="eastAsia" w:ascii="仿宋" w:hAnsi="仿宋" w:eastAsia="仿宋"/>
                <w:color w:val="000000" w:themeColor="text1"/>
                <w:kern w:val="0"/>
                <w:sz w:val="28"/>
                <w:szCs w:val="28"/>
                <w14:textFill>
                  <w14:solidFill>
                    <w14:schemeClr w14:val="tx1"/>
                  </w14:solidFill>
                </w14:textFill>
              </w:rPr>
              <w:t xml:space="preserve">媒体采访           </w:t>
            </w:r>
            <w:r>
              <w:rPr>
                <w:rFonts w:ascii="仿宋" w:hAnsi="仿宋" w:eastAsia="仿宋"/>
                <w:color w:val="000000" w:themeColor="text1"/>
                <w:kern w:val="0"/>
                <w:sz w:val="28"/>
                <w:szCs w:val="28"/>
                <w14:textFill>
                  <w14:solidFill>
                    <w14:schemeClr w14:val="tx1"/>
                  </w14:solidFill>
                </w14:textFill>
              </w:rPr>
              <w:t xml:space="preserve"> </w:t>
            </w:r>
            <w:r>
              <w:rPr>
                <w:rFonts w:hint="eastAsia" w:ascii="仿宋" w:hAnsi="仿宋" w:eastAsia="仿宋"/>
                <w:bCs/>
                <w:iCs/>
                <w:color w:val="000000" w:themeColor="text1"/>
                <w:kern w:val="0"/>
                <w:sz w:val="28"/>
                <w:szCs w:val="28"/>
                <w14:textFill>
                  <w14:solidFill>
                    <w14:schemeClr w14:val="tx1"/>
                  </w14:solidFill>
                </w14:textFill>
              </w:rPr>
              <w:sym w:font="Wingdings 2" w:char="00A3"/>
            </w:r>
            <w:r>
              <w:rPr>
                <w:rFonts w:hint="eastAsia" w:ascii="仿宋" w:hAnsi="仿宋" w:eastAsia="仿宋"/>
                <w:color w:val="000000" w:themeColor="text1"/>
                <w:kern w:val="0"/>
                <w:sz w:val="28"/>
                <w:szCs w:val="28"/>
                <w14:textFill>
                  <w14:solidFill>
                    <w14:schemeClr w14:val="tx1"/>
                  </w14:solidFill>
                </w14:textFill>
              </w:rPr>
              <w:t>业绩说明会</w:t>
            </w:r>
          </w:p>
          <w:p w14:paraId="7109CA69">
            <w:pPr>
              <w:spacing w:line="420" w:lineRule="exact"/>
              <w:jc w:val="left"/>
              <w:rPr>
                <w:rFonts w:ascii="仿宋" w:hAnsi="仿宋" w:eastAsia="仿宋"/>
                <w:bCs/>
                <w:iCs/>
                <w:color w:val="000000" w:themeColor="text1"/>
                <w:kern w:val="0"/>
                <w:sz w:val="28"/>
                <w:szCs w:val="28"/>
                <w14:textFill>
                  <w14:solidFill>
                    <w14:schemeClr w14:val="tx1"/>
                  </w14:solidFill>
                </w14:textFill>
              </w:rPr>
            </w:pPr>
            <w:r>
              <w:rPr>
                <w:rFonts w:hint="eastAsia" w:ascii="仿宋" w:hAnsi="仿宋" w:eastAsia="仿宋"/>
                <w:bCs/>
                <w:iCs/>
                <w:color w:val="000000" w:themeColor="text1"/>
                <w:kern w:val="0"/>
                <w:sz w:val="28"/>
                <w:szCs w:val="28"/>
                <w14:textFill>
                  <w14:solidFill>
                    <w14:schemeClr w14:val="tx1"/>
                  </w14:solidFill>
                </w14:textFill>
              </w:rPr>
              <w:t>□</w:t>
            </w:r>
            <w:r>
              <w:rPr>
                <w:rFonts w:hint="eastAsia" w:ascii="仿宋" w:hAnsi="仿宋" w:eastAsia="仿宋"/>
                <w:color w:val="000000" w:themeColor="text1"/>
                <w:kern w:val="0"/>
                <w:sz w:val="28"/>
                <w:szCs w:val="28"/>
                <w14:textFill>
                  <w14:solidFill>
                    <w14:schemeClr w14:val="tx1"/>
                  </w14:solidFill>
                </w14:textFill>
              </w:rPr>
              <w:t xml:space="preserve">新闻发布会          </w:t>
            </w:r>
            <w:r>
              <w:rPr>
                <w:rFonts w:hint="eastAsia" w:ascii="仿宋" w:hAnsi="仿宋" w:eastAsia="仿宋"/>
                <w:bCs/>
                <w:iCs/>
                <w:color w:val="000000" w:themeColor="text1"/>
                <w:kern w:val="0"/>
                <w:sz w:val="28"/>
                <w:szCs w:val="28"/>
                <w14:textFill>
                  <w14:solidFill>
                    <w14:schemeClr w14:val="tx1"/>
                  </w14:solidFill>
                </w14:textFill>
              </w:rPr>
              <w:t>□</w:t>
            </w:r>
            <w:r>
              <w:rPr>
                <w:rFonts w:hint="eastAsia" w:ascii="仿宋" w:hAnsi="仿宋" w:eastAsia="仿宋"/>
                <w:color w:val="000000" w:themeColor="text1"/>
                <w:kern w:val="0"/>
                <w:sz w:val="28"/>
                <w:szCs w:val="28"/>
                <w14:textFill>
                  <w14:solidFill>
                    <w14:schemeClr w14:val="tx1"/>
                  </w14:solidFill>
                </w14:textFill>
              </w:rPr>
              <w:t>路演活动</w:t>
            </w:r>
          </w:p>
          <w:p w14:paraId="663BF0FF">
            <w:pPr>
              <w:tabs>
                <w:tab w:val="left" w:pos="3130"/>
                <w:tab w:val="center" w:pos="3199"/>
              </w:tabs>
              <w:spacing w:line="420" w:lineRule="exact"/>
              <w:jc w:val="left"/>
              <w:rPr>
                <w:rFonts w:ascii="仿宋" w:hAnsi="仿宋" w:eastAsia="仿宋"/>
                <w:bCs/>
                <w:iCs/>
                <w:color w:val="000000" w:themeColor="text1"/>
                <w:kern w:val="0"/>
                <w:sz w:val="28"/>
                <w:szCs w:val="28"/>
                <w14:textFill>
                  <w14:solidFill>
                    <w14:schemeClr w14:val="tx1"/>
                  </w14:solidFill>
                </w14:textFill>
              </w:rPr>
            </w:pPr>
            <w:r>
              <w:rPr>
                <w:rFonts w:hint="eastAsia" w:ascii="仿宋" w:hAnsi="仿宋" w:eastAsia="仿宋"/>
                <w:bCs/>
                <w:iCs/>
                <w:color w:val="000000" w:themeColor="text1"/>
                <w:kern w:val="0"/>
                <w:sz w:val="28"/>
                <w:szCs w:val="28"/>
                <w14:textFill>
                  <w14:solidFill>
                    <w14:schemeClr w14:val="tx1"/>
                  </w14:solidFill>
                </w14:textFill>
              </w:rPr>
              <w:t>□</w:t>
            </w:r>
            <w:r>
              <w:rPr>
                <w:rFonts w:hint="eastAsia" w:ascii="仿宋" w:hAnsi="仿宋" w:eastAsia="仿宋"/>
                <w:color w:val="000000" w:themeColor="text1"/>
                <w:kern w:val="0"/>
                <w:sz w:val="28"/>
                <w:szCs w:val="28"/>
                <w14:textFill>
                  <w14:solidFill>
                    <w14:schemeClr w14:val="tx1"/>
                  </w14:solidFill>
                </w14:textFill>
              </w:rPr>
              <w:t>现场参观</w:t>
            </w:r>
            <w:r>
              <w:rPr>
                <w:rFonts w:hint="eastAsia" w:ascii="仿宋" w:hAnsi="仿宋" w:eastAsia="仿宋"/>
                <w:bCs/>
                <w:iCs/>
                <w:color w:val="000000" w:themeColor="text1"/>
                <w:kern w:val="0"/>
                <w:sz w:val="28"/>
                <w:szCs w:val="28"/>
                <w14:textFill>
                  <w14:solidFill>
                    <w14:schemeClr w14:val="tx1"/>
                  </w14:solidFill>
                </w14:textFill>
              </w:rPr>
              <w:tab/>
            </w:r>
            <w:r>
              <w:rPr>
                <w:rFonts w:hint="eastAsia" w:ascii="仿宋" w:hAnsi="仿宋" w:eastAsia="仿宋"/>
                <w:bCs/>
                <w:iCs/>
                <w:color w:val="000000" w:themeColor="text1"/>
                <w:kern w:val="0"/>
                <w:sz w:val="28"/>
                <w:szCs w:val="28"/>
                <w14:textFill>
                  <w14:solidFill>
                    <w14:schemeClr w14:val="tx1"/>
                  </w14:solidFill>
                </w14:textFill>
              </w:rPr>
              <w:t>□</w:t>
            </w:r>
            <w:r>
              <w:rPr>
                <w:rFonts w:hint="eastAsia" w:ascii="仿宋" w:hAnsi="仿宋" w:eastAsia="仿宋"/>
                <w:color w:val="000000" w:themeColor="text1"/>
                <w:kern w:val="0"/>
                <w:sz w:val="28"/>
                <w:szCs w:val="28"/>
                <w14:textFill>
                  <w14:solidFill>
                    <w14:schemeClr w14:val="tx1"/>
                  </w14:solidFill>
                </w14:textFill>
              </w:rPr>
              <w:t>其他（</w:t>
            </w:r>
            <w:r>
              <w:rPr>
                <w:rFonts w:hint="eastAsia" w:ascii="仿宋" w:hAnsi="仿宋" w:eastAsia="仿宋"/>
                <w:color w:val="000000" w:themeColor="text1"/>
                <w:kern w:val="0"/>
                <w:sz w:val="28"/>
                <w:szCs w:val="28"/>
                <w:u w:val="single"/>
                <w14:textFill>
                  <w14:solidFill>
                    <w14:schemeClr w14:val="tx1"/>
                  </w14:solidFill>
                </w14:textFill>
              </w:rPr>
              <w:t>需文字说明</w:t>
            </w:r>
            <w:r>
              <w:rPr>
                <w:rFonts w:hint="eastAsia" w:ascii="仿宋" w:hAnsi="仿宋" w:eastAsia="仿宋"/>
                <w:color w:val="000000" w:themeColor="text1"/>
                <w:kern w:val="0"/>
                <w:sz w:val="28"/>
                <w:szCs w:val="28"/>
                <w14:textFill>
                  <w14:solidFill>
                    <w14:schemeClr w14:val="tx1"/>
                  </w14:solidFill>
                </w14:textFill>
              </w:rPr>
              <w:t>）</w:t>
            </w:r>
          </w:p>
        </w:tc>
      </w:tr>
      <w:tr w14:paraId="4F448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jc w:val="center"/>
        </w:trPr>
        <w:tc>
          <w:tcPr>
            <w:tcW w:w="2547" w:type="dxa"/>
            <w:tcBorders>
              <w:top w:val="single" w:color="auto" w:sz="4" w:space="0"/>
              <w:left w:val="single" w:color="auto" w:sz="4" w:space="0"/>
              <w:bottom w:val="single" w:color="auto" w:sz="4" w:space="0"/>
              <w:right w:val="single" w:color="auto" w:sz="4" w:space="0"/>
            </w:tcBorders>
            <w:vAlign w:val="center"/>
          </w:tcPr>
          <w:p w14:paraId="5FFAE27F">
            <w:pPr>
              <w:spacing w:line="500" w:lineRule="exact"/>
              <w:jc w:val="center"/>
              <w:rPr>
                <w:rFonts w:ascii="仿宋" w:hAnsi="仿宋" w:eastAsia="仿宋"/>
                <w:bCs/>
                <w:iCs/>
                <w:color w:val="000000" w:themeColor="text1"/>
                <w:kern w:val="0"/>
                <w:sz w:val="28"/>
                <w:szCs w:val="28"/>
                <w14:textFill>
                  <w14:solidFill>
                    <w14:schemeClr w14:val="tx1"/>
                  </w14:solidFill>
                </w14:textFill>
              </w:rPr>
            </w:pPr>
            <w:r>
              <w:rPr>
                <w:rFonts w:hint="eastAsia" w:ascii="仿宋" w:hAnsi="仿宋" w:eastAsia="仿宋"/>
                <w:bCs/>
                <w:iCs/>
                <w:color w:val="000000" w:themeColor="text1"/>
                <w:kern w:val="0"/>
                <w:sz w:val="28"/>
                <w:szCs w:val="28"/>
                <w14:textFill>
                  <w14:solidFill>
                    <w14:schemeClr w14:val="tx1"/>
                  </w14:solidFill>
                </w14:textFill>
              </w:rPr>
              <w:t>参与单位名称</w:t>
            </w:r>
          </w:p>
          <w:p w14:paraId="274B2E7C">
            <w:pPr>
              <w:spacing w:line="500" w:lineRule="exact"/>
              <w:jc w:val="center"/>
              <w:rPr>
                <w:rFonts w:ascii="仿宋" w:hAnsi="仿宋" w:eastAsia="仿宋"/>
                <w:bCs/>
                <w:iCs/>
                <w:color w:val="000000" w:themeColor="text1"/>
                <w:kern w:val="0"/>
                <w:sz w:val="28"/>
                <w:szCs w:val="28"/>
                <w14:textFill>
                  <w14:solidFill>
                    <w14:schemeClr w14:val="tx1"/>
                  </w14:solidFill>
                </w14:textFill>
              </w:rPr>
            </w:pPr>
            <w:r>
              <w:rPr>
                <w:rFonts w:hint="eastAsia" w:ascii="仿宋" w:hAnsi="仿宋" w:eastAsia="仿宋"/>
                <w:bCs/>
                <w:iCs/>
                <w:color w:val="000000" w:themeColor="text1"/>
                <w:kern w:val="0"/>
                <w:sz w:val="28"/>
                <w:szCs w:val="28"/>
                <w14:textFill>
                  <w14:solidFill>
                    <w14:schemeClr w14:val="tx1"/>
                  </w14:solidFill>
                </w14:textFill>
              </w:rPr>
              <w:t>（排名不分先后）</w:t>
            </w:r>
          </w:p>
        </w:tc>
        <w:tc>
          <w:tcPr>
            <w:tcW w:w="7087" w:type="dxa"/>
            <w:tcBorders>
              <w:top w:val="single" w:color="auto" w:sz="4" w:space="0"/>
              <w:left w:val="single" w:color="auto" w:sz="4" w:space="0"/>
              <w:bottom w:val="single" w:color="auto" w:sz="4" w:space="0"/>
              <w:right w:val="single" w:color="auto" w:sz="4" w:space="0"/>
            </w:tcBorders>
            <w:vAlign w:val="center"/>
          </w:tcPr>
          <w:p w14:paraId="140A45DE">
            <w:pPr>
              <w:keepNext w:val="0"/>
              <w:keepLines w:val="0"/>
              <w:pageBreakBefore w:val="0"/>
              <w:widowControl w:val="0"/>
              <w:kinsoku/>
              <w:wordWrap/>
              <w:overflowPunct/>
              <w:topLinePunct w:val="0"/>
              <w:autoSpaceDE/>
              <w:autoSpaceDN/>
              <w:bidi w:val="0"/>
              <w:adjustRightInd/>
              <w:snapToGrid/>
              <w:spacing w:line="420" w:lineRule="exact"/>
              <w:textAlignment w:val="auto"/>
              <w:rPr>
                <w:rFonts w:ascii="仿宋" w:hAnsi="仿宋" w:eastAsia="仿宋"/>
                <w:color w:val="000000" w:themeColor="text1"/>
                <w:kern w:val="0"/>
                <w:sz w:val="28"/>
                <w:szCs w:val="28"/>
                <w14:textFill>
                  <w14:solidFill>
                    <w14:schemeClr w14:val="tx1"/>
                  </w14:solidFill>
                </w14:textFill>
              </w:rPr>
            </w:pPr>
            <w:r>
              <w:rPr>
                <w:rFonts w:hint="eastAsia" w:ascii="仿宋" w:hAnsi="仿宋" w:eastAsia="仿宋"/>
                <w:color w:val="000000" w:themeColor="text1"/>
                <w:kern w:val="0"/>
                <w:sz w:val="28"/>
                <w:szCs w:val="28"/>
                <w14:textFill>
                  <w14:solidFill>
                    <w14:schemeClr w14:val="tx1"/>
                  </w14:solidFill>
                </w14:textFill>
              </w:rPr>
              <w:t>重鼎资产 张益青；承风金萍私募基金 谢文豪</w:t>
            </w:r>
          </w:p>
          <w:p w14:paraId="5270BD8B">
            <w:pPr>
              <w:keepNext w:val="0"/>
              <w:keepLines w:val="0"/>
              <w:pageBreakBefore w:val="0"/>
              <w:widowControl w:val="0"/>
              <w:kinsoku/>
              <w:wordWrap/>
              <w:overflowPunct/>
              <w:topLinePunct w:val="0"/>
              <w:autoSpaceDE/>
              <w:autoSpaceDN/>
              <w:bidi w:val="0"/>
              <w:adjustRightInd/>
              <w:snapToGrid/>
              <w:spacing w:line="420" w:lineRule="exact"/>
              <w:textAlignment w:val="auto"/>
              <w:rPr>
                <w:rFonts w:ascii="仿宋" w:hAnsi="仿宋" w:eastAsia="仿宋"/>
                <w:color w:val="000000" w:themeColor="text1"/>
                <w:kern w:val="0"/>
                <w:sz w:val="28"/>
                <w:szCs w:val="28"/>
                <w14:textFill>
                  <w14:solidFill>
                    <w14:schemeClr w14:val="tx1"/>
                  </w14:solidFill>
                </w14:textFill>
              </w:rPr>
            </w:pPr>
            <w:r>
              <w:rPr>
                <w:rFonts w:hint="eastAsia" w:ascii="仿宋" w:hAnsi="仿宋" w:eastAsia="仿宋"/>
                <w:color w:val="000000" w:themeColor="text1"/>
                <w:kern w:val="0"/>
                <w:sz w:val="28"/>
                <w:szCs w:val="28"/>
                <w14:textFill>
                  <w14:solidFill>
                    <w14:schemeClr w14:val="tx1"/>
                  </w14:solidFill>
                </w14:textFill>
              </w:rPr>
              <w:t>林孚私募基金 吴刚；国邦资产 刘浩波</w:t>
            </w:r>
          </w:p>
          <w:p w14:paraId="50185E19">
            <w:pPr>
              <w:keepNext w:val="0"/>
              <w:keepLines w:val="0"/>
              <w:pageBreakBefore w:val="0"/>
              <w:widowControl w:val="0"/>
              <w:kinsoku/>
              <w:wordWrap/>
              <w:overflowPunct/>
              <w:topLinePunct w:val="0"/>
              <w:autoSpaceDE/>
              <w:autoSpaceDN/>
              <w:bidi w:val="0"/>
              <w:adjustRightInd/>
              <w:snapToGrid/>
              <w:spacing w:line="420" w:lineRule="exact"/>
              <w:textAlignment w:val="auto"/>
              <w:rPr>
                <w:rFonts w:ascii="仿宋" w:hAnsi="仿宋" w:eastAsia="仿宋"/>
                <w:color w:val="000000" w:themeColor="text1"/>
                <w:kern w:val="0"/>
                <w:sz w:val="28"/>
                <w:szCs w:val="28"/>
                <w14:textFill>
                  <w14:solidFill>
                    <w14:schemeClr w14:val="tx1"/>
                  </w14:solidFill>
                </w14:textFill>
              </w:rPr>
            </w:pPr>
            <w:r>
              <w:rPr>
                <w:rFonts w:hint="eastAsia" w:ascii="仿宋" w:hAnsi="仿宋" w:eastAsia="仿宋"/>
                <w:color w:val="000000" w:themeColor="text1"/>
                <w:kern w:val="0"/>
                <w:sz w:val="28"/>
                <w:szCs w:val="28"/>
                <w14:textFill>
                  <w14:solidFill>
                    <w14:schemeClr w14:val="tx1"/>
                  </w14:solidFill>
                </w14:textFill>
              </w:rPr>
              <w:t xml:space="preserve">贵山私募基金 邱文杰；昶元投资 陈汝流    </w:t>
            </w:r>
          </w:p>
          <w:p w14:paraId="09146DC4">
            <w:pPr>
              <w:keepNext w:val="0"/>
              <w:keepLines w:val="0"/>
              <w:pageBreakBefore w:val="0"/>
              <w:widowControl w:val="0"/>
              <w:kinsoku/>
              <w:wordWrap/>
              <w:overflowPunct/>
              <w:topLinePunct w:val="0"/>
              <w:autoSpaceDE/>
              <w:autoSpaceDN/>
              <w:bidi w:val="0"/>
              <w:adjustRightInd/>
              <w:snapToGrid/>
              <w:spacing w:line="420" w:lineRule="exact"/>
              <w:textAlignment w:val="auto"/>
              <w:rPr>
                <w:rFonts w:ascii="仿宋" w:hAnsi="仿宋" w:eastAsia="仿宋"/>
                <w:color w:val="000000" w:themeColor="text1"/>
                <w:kern w:val="0"/>
                <w:sz w:val="28"/>
                <w:szCs w:val="28"/>
                <w14:textFill>
                  <w14:solidFill>
                    <w14:schemeClr w14:val="tx1"/>
                  </w14:solidFill>
                </w14:textFill>
              </w:rPr>
            </w:pPr>
            <w:r>
              <w:rPr>
                <w:rFonts w:hint="eastAsia" w:ascii="仿宋" w:hAnsi="仿宋" w:eastAsia="仿宋"/>
                <w:color w:val="000000" w:themeColor="text1"/>
                <w:kern w:val="0"/>
                <w:sz w:val="28"/>
                <w:szCs w:val="28"/>
                <w14:textFill>
                  <w14:solidFill>
                    <w14:schemeClr w14:val="tx1"/>
                  </w14:solidFill>
                </w14:textFill>
              </w:rPr>
              <w:t xml:space="preserve">旭冕投资 刘元君；申冉基金 查桢伟   </w:t>
            </w:r>
          </w:p>
          <w:p w14:paraId="3FB40FA4">
            <w:pPr>
              <w:keepNext w:val="0"/>
              <w:keepLines w:val="0"/>
              <w:pageBreakBefore w:val="0"/>
              <w:widowControl w:val="0"/>
              <w:kinsoku/>
              <w:wordWrap/>
              <w:overflowPunct/>
              <w:topLinePunct w:val="0"/>
              <w:autoSpaceDE/>
              <w:autoSpaceDN/>
              <w:bidi w:val="0"/>
              <w:adjustRightInd/>
              <w:snapToGrid/>
              <w:spacing w:line="420" w:lineRule="exact"/>
              <w:textAlignment w:val="auto"/>
              <w:rPr>
                <w:rFonts w:ascii="仿宋" w:hAnsi="仿宋" w:eastAsia="仿宋"/>
                <w:color w:val="000000" w:themeColor="text1"/>
                <w:kern w:val="0"/>
                <w:sz w:val="28"/>
                <w:szCs w:val="28"/>
                <w14:textFill>
                  <w14:solidFill>
                    <w14:schemeClr w14:val="tx1"/>
                  </w14:solidFill>
                </w14:textFill>
              </w:rPr>
            </w:pPr>
            <w:r>
              <w:rPr>
                <w:rFonts w:hint="eastAsia" w:ascii="仿宋" w:hAnsi="仿宋" w:eastAsia="仿宋"/>
                <w:color w:val="000000" w:themeColor="text1"/>
                <w:kern w:val="0"/>
                <w:sz w:val="28"/>
                <w:szCs w:val="28"/>
                <w14:textFill>
                  <w14:solidFill>
                    <w14:schemeClr w14:val="tx1"/>
                  </w14:solidFill>
                </w14:textFill>
              </w:rPr>
              <w:t>光大资本 梅松；尚颀资本 宋明</w:t>
            </w:r>
          </w:p>
          <w:p w14:paraId="5A288403">
            <w:pPr>
              <w:keepNext w:val="0"/>
              <w:keepLines w:val="0"/>
              <w:pageBreakBefore w:val="0"/>
              <w:widowControl w:val="0"/>
              <w:kinsoku/>
              <w:wordWrap/>
              <w:overflowPunct/>
              <w:topLinePunct w:val="0"/>
              <w:autoSpaceDE/>
              <w:autoSpaceDN/>
              <w:bidi w:val="0"/>
              <w:adjustRightInd/>
              <w:snapToGrid/>
              <w:spacing w:line="420" w:lineRule="exact"/>
              <w:textAlignment w:val="auto"/>
              <w:rPr>
                <w:rFonts w:ascii="仿宋" w:hAnsi="仿宋" w:eastAsia="仿宋"/>
                <w:color w:val="000000" w:themeColor="text1"/>
                <w:kern w:val="0"/>
                <w:sz w:val="28"/>
                <w:szCs w:val="28"/>
                <w14:textFill>
                  <w14:solidFill>
                    <w14:schemeClr w14:val="tx1"/>
                  </w14:solidFill>
                </w14:textFill>
              </w:rPr>
            </w:pPr>
            <w:r>
              <w:rPr>
                <w:rFonts w:hint="eastAsia" w:ascii="仿宋" w:hAnsi="仿宋" w:eastAsia="仿宋"/>
                <w:color w:val="000000" w:themeColor="text1"/>
                <w:kern w:val="0"/>
                <w:sz w:val="28"/>
                <w:szCs w:val="28"/>
                <w14:textFill>
                  <w14:solidFill>
                    <w14:schemeClr w14:val="tx1"/>
                  </w14:solidFill>
                </w14:textFill>
              </w:rPr>
              <w:t>国科龙晖 姜俊峰；九鼎投资 张海波</w:t>
            </w:r>
          </w:p>
          <w:p w14:paraId="48DB921B">
            <w:pPr>
              <w:keepNext w:val="0"/>
              <w:keepLines w:val="0"/>
              <w:pageBreakBefore w:val="0"/>
              <w:widowControl w:val="0"/>
              <w:kinsoku/>
              <w:wordWrap/>
              <w:overflowPunct/>
              <w:topLinePunct w:val="0"/>
              <w:autoSpaceDE/>
              <w:autoSpaceDN/>
              <w:bidi w:val="0"/>
              <w:adjustRightInd/>
              <w:snapToGrid/>
              <w:spacing w:line="420" w:lineRule="exact"/>
              <w:textAlignment w:val="auto"/>
              <w:rPr>
                <w:rFonts w:ascii="仿宋" w:hAnsi="仿宋" w:eastAsia="仿宋"/>
                <w:color w:val="000000" w:themeColor="text1"/>
                <w:kern w:val="0"/>
                <w:sz w:val="28"/>
                <w:szCs w:val="28"/>
                <w14:textFill>
                  <w14:solidFill>
                    <w14:schemeClr w14:val="tx1"/>
                  </w14:solidFill>
                </w14:textFill>
              </w:rPr>
            </w:pPr>
            <w:r>
              <w:rPr>
                <w:rFonts w:hint="eastAsia" w:ascii="仿宋" w:hAnsi="仿宋" w:eastAsia="仿宋"/>
                <w:color w:val="000000" w:themeColor="text1"/>
                <w:kern w:val="0"/>
                <w:sz w:val="28"/>
                <w:szCs w:val="28"/>
                <w14:textFill>
                  <w14:solidFill>
                    <w14:schemeClr w14:val="tx1"/>
                  </w14:solidFill>
                </w14:textFill>
              </w:rPr>
              <w:t>黄浦江资本 吴敬铎；申昊产业资本 王旭东</w:t>
            </w:r>
          </w:p>
          <w:p w14:paraId="3FF89BDF">
            <w:pPr>
              <w:keepNext w:val="0"/>
              <w:keepLines w:val="0"/>
              <w:pageBreakBefore w:val="0"/>
              <w:widowControl w:val="0"/>
              <w:kinsoku/>
              <w:wordWrap/>
              <w:overflowPunct/>
              <w:topLinePunct w:val="0"/>
              <w:autoSpaceDE/>
              <w:autoSpaceDN/>
              <w:bidi w:val="0"/>
              <w:adjustRightInd/>
              <w:snapToGrid/>
              <w:spacing w:line="420" w:lineRule="exact"/>
              <w:textAlignment w:val="auto"/>
              <w:rPr>
                <w:rFonts w:ascii="仿宋" w:hAnsi="仿宋" w:eastAsia="仿宋"/>
                <w:color w:val="000000" w:themeColor="text1"/>
                <w:kern w:val="0"/>
                <w:sz w:val="28"/>
                <w:szCs w:val="28"/>
                <w14:textFill>
                  <w14:solidFill>
                    <w14:schemeClr w14:val="tx1"/>
                  </w14:solidFill>
                </w14:textFill>
              </w:rPr>
            </w:pPr>
            <w:r>
              <w:rPr>
                <w:rFonts w:hint="eastAsia" w:ascii="仿宋" w:hAnsi="仿宋" w:eastAsia="仿宋"/>
                <w:color w:val="000000" w:themeColor="text1"/>
                <w:kern w:val="0"/>
                <w:sz w:val="28"/>
                <w:szCs w:val="28"/>
                <w14:textFill>
                  <w14:solidFill>
                    <w14:schemeClr w14:val="tx1"/>
                  </w14:solidFill>
                </w14:textFill>
              </w:rPr>
              <w:t xml:space="preserve">爱骏资本 王健康；嘉实财富 余青宸    </w:t>
            </w:r>
          </w:p>
          <w:p w14:paraId="1370F49E">
            <w:pPr>
              <w:keepNext w:val="0"/>
              <w:keepLines w:val="0"/>
              <w:pageBreakBefore w:val="0"/>
              <w:widowControl w:val="0"/>
              <w:kinsoku/>
              <w:wordWrap/>
              <w:overflowPunct/>
              <w:topLinePunct w:val="0"/>
              <w:autoSpaceDE/>
              <w:autoSpaceDN/>
              <w:bidi w:val="0"/>
              <w:adjustRightInd/>
              <w:snapToGrid/>
              <w:spacing w:line="420" w:lineRule="exact"/>
              <w:textAlignment w:val="auto"/>
              <w:rPr>
                <w:rFonts w:ascii="仿宋" w:hAnsi="仿宋" w:eastAsia="仿宋"/>
                <w:color w:val="000000" w:themeColor="text1"/>
                <w:kern w:val="0"/>
                <w:sz w:val="28"/>
                <w:szCs w:val="28"/>
                <w14:textFill>
                  <w14:solidFill>
                    <w14:schemeClr w14:val="tx1"/>
                  </w14:solidFill>
                </w14:textFill>
              </w:rPr>
            </w:pPr>
            <w:r>
              <w:rPr>
                <w:rFonts w:hint="eastAsia" w:ascii="仿宋" w:hAnsi="仿宋" w:eastAsia="仿宋"/>
                <w:color w:val="000000" w:themeColor="text1"/>
                <w:kern w:val="0"/>
                <w:sz w:val="28"/>
                <w:szCs w:val="28"/>
                <w14:textFill>
                  <w14:solidFill>
                    <w14:schemeClr w14:val="tx1"/>
                  </w14:solidFill>
                </w14:textFill>
              </w:rPr>
              <w:t xml:space="preserve">宝强精密 沈建录；中邮证券 花金丽  </w:t>
            </w:r>
          </w:p>
          <w:p w14:paraId="36C56F1D">
            <w:pPr>
              <w:keepNext w:val="0"/>
              <w:keepLines w:val="0"/>
              <w:pageBreakBefore w:val="0"/>
              <w:widowControl w:val="0"/>
              <w:kinsoku/>
              <w:wordWrap/>
              <w:overflowPunct/>
              <w:topLinePunct w:val="0"/>
              <w:autoSpaceDE/>
              <w:autoSpaceDN/>
              <w:bidi w:val="0"/>
              <w:adjustRightInd/>
              <w:snapToGrid/>
              <w:spacing w:line="420" w:lineRule="exact"/>
              <w:textAlignment w:val="auto"/>
              <w:rPr>
                <w:rFonts w:ascii="仿宋" w:hAnsi="仿宋" w:eastAsia="仿宋"/>
                <w:color w:val="000000" w:themeColor="text1"/>
                <w:kern w:val="0"/>
                <w:sz w:val="28"/>
                <w:szCs w:val="28"/>
                <w14:textFill>
                  <w14:solidFill>
                    <w14:schemeClr w14:val="tx1"/>
                  </w14:solidFill>
                </w14:textFill>
              </w:rPr>
            </w:pPr>
            <w:r>
              <w:rPr>
                <w:rFonts w:hint="eastAsia" w:ascii="仿宋" w:hAnsi="仿宋" w:eastAsia="仿宋"/>
                <w:color w:val="000000" w:themeColor="text1"/>
                <w:kern w:val="0"/>
                <w:sz w:val="28"/>
                <w:szCs w:val="28"/>
                <w14:textFill>
                  <w14:solidFill>
                    <w14:schemeClr w14:val="tx1"/>
                  </w14:solidFill>
                </w14:textFill>
              </w:rPr>
              <w:t xml:space="preserve">远东宏信 邓剑   </w:t>
            </w:r>
          </w:p>
        </w:tc>
      </w:tr>
      <w:tr w14:paraId="3A24E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jc w:val="center"/>
        </w:trPr>
        <w:tc>
          <w:tcPr>
            <w:tcW w:w="2547" w:type="dxa"/>
            <w:tcBorders>
              <w:top w:val="single" w:color="auto" w:sz="4" w:space="0"/>
              <w:left w:val="single" w:color="auto" w:sz="4" w:space="0"/>
              <w:bottom w:val="single" w:color="auto" w:sz="4" w:space="0"/>
              <w:right w:val="single" w:color="auto" w:sz="4" w:space="0"/>
            </w:tcBorders>
            <w:vAlign w:val="center"/>
          </w:tcPr>
          <w:p w14:paraId="13CE9944">
            <w:pPr>
              <w:spacing w:line="500" w:lineRule="exact"/>
              <w:jc w:val="center"/>
              <w:rPr>
                <w:rFonts w:ascii="仿宋" w:hAnsi="仿宋" w:eastAsia="仿宋"/>
                <w:bCs/>
                <w:iCs/>
                <w:color w:val="000000" w:themeColor="text1"/>
                <w:kern w:val="0"/>
                <w:sz w:val="28"/>
                <w:szCs w:val="28"/>
                <w14:textFill>
                  <w14:solidFill>
                    <w14:schemeClr w14:val="tx1"/>
                  </w14:solidFill>
                </w14:textFill>
              </w:rPr>
            </w:pPr>
            <w:r>
              <w:rPr>
                <w:rFonts w:hint="eastAsia" w:ascii="仿宋" w:hAnsi="仿宋" w:eastAsia="仿宋"/>
                <w:bCs/>
                <w:iCs/>
                <w:color w:val="000000" w:themeColor="text1"/>
                <w:kern w:val="0"/>
                <w:sz w:val="28"/>
                <w:szCs w:val="28"/>
                <w14:textFill>
                  <w14:solidFill>
                    <w14:schemeClr w14:val="tx1"/>
                  </w14:solidFill>
                </w14:textFill>
              </w:rPr>
              <w:t>时间</w:t>
            </w:r>
          </w:p>
        </w:tc>
        <w:tc>
          <w:tcPr>
            <w:tcW w:w="7087" w:type="dxa"/>
            <w:tcBorders>
              <w:top w:val="single" w:color="auto" w:sz="4" w:space="0"/>
              <w:left w:val="single" w:color="auto" w:sz="4" w:space="0"/>
              <w:bottom w:val="single" w:color="auto" w:sz="4" w:space="0"/>
              <w:right w:val="single" w:color="auto" w:sz="4" w:space="0"/>
            </w:tcBorders>
            <w:vAlign w:val="center"/>
          </w:tcPr>
          <w:p w14:paraId="2828A3E9">
            <w:pPr>
              <w:spacing w:line="400" w:lineRule="exact"/>
              <w:rPr>
                <w:rFonts w:ascii="仿宋" w:hAnsi="仿宋" w:eastAsia="仿宋"/>
                <w:color w:val="000000" w:themeColor="text1"/>
                <w:kern w:val="0"/>
                <w:sz w:val="28"/>
                <w:szCs w:val="28"/>
                <w14:textFill>
                  <w14:solidFill>
                    <w14:schemeClr w14:val="tx1"/>
                  </w14:solidFill>
                </w14:textFill>
              </w:rPr>
            </w:pPr>
            <w:r>
              <w:rPr>
                <w:rFonts w:hint="eastAsia" w:ascii="仿宋" w:hAnsi="仿宋" w:eastAsia="仿宋"/>
                <w:color w:val="000000" w:themeColor="text1"/>
                <w:kern w:val="0"/>
                <w:sz w:val="28"/>
                <w:szCs w:val="28"/>
                <w14:textFill>
                  <w14:solidFill>
                    <w14:schemeClr w14:val="tx1"/>
                  </w14:solidFill>
                </w14:textFill>
              </w:rPr>
              <w:t>2</w:t>
            </w:r>
            <w:r>
              <w:rPr>
                <w:rFonts w:ascii="仿宋" w:hAnsi="仿宋" w:eastAsia="仿宋"/>
                <w:color w:val="000000" w:themeColor="text1"/>
                <w:kern w:val="0"/>
                <w:sz w:val="28"/>
                <w:szCs w:val="28"/>
                <w14:textFill>
                  <w14:solidFill>
                    <w14:schemeClr w14:val="tx1"/>
                  </w14:solidFill>
                </w14:textFill>
              </w:rPr>
              <w:t>02</w:t>
            </w:r>
            <w:r>
              <w:rPr>
                <w:rFonts w:hint="eastAsia" w:ascii="仿宋" w:hAnsi="仿宋" w:eastAsia="仿宋"/>
                <w:color w:val="000000" w:themeColor="text1"/>
                <w:kern w:val="0"/>
                <w:sz w:val="28"/>
                <w:szCs w:val="28"/>
                <w14:textFill>
                  <w14:solidFill>
                    <w14:schemeClr w14:val="tx1"/>
                  </w14:solidFill>
                </w14:textFill>
              </w:rPr>
              <w:t>6</w:t>
            </w:r>
            <w:r>
              <w:rPr>
                <w:rFonts w:ascii="仿宋" w:hAnsi="仿宋" w:eastAsia="仿宋"/>
                <w:color w:val="000000" w:themeColor="text1"/>
                <w:kern w:val="0"/>
                <w:sz w:val="28"/>
                <w:szCs w:val="28"/>
                <w14:textFill>
                  <w14:solidFill>
                    <w14:schemeClr w14:val="tx1"/>
                  </w14:solidFill>
                </w14:textFill>
              </w:rPr>
              <w:t>-</w:t>
            </w:r>
            <w:r>
              <w:rPr>
                <w:rFonts w:hint="eastAsia" w:ascii="仿宋" w:hAnsi="仿宋" w:eastAsia="仿宋"/>
                <w:color w:val="000000" w:themeColor="text1"/>
                <w:kern w:val="0"/>
                <w:sz w:val="28"/>
                <w:szCs w:val="28"/>
                <w14:textFill>
                  <w14:solidFill>
                    <w14:schemeClr w14:val="tx1"/>
                  </w14:solidFill>
                </w14:textFill>
              </w:rPr>
              <w:t>09-15</w:t>
            </w:r>
          </w:p>
        </w:tc>
      </w:tr>
      <w:tr w14:paraId="27026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2547" w:type="dxa"/>
            <w:tcBorders>
              <w:top w:val="single" w:color="auto" w:sz="4" w:space="0"/>
              <w:left w:val="single" w:color="auto" w:sz="4" w:space="0"/>
              <w:bottom w:val="single" w:color="auto" w:sz="4" w:space="0"/>
              <w:right w:val="single" w:color="auto" w:sz="4" w:space="0"/>
            </w:tcBorders>
            <w:vAlign w:val="center"/>
          </w:tcPr>
          <w:p w14:paraId="341080EA">
            <w:pPr>
              <w:spacing w:line="500" w:lineRule="exact"/>
              <w:jc w:val="center"/>
              <w:rPr>
                <w:rFonts w:ascii="仿宋" w:hAnsi="仿宋" w:eastAsia="仿宋"/>
                <w:bCs/>
                <w:iCs/>
                <w:color w:val="000000" w:themeColor="text1"/>
                <w:kern w:val="0"/>
                <w:sz w:val="28"/>
                <w:szCs w:val="28"/>
                <w14:textFill>
                  <w14:solidFill>
                    <w14:schemeClr w14:val="tx1"/>
                  </w14:solidFill>
                </w14:textFill>
              </w:rPr>
            </w:pPr>
            <w:r>
              <w:rPr>
                <w:rFonts w:hint="eastAsia" w:ascii="仿宋" w:hAnsi="仿宋" w:eastAsia="仿宋"/>
                <w:bCs/>
                <w:iCs/>
                <w:color w:val="000000" w:themeColor="text1"/>
                <w:kern w:val="0"/>
                <w:sz w:val="28"/>
                <w:szCs w:val="28"/>
                <w14:textFill>
                  <w14:solidFill>
                    <w14:schemeClr w14:val="tx1"/>
                  </w14:solidFill>
                </w14:textFill>
              </w:rPr>
              <w:t>地点</w:t>
            </w:r>
          </w:p>
        </w:tc>
        <w:tc>
          <w:tcPr>
            <w:tcW w:w="7087" w:type="dxa"/>
            <w:tcBorders>
              <w:top w:val="single" w:color="auto" w:sz="4" w:space="0"/>
              <w:left w:val="single" w:color="auto" w:sz="4" w:space="0"/>
              <w:bottom w:val="single" w:color="auto" w:sz="4" w:space="0"/>
              <w:right w:val="single" w:color="auto" w:sz="4" w:space="0"/>
            </w:tcBorders>
            <w:vAlign w:val="center"/>
          </w:tcPr>
          <w:p w14:paraId="782E65C0">
            <w:pPr>
              <w:spacing w:line="500" w:lineRule="exact"/>
              <w:rPr>
                <w:rFonts w:ascii="仿宋" w:hAnsi="仿宋" w:eastAsia="仿宋"/>
                <w:bCs/>
                <w:iCs/>
                <w:color w:val="000000" w:themeColor="text1"/>
                <w:kern w:val="0"/>
                <w:sz w:val="28"/>
                <w:szCs w:val="28"/>
                <w14:textFill>
                  <w14:solidFill>
                    <w14:schemeClr w14:val="tx1"/>
                  </w14:solidFill>
                </w14:textFill>
              </w:rPr>
            </w:pPr>
            <w:r>
              <w:rPr>
                <w:rFonts w:hint="eastAsia" w:ascii="仿宋" w:hAnsi="仿宋" w:eastAsia="仿宋"/>
                <w:bCs/>
                <w:iCs/>
                <w:color w:val="000000" w:themeColor="text1"/>
                <w:kern w:val="0"/>
                <w:sz w:val="28"/>
                <w:szCs w:val="28"/>
                <w14:textFill>
                  <w14:solidFill>
                    <w14:schemeClr w14:val="tx1"/>
                  </w14:solidFill>
                </w14:textFill>
              </w:rPr>
              <w:t>公司三楼会议室</w:t>
            </w:r>
          </w:p>
        </w:tc>
      </w:tr>
      <w:tr w14:paraId="24AA7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5" w:hRule="atLeast"/>
          <w:jc w:val="center"/>
        </w:trPr>
        <w:tc>
          <w:tcPr>
            <w:tcW w:w="2547" w:type="dxa"/>
            <w:tcBorders>
              <w:top w:val="single" w:color="auto" w:sz="4" w:space="0"/>
              <w:left w:val="single" w:color="auto" w:sz="4" w:space="0"/>
              <w:bottom w:val="single" w:color="auto" w:sz="4" w:space="0"/>
              <w:right w:val="single" w:color="auto" w:sz="4" w:space="0"/>
            </w:tcBorders>
            <w:vAlign w:val="center"/>
          </w:tcPr>
          <w:p w14:paraId="0D9D0D4B">
            <w:pPr>
              <w:spacing w:line="500" w:lineRule="exact"/>
              <w:jc w:val="center"/>
              <w:rPr>
                <w:rFonts w:ascii="仿宋" w:hAnsi="仿宋" w:eastAsia="仿宋"/>
                <w:bCs/>
                <w:iCs/>
                <w:color w:val="000000" w:themeColor="text1"/>
                <w:kern w:val="0"/>
                <w:sz w:val="28"/>
                <w:szCs w:val="28"/>
                <w14:textFill>
                  <w14:solidFill>
                    <w14:schemeClr w14:val="tx1"/>
                  </w14:solidFill>
                </w14:textFill>
              </w:rPr>
            </w:pPr>
            <w:r>
              <w:rPr>
                <w:rFonts w:hint="eastAsia" w:ascii="仿宋" w:hAnsi="仿宋" w:eastAsia="仿宋"/>
                <w:bCs/>
                <w:iCs/>
                <w:color w:val="000000" w:themeColor="text1"/>
                <w:kern w:val="0"/>
                <w:sz w:val="28"/>
                <w:szCs w:val="28"/>
                <w14:textFill>
                  <w14:solidFill>
                    <w14:schemeClr w14:val="tx1"/>
                  </w14:solidFill>
                </w14:textFill>
              </w:rPr>
              <w:t>上市公司</w:t>
            </w:r>
          </w:p>
          <w:p w14:paraId="215B85D7">
            <w:pPr>
              <w:spacing w:line="500" w:lineRule="exact"/>
              <w:jc w:val="center"/>
              <w:rPr>
                <w:rFonts w:ascii="仿宋" w:hAnsi="仿宋" w:eastAsia="仿宋"/>
                <w:bCs/>
                <w:iCs/>
                <w:color w:val="000000" w:themeColor="text1"/>
                <w:kern w:val="0"/>
                <w:sz w:val="28"/>
                <w:szCs w:val="28"/>
                <w14:textFill>
                  <w14:solidFill>
                    <w14:schemeClr w14:val="tx1"/>
                  </w14:solidFill>
                </w14:textFill>
              </w:rPr>
            </w:pPr>
            <w:r>
              <w:rPr>
                <w:rFonts w:hint="eastAsia" w:ascii="仿宋" w:hAnsi="仿宋" w:eastAsia="仿宋"/>
                <w:bCs/>
                <w:iCs/>
                <w:color w:val="000000" w:themeColor="text1"/>
                <w:kern w:val="0"/>
                <w:sz w:val="28"/>
                <w:szCs w:val="28"/>
                <w14:textFill>
                  <w14:solidFill>
                    <w14:schemeClr w14:val="tx1"/>
                  </w14:solidFill>
                </w14:textFill>
              </w:rPr>
              <w:t>接待人员姓名</w:t>
            </w:r>
          </w:p>
        </w:tc>
        <w:tc>
          <w:tcPr>
            <w:tcW w:w="7087" w:type="dxa"/>
            <w:tcBorders>
              <w:top w:val="single" w:color="auto" w:sz="4" w:space="0"/>
              <w:left w:val="single" w:color="auto" w:sz="4" w:space="0"/>
              <w:bottom w:val="single" w:color="auto" w:sz="4" w:space="0"/>
              <w:right w:val="single" w:color="auto" w:sz="4" w:space="0"/>
            </w:tcBorders>
            <w:vAlign w:val="center"/>
          </w:tcPr>
          <w:p w14:paraId="0E006ECB">
            <w:pPr>
              <w:keepNext w:val="0"/>
              <w:keepLines w:val="0"/>
              <w:pageBreakBefore w:val="0"/>
              <w:widowControl w:val="0"/>
              <w:kinsoku/>
              <w:wordWrap/>
              <w:overflowPunct/>
              <w:topLinePunct w:val="0"/>
              <w:autoSpaceDE/>
              <w:autoSpaceDN/>
              <w:bidi w:val="0"/>
              <w:adjustRightInd/>
              <w:snapToGrid/>
              <w:spacing w:line="380" w:lineRule="exact"/>
              <w:textAlignment w:val="auto"/>
              <w:rPr>
                <w:rFonts w:ascii="仿宋" w:hAnsi="仿宋" w:eastAsia="仿宋"/>
                <w:bCs/>
                <w:iCs/>
                <w:color w:val="000000" w:themeColor="text1"/>
                <w:spacing w:val="70"/>
                <w:sz w:val="28"/>
                <w:szCs w:val="28"/>
                <w14:textFill>
                  <w14:solidFill>
                    <w14:schemeClr w14:val="tx1"/>
                  </w14:solidFill>
                </w14:textFill>
              </w:rPr>
            </w:pPr>
            <w:r>
              <w:rPr>
                <w:rFonts w:ascii="仿宋" w:hAnsi="仿宋" w:eastAsia="仿宋"/>
                <w:bCs/>
                <w:iCs/>
                <w:color w:val="000000" w:themeColor="text1"/>
                <w:spacing w:val="280"/>
                <w:sz w:val="28"/>
                <w:szCs w:val="28"/>
                <w14:textFill>
                  <w14:solidFill>
                    <w14:schemeClr w14:val="tx1"/>
                  </w14:solidFill>
                </w14:textFill>
              </w:rPr>
              <w:t>董事</w:t>
            </w:r>
            <w:r>
              <w:rPr>
                <w:rFonts w:ascii="仿宋" w:hAnsi="仿宋" w:eastAsia="仿宋"/>
                <w:bCs/>
                <w:iCs/>
                <w:color w:val="000000" w:themeColor="text1"/>
                <w:sz w:val="28"/>
                <w:szCs w:val="28"/>
                <w14:textFill>
                  <w14:solidFill>
                    <w14:schemeClr w14:val="tx1"/>
                  </w14:solidFill>
                </w14:textFill>
              </w:rPr>
              <w:t>长</w:t>
            </w:r>
            <w:r>
              <w:rPr>
                <w:rFonts w:hint="eastAsia" w:ascii="仿宋" w:hAnsi="仿宋" w:eastAsia="仿宋"/>
                <w:bCs/>
                <w:iCs/>
                <w:color w:val="000000" w:themeColor="text1"/>
                <w:sz w:val="28"/>
                <w:szCs w:val="28"/>
                <w14:textFill>
                  <w14:solidFill>
                    <w14:schemeClr w14:val="tx1"/>
                  </w14:solidFill>
                </w14:textFill>
              </w:rPr>
              <w:t xml:space="preserve"> </w:t>
            </w:r>
            <w:r>
              <w:rPr>
                <w:rFonts w:ascii="仿宋" w:hAnsi="仿宋" w:eastAsia="仿宋"/>
                <w:bCs/>
                <w:iCs/>
                <w:color w:val="000000" w:themeColor="text1"/>
                <w:sz w:val="28"/>
                <w:szCs w:val="28"/>
                <w14:textFill>
                  <w14:solidFill>
                    <w14:schemeClr w14:val="tx1"/>
                  </w14:solidFill>
                </w14:textFill>
              </w:rPr>
              <w:t xml:space="preserve">    周建明先生</w:t>
            </w:r>
          </w:p>
          <w:p w14:paraId="2BF22033">
            <w:pPr>
              <w:keepNext w:val="0"/>
              <w:keepLines w:val="0"/>
              <w:pageBreakBefore w:val="0"/>
              <w:widowControl w:val="0"/>
              <w:kinsoku/>
              <w:wordWrap/>
              <w:overflowPunct/>
              <w:topLinePunct w:val="0"/>
              <w:autoSpaceDE/>
              <w:autoSpaceDN/>
              <w:bidi w:val="0"/>
              <w:adjustRightInd/>
              <w:snapToGrid/>
              <w:spacing w:line="380" w:lineRule="exact"/>
              <w:textAlignment w:val="auto"/>
              <w:rPr>
                <w:rFonts w:ascii="仿宋" w:hAnsi="仿宋" w:eastAsia="仿宋"/>
                <w:bCs/>
                <w:iCs/>
                <w:color w:val="000000" w:themeColor="text1"/>
                <w:sz w:val="28"/>
                <w:szCs w:val="28"/>
                <w14:textFill>
                  <w14:solidFill>
                    <w14:schemeClr w14:val="tx1"/>
                  </w14:solidFill>
                </w14:textFill>
              </w:rPr>
            </w:pPr>
            <w:r>
              <w:rPr>
                <w:rFonts w:ascii="仿宋" w:hAnsi="仿宋" w:eastAsia="仿宋"/>
                <w:bCs/>
                <w:iCs/>
                <w:color w:val="000000" w:themeColor="text1"/>
                <w:spacing w:val="70"/>
                <w:sz w:val="28"/>
                <w:szCs w:val="28"/>
                <w14:textFill>
                  <w14:solidFill>
                    <w14:schemeClr w14:val="tx1"/>
                  </w14:solidFill>
                </w14:textFill>
              </w:rPr>
              <w:t>董事会秘</w:t>
            </w:r>
            <w:r>
              <w:rPr>
                <w:rFonts w:ascii="仿宋" w:hAnsi="仿宋" w:eastAsia="仿宋"/>
                <w:bCs/>
                <w:iCs/>
                <w:color w:val="000000" w:themeColor="text1"/>
                <w:sz w:val="28"/>
                <w:szCs w:val="28"/>
                <w14:textFill>
                  <w14:solidFill>
                    <w14:schemeClr w14:val="tx1"/>
                  </w14:solidFill>
                </w14:textFill>
              </w:rPr>
              <w:t>书</w:t>
            </w:r>
            <w:r>
              <w:rPr>
                <w:rFonts w:hint="eastAsia" w:ascii="仿宋" w:hAnsi="仿宋" w:eastAsia="仿宋"/>
                <w:bCs/>
                <w:iCs/>
                <w:color w:val="000000" w:themeColor="text1"/>
                <w:sz w:val="28"/>
                <w:szCs w:val="28"/>
                <w14:textFill>
                  <w14:solidFill>
                    <w14:schemeClr w14:val="tx1"/>
                  </w14:solidFill>
                </w14:textFill>
              </w:rPr>
              <w:t xml:space="preserve"> </w:t>
            </w:r>
            <w:r>
              <w:rPr>
                <w:rFonts w:ascii="仿宋" w:hAnsi="仿宋" w:eastAsia="仿宋"/>
                <w:bCs/>
                <w:iCs/>
                <w:color w:val="000000" w:themeColor="text1"/>
                <w:sz w:val="28"/>
                <w:szCs w:val="28"/>
                <w14:textFill>
                  <w14:solidFill>
                    <w14:schemeClr w14:val="tx1"/>
                  </w14:solidFill>
                </w14:textFill>
              </w:rPr>
              <w:t xml:space="preserve">    </w:t>
            </w:r>
            <w:r>
              <w:rPr>
                <w:rFonts w:hint="eastAsia" w:ascii="仿宋" w:hAnsi="仿宋" w:eastAsia="仿宋"/>
                <w:bCs/>
                <w:iCs/>
                <w:color w:val="000000" w:themeColor="text1"/>
                <w:sz w:val="28"/>
                <w:szCs w:val="28"/>
                <w14:textFill>
                  <w14:solidFill>
                    <w14:schemeClr w14:val="tx1"/>
                  </w14:solidFill>
                </w14:textFill>
              </w:rPr>
              <w:t>朱文元先生</w:t>
            </w:r>
          </w:p>
          <w:p w14:paraId="1CDDA6B5">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ascii="仿宋" w:hAnsi="仿宋" w:eastAsia="仿宋"/>
                <w:bCs/>
                <w:iCs/>
                <w:color w:val="000000" w:themeColor="text1"/>
                <w:kern w:val="0"/>
                <w:sz w:val="28"/>
                <w:szCs w:val="28"/>
                <w14:textFill>
                  <w14:solidFill>
                    <w14:schemeClr w14:val="tx1"/>
                  </w14:solidFill>
                </w14:textFill>
              </w:rPr>
            </w:pPr>
            <w:r>
              <w:rPr>
                <w:rFonts w:hint="eastAsia" w:ascii="仿宋" w:hAnsi="仿宋" w:eastAsia="仿宋"/>
                <w:bCs/>
                <w:iCs/>
                <w:color w:val="000000" w:themeColor="text1"/>
                <w:spacing w:val="28"/>
                <w:kern w:val="0"/>
                <w:sz w:val="28"/>
                <w:szCs w:val="28"/>
                <w:fitText w:val="1960" w:id="130634812"/>
                <w14:textFill>
                  <w14:solidFill>
                    <w14:schemeClr w14:val="tx1"/>
                  </w14:solidFill>
                </w14:textFill>
              </w:rPr>
              <w:t>证券事务代</w:t>
            </w:r>
            <w:r>
              <w:rPr>
                <w:rFonts w:hint="eastAsia" w:ascii="仿宋" w:hAnsi="仿宋" w:eastAsia="仿宋"/>
                <w:bCs/>
                <w:iCs/>
                <w:color w:val="000000" w:themeColor="text1"/>
                <w:spacing w:val="0"/>
                <w:kern w:val="0"/>
                <w:sz w:val="28"/>
                <w:szCs w:val="28"/>
                <w:fitText w:val="1960" w:id="130634812"/>
                <w14:textFill>
                  <w14:solidFill>
                    <w14:schemeClr w14:val="tx1"/>
                  </w14:solidFill>
                </w14:textFill>
              </w:rPr>
              <w:t>表</w:t>
            </w:r>
            <w:r>
              <w:rPr>
                <w:rFonts w:ascii="仿宋" w:hAnsi="仿宋" w:eastAsia="仿宋"/>
                <w:bCs/>
                <w:iCs/>
                <w:color w:val="000000" w:themeColor="text1"/>
                <w:sz w:val="28"/>
                <w:szCs w:val="28"/>
                <w14:textFill>
                  <w14:solidFill>
                    <w14:schemeClr w14:val="tx1"/>
                  </w14:solidFill>
                </w14:textFill>
              </w:rPr>
              <w:t xml:space="preserve">     </w:t>
            </w:r>
            <w:r>
              <w:rPr>
                <w:rFonts w:hint="eastAsia" w:ascii="仿宋" w:hAnsi="仿宋" w:eastAsia="仿宋"/>
                <w:bCs/>
                <w:iCs/>
                <w:color w:val="000000" w:themeColor="text1"/>
                <w:spacing w:val="46"/>
                <w:kern w:val="0"/>
                <w:sz w:val="28"/>
                <w:szCs w:val="28"/>
                <w:fitText w:val="1400" w:id="589588906"/>
                <w14:textFill>
                  <w14:solidFill>
                    <w14:schemeClr w14:val="tx1"/>
                  </w14:solidFill>
                </w14:textFill>
              </w:rPr>
              <w:t>郭鹏先</w:t>
            </w:r>
            <w:r>
              <w:rPr>
                <w:rFonts w:hint="eastAsia" w:ascii="仿宋" w:hAnsi="仿宋" w:eastAsia="仿宋"/>
                <w:bCs/>
                <w:iCs/>
                <w:color w:val="000000" w:themeColor="text1"/>
                <w:spacing w:val="2"/>
                <w:kern w:val="0"/>
                <w:sz w:val="28"/>
                <w:szCs w:val="28"/>
                <w:fitText w:val="1400" w:id="589588906"/>
                <w14:textFill>
                  <w14:solidFill>
                    <w14:schemeClr w14:val="tx1"/>
                  </w14:solidFill>
                </w14:textFill>
              </w:rPr>
              <w:t>生</w:t>
            </w:r>
          </w:p>
        </w:tc>
      </w:tr>
      <w:tr w14:paraId="4CAE8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0" w:hRule="atLeast"/>
          <w:jc w:val="center"/>
        </w:trPr>
        <w:tc>
          <w:tcPr>
            <w:tcW w:w="2547" w:type="dxa"/>
            <w:tcBorders>
              <w:top w:val="single" w:color="auto" w:sz="4" w:space="0"/>
              <w:left w:val="single" w:color="auto" w:sz="4" w:space="0"/>
              <w:bottom w:val="single" w:color="auto" w:sz="4" w:space="0"/>
              <w:right w:val="single" w:color="auto" w:sz="4" w:space="0"/>
            </w:tcBorders>
            <w:vAlign w:val="center"/>
          </w:tcPr>
          <w:p w14:paraId="0382F94F">
            <w:pPr>
              <w:spacing w:line="480" w:lineRule="exact"/>
              <w:jc w:val="center"/>
              <w:rPr>
                <w:rFonts w:ascii="仿宋" w:hAnsi="仿宋" w:eastAsia="仿宋"/>
                <w:bCs/>
                <w:iCs/>
                <w:color w:val="000000" w:themeColor="text1"/>
                <w:kern w:val="0"/>
                <w:sz w:val="28"/>
                <w:szCs w:val="28"/>
                <w14:textFill>
                  <w14:solidFill>
                    <w14:schemeClr w14:val="tx1"/>
                  </w14:solidFill>
                </w14:textFill>
              </w:rPr>
            </w:pPr>
            <w:r>
              <w:rPr>
                <w:rFonts w:hint="eastAsia" w:ascii="仿宋" w:hAnsi="仿宋" w:eastAsia="仿宋"/>
                <w:bCs/>
                <w:iCs/>
                <w:color w:val="000000" w:themeColor="text1"/>
                <w:kern w:val="0"/>
                <w:sz w:val="28"/>
                <w:szCs w:val="28"/>
                <w14:textFill>
                  <w14:solidFill>
                    <w14:schemeClr w14:val="tx1"/>
                  </w14:solidFill>
                </w14:textFill>
              </w:rPr>
              <w:t>投资者关系活动</w:t>
            </w:r>
          </w:p>
          <w:p w14:paraId="69A76BAB">
            <w:pPr>
              <w:spacing w:line="480" w:lineRule="exact"/>
              <w:jc w:val="center"/>
              <w:rPr>
                <w:rFonts w:ascii="仿宋" w:hAnsi="仿宋" w:eastAsia="仿宋"/>
                <w:bCs/>
                <w:iCs/>
                <w:color w:val="000000" w:themeColor="text1"/>
                <w:kern w:val="0"/>
                <w:sz w:val="28"/>
                <w:szCs w:val="28"/>
                <w14:textFill>
                  <w14:solidFill>
                    <w14:schemeClr w14:val="tx1"/>
                  </w14:solidFill>
                </w14:textFill>
              </w:rPr>
            </w:pPr>
            <w:r>
              <w:rPr>
                <w:rFonts w:hint="eastAsia" w:ascii="仿宋" w:hAnsi="仿宋" w:eastAsia="仿宋"/>
                <w:bCs/>
                <w:iCs/>
                <w:color w:val="000000" w:themeColor="text1"/>
                <w:kern w:val="0"/>
                <w:sz w:val="28"/>
                <w:szCs w:val="28"/>
                <w14:textFill>
                  <w14:solidFill>
                    <w14:schemeClr w14:val="tx1"/>
                  </w14:solidFill>
                </w14:textFill>
              </w:rPr>
              <w:t>主要内容介绍</w:t>
            </w:r>
          </w:p>
        </w:tc>
        <w:tc>
          <w:tcPr>
            <w:tcW w:w="7087" w:type="dxa"/>
            <w:tcBorders>
              <w:top w:val="single" w:color="auto" w:sz="4" w:space="0"/>
              <w:left w:val="single" w:color="auto" w:sz="4" w:space="0"/>
              <w:bottom w:val="single" w:color="auto" w:sz="4" w:space="0"/>
              <w:right w:val="single" w:color="auto" w:sz="4" w:space="0"/>
            </w:tcBorders>
            <w:vAlign w:val="center"/>
          </w:tcPr>
          <w:p w14:paraId="0D907CC5">
            <w:pPr>
              <w:keepNext w:val="0"/>
              <w:keepLines w:val="0"/>
              <w:pageBreakBefore w:val="0"/>
              <w:widowControl w:val="0"/>
              <w:kinsoku/>
              <w:wordWrap/>
              <w:overflowPunct/>
              <w:topLinePunct w:val="0"/>
              <w:autoSpaceDE w:val="0"/>
              <w:autoSpaceDN w:val="0"/>
              <w:bidi w:val="0"/>
              <w:adjustRightInd w:val="0"/>
              <w:snapToGrid/>
              <w:spacing w:line="420" w:lineRule="exact"/>
              <w:textAlignment w:val="auto"/>
              <w:rPr>
                <w:rFonts w:ascii="仿宋" w:hAnsi="仿宋" w:eastAsia="仿宋" w:cs="仿宋_GB2312"/>
                <w:b/>
                <w:color w:val="000000" w:themeColor="text1"/>
                <w:kern w:val="0"/>
                <w:sz w:val="28"/>
                <w:szCs w:val="28"/>
                <w14:textFill>
                  <w14:solidFill>
                    <w14:schemeClr w14:val="tx1"/>
                  </w14:solidFill>
                </w14:textFill>
              </w:rPr>
            </w:pPr>
            <w:r>
              <w:rPr>
                <w:rFonts w:hint="eastAsia" w:ascii="仿宋" w:hAnsi="仿宋" w:eastAsia="仿宋" w:cs="仿宋_GB2312"/>
                <w:b/>
                <w:color w:val="000000" w:themeColor="text1"/>
                <w:kern w:val="0"/>
                <w:sz w:val="28"/>
                <w:szCs w:val="28"/>
                <w14:textFill>
                  <w14:solidFill>
                    <w14:schemeClr w14:val="tx1"/>
                  </w14:solidFill>
                </w14:textFill>
              </w:rPr>
              <w:t>一、</w:t>
            </w:r>
            <w:r>
              <w:rPr>
                <w:rFonts w:ascii="仿宋" w:hAnsi="仿宋" w:eastAsia="仿宋" w:cs="仿宋_GB2312"/>
                <w:b/>
                <w:color w:val="000000" w:themeColor="text1"/>
                <w:kern w:val="0"/>
                <w:sz w:val="28"/>
                <w:szCs w:val="28"/>
                <w14:textFill>
                  <w14:solidFill>
                    <w14:schemeClr w14:val="tx1"/>
                  </w14:solidFill>
                </w14:textFill>
              </w:rPr>
              <w:t>公司近期基本情况介绍</w:t>
            </w:r>
          </w:p>
          <w:p w14:paraId="403A7E6B">
            <w:pPr>
              <w:keepNext w:val="0"/>
              <w:keepLines w:val="0"/>
              <w:pageBreakBefore w:val="0"/>
              <w:widowControl w:val="0"/>
              <w:kinsoku/>
              <w:wordWrap/>
              <w:overflowPunct/>
              <w:topLinePunct w:val="0"/>
              <w:autoSpaceDE w:val="0"/>
              <w:autoSpaceDN w:val="0"/>
              <w:bidi w:val="0"/>
              <w:adjustRightInd w:val="0"/>
              <w:snapToGrid/>
              <w:spacing w:line="420" w:lineRule="exact"/>
              <w:ind w:firstLine="560" w:firstLineChars="200"/>
              <w:textAlignment w:val="auto"/>
              <w:rPr>
                <w:rFonts w:ascii="仿宋" w:hAnsi="仿宋" w:eastAsia="仿宋" w:cs="仿宋_GB2312"/>
                <w:color w:val="000000" w:themeColor="text1"/>
                <w:kern w:val="0"/>
                <w:sz w:val="28"/>
                <w:szCs w:val="28"/>
                <w14:textFill>
                  <w14:solidFill>
                    <w14:schemeClr w14:val="tx1"/>
                  </w14:solidFill>
                </w14:textFill>
              </w:rPr>
            </w:pPr>
            <w:r>
              <w:rPr>
                <w:rFonts w:hint="eastAsia" w:ascii="仿宋" w:hAnsi="仿宋" w:eastAsia="仿宋" w:cs="仿宋_GB2312"/>
                <w:color w:val="000000" w:themeColor="text1"/>
                <w:kern w:val="0"/>
                <w:sz w:val="28"/>
                <w:szCs w:val="28"/>
                <w14:textFill>
                  <w14:solidFill>
                    <w14:schemeClr w14:val="tx1"/>
                  </w14:solidFill>
                </w14:textFill>
              </w:rPr>
              <w:t>公司致力于运用声学技术提升驾车体验，是国内技术领先的汽车声学产品方案供应商，已融入国内外众多知名汽车制造厂商的同步开发体系。公司拥有声学产品、系统方案及相关算法的研发设计能力，产品主要涵盖车载扬声器系统、车载功放及AVAS，能够为客户提供全面的产品解决方案。</w:t>
            </w:r>
          </w:p>
          <w:p w14:paraId="00B3BC1E">
            <w:pPr>
              <w:keepNext w:val="0"/>
              <w:keepLines w:val="0"/>
              <w:pageBreakBefore w:val="0"/>
              <w:widowControl w:val="0"/>
              <w:kinsoku/>
              <w:wordWrap/>
              <w:overflowPunct/>
              <w:topLinePunct w:val="0"/>
              <w:autoSpaceDE w:val="0"/>
              <w:autoSpaceDN w:val="0"/>
              <w:bidi w:val="0"/>
              <w:adjustRightInd w:val="0"/>
              <w:snapToGrid/>
              <w:spacing w:line="460" w:lineRule="exact"/>
              <w:ind w:firstLine="560" w:firstLineChars="200"/>
              <w:textAlignment w:val="auto"/>
              <w:rPr>
                <w:rFonts w:ascii="仿宋" w:hAnsi="仿宋" w:eastAsia="仿宋" w:cs="仿宋_GB2312"/>
                <w:color w:val="000000" w:themeColor="text1"/>
                <w:kern w:val="0"/>
                <w:sz w:val="28"/>
                <w:szCs w:val="28"/>
                <w14:textFill>
                  <w14:solidFill>
                    <w14:schemeClr w14:val="tx1"/>
                  </w14:solidFill>
                </w14:textFill>
              </w:rPr>
            </w:pPr>
            <w:r>
              <w:rPr>
                <w:rFonts w:hint="eastAsia" w:ascii="仿宋" w:hAnsi="仿宋" w:eastAsia="仿宋" w:cs="仿宋_GB2312"/>
                <w:color w:val="000000" w:themeColor="text1"/>
                <w:kern w:val="0"/>
                <w:sz w:val="28"/>
                <w:szCs w:val="28"/>
                <w14:textFill>
                  <w14:solidFill>
                    <w14:schemeClr w14:val="tx1"/>
                  </w14:solidFill>
                </w14:textFill>
              </w:rPr>
              <w:t>2026年上半年，公司紧紧围绕年度经营目标有序推进各项生产经营工作，积极应对下游整车市场需求波动、行业竞争加剧、上游原材料价格变化等外部挑战，持续优化产品结构、客户结构，加快新项目定点转化与交付。</w:t>
            </w:r>
          </w:p>
          <w:p w14:paraId="38C820C0">
            <w:pPr>
              <w:keepNext w:val="0"/>
              <w:keepLines w:val="0"/>
              <w:pageBreakBefore w:val="0"/>
              <w:widowControl w:val="0"/>
              <w:kinsoku/>
              <w:wordWrap/>
              <w:overflowPunct/>
              <w:topLinePunct w:val="0"/>
              <w:autoSpaceDE w:val="0"/>
              <w:autoSpaceDN w:val="0"/>
              <w:bidi w:val="0"/>
              <w:adjustRightInd w:val="0"/>
              <w:snapToGrid/>
              <w:spacing w:line="460" w:lineRule="exact"/>
              <w:ind w:firstLine="560" w:firstLineChars="200"/>
              <w:textAlignment w:val="auto"/>
              <w:rPr>
                <w:rFonts w:ascii="仿宋" w:hAnsi="仿宋" w:eastAsia="仿宋" w:cs="仿宋_GB2312"/>
                <w:color w:val="000000" w:themeColor="text1"/>
                <w:kern w:val="0"/>
                <w:sz w:val="28"/>
                <w:szCs w:val="28"/>
                <w14:textFill>
                  <w14:solidFill>
                    <w14:schemeClr w14:val="tx1"/>
                  </w14:solidFill>
                </w14:textFill>
              </w:rPr>
            </w:pPr>
            <w:r>
              <w:rPr>
                <w:rFonts w:hint="eastAsia" w:ascii="仿宋" w:hAnsi="仿宋" w:eastAsia="仿宋" w:cs="仿宋_GB2312"/>
                <w:color w:val="000000" w:themeColor="text1"/>
                <w:kern w:val="0"/>
                <w:sz w:val="28"/>
                <w:szCs w:val="28"/>
                <w14:textFill>
                  <w14:solidFill>
                    <w14:schemeClr w14:val="tx1"/>
                  </w14:solidFill>
                </w14:textFill>
              </w:rPr>
              <w:t>实现营业收入1</w:t>
            </w:r>
            <w:bookmarkStart w:id="0" w:name="_GoBack"/>
            <w:bookmarkEnd w:id="0"/>
            <w:r>
              <w:rPr>
                <w:rFonts w:hint="eastAsia" w:ascii="仿宋" w:hAnsi="仿宋" w:eastAsia="仿宋" w:cs="仿宋_GB2312"/>
                <w:color w:val="000000" w:themeColor="text1"/>
                <w:kern w:val="0"/>
                <w:sz w:val="28"/>
                <w:szCs w:val="28"/>
                <w14:textFill>
                  <w14:solidFill>
                    <w14:schemeClr w14:val="tx1"/>
                  </w14:solidFill>
                </w14:textFill>
              </w:rPr>
              <w:t>42,440.07万元，较上年同期增长4.23%；归属于上市公司股东的净利润3,980.30万元，比上年同期下降53.07%；归属于上市公司股东的扣除非经常性损益的净利润3,926.64万元，比上年同期下降50.2%。</w:t>
            </w:r>
          </w:p>
          <w:p w14:paraId="6852D5AB">
            <w:pPr>
              <w:keepNext w:val="0"/>
              <w:keepLines w:val="0"/>
              <w:pageBreakBefore w:val="0"/>
              <w:widowControl w:val="0"/>
              <w:kinsoku/>
              <w:wordWrap/>
              <w:overflowPunct/>
              <w:topLinePunct w:val="0"/>
              <w:autoSpaceDE w:val="0"/>
              <w:autoSpaceDN w:val="0"/>
              <w:bidi w:val="0"/>
              <w:adjustRightInd w:val="0"/>
              <w:snapToGrid/>
              <w:spacing w:before="313" w:beforeLines="100" w:line="460" w:lineRule="exact"/>
              <w:textAlignment w:val="auto"/>
              <w:rPr>
                <w:rFonts w:ascii="仿宋" w:hAnsi="仿宋" w:eastAsia="仿宋" w:cs="仿宋_GB2312"/>
                <w:b/>
                <w:color w:val="000000" w:themeColor="text1"/>
                <w:kern w:val="0"/>
                <w:sz w:val="28"/>
                <w:szCs w:val="28"/>
                <w14:textFill>
                  <w14:solidFill>
                    <w14:schemeClr w14:val="tx1"/>
                  </w14:solidFill>
                </w14:textFill>
              </w:rPr>
            </w:pPr>
            <w:r>
              <w:rPr>
                <w:rFonts w:ascii="仿宋" w:hAnsi="仿宋" w:eastAsia="仿宋" w:cs="仿宋_GB2312"/>
                <w:b/>
                <w:color w:val="000000" w:themeColor="text1"/>
                <w:kern w:val="0"/>
                <w:sz w:val="28"/>
                <w:szCs w:val="28"/>
                <w14:textFill>
                  <w14:solidFill>
                    <w14:schemeClr w14:val="tx1"/>
                  </w14:solidFill>
                </w14:textFill>
              </w:rPr>
              <w:t>二、访谈环节</w:t>
            </w:r>
          </w:p>
          <w:p w14:paraId="636AC341">
            <w:pPr>
              <w:keepNext w:val="0"/>
              <w:keepLines w:val="0"/>
              <w:pageBreakBefore w:val="0"/>
              <w:widowControl w:val="0"/>
              <w:kinsoku/>
              <w:wordWrap/>
              <w:overflowPunct/>
              <w:topLinePunct w:val="0"/>
              <w:autoSpaceDE w:val="0"/>
              <w:autoSpaceDN w:val="0"/>
              <w:bidi w:val="0"/>
              <w:adjustRightInd w:val="0"/>
              <w:snapToGrid/>
              <w:spacing w:line="460" w:lineRule="exact"/>
              <w:textAlignment w:val="auto"/>
              <w:rPr>
                <w:rFonts w:ascii="仿宋" w:hAnsi="仿宋" w:eastAsia="仿宋" w:cs="仿宋_GB2312"/>
                <w:b/>
                <w:bCs/>
                <w:color w:val="000000" w:themeColor="text1"/>
                <w:kern w:val="0"/>
                <w:sz w:val="28"/>
                <w:szCs w:val="28"/>
                <w14:textFill>
                  <w14:solidFill>
                    <w14:schemeClr w14:val="tx1"/>
                  </w14:solidFill>
                </w14:textFill>
              </w:rPr>
            </w:pPr>
            <w:r>
              <w:rPr>
                <w:rFonts w:hint="eastAsia" w:ascii="仿宋" w:hAnsi="仿宋" w:eastAsia="仿宋" w:cs="仿宋_GB2312"/>
                <w:b/>
                <w:bCs/>
                <w:color w:val="000000" w:themeColor="text1"/>
                <w:kern w:val="0"/>
                <w:sz w:val="28"/>
                <w:szCs w:val="28"/>
                <w14:textFill>
                  <w14:solidFill>
                    <w14:schemeClr w14:val="tx1"/>
                  </w14:solidFill>
                </w14:textFill>
              </w:rPr>
              <w:t>Q1</w:t>
            </w:r>
            <w:r>
              <w:rPr>
                <w:rFonts w:ascii="仿宋" w:hAnsi="仿宋" w:eastAsia="仿宋" w:cs="仿宋_GB2312"/>
                <w:b/>
                <w:bCs/>
                <w:color w:val="000000" w:themeColor="text1"/>
                <w:kern w:val="0"/>
                <w:sz w:val="28"/>
                <w:szCs w:val="28"/>
                <w14:textFill>
                  <w14:solidFill>
                    <w14:schemeClr w14:val="tx1"/>
                  </w14:solidFill>
                </w14:textFill>
              </w:rPr>
              <w:t>、</w:t>
            </w:r>
            <w:r>
              <w:rPr>
                <w:rFonts w:hint="eastAsia" w:ascii="仿宋" w:hAnsi="仿宋" w:eastAsia="仿宋" w:cs="仿宋_GB2312"/>
                <w:b/>
                <w:bCs/>
                <w:color w:val="000000" w:themeColor="text1"/>
                <w:kern w:val="0"/>
                <w:sz w:val="28"/>
                <w:szCs w:val="28"/>
                <w14:textFill>
                  <w14:solidFill>
                    <w14:schemeClr w14:val="tx1"/>
                  </w14:solidFill>
                </w14:textFill>
              </w:rPr>
              <w:t>公司上半年毛利率、净利率没有提升的原因是什么？近期新车型的定点情况如何？</w:t>
            </w:r>
          </w:p>
          <w:p w14:paraId="3DD3827B">
            <w:pPr>
              <w:keepNext w:val="0"/>
              <w:keepLines w:val="0"/>
              <w:pageBreakBefore w:val="0"/>
              <w:widowControl w:val="0"/>
              <w:kinsoku/>
              <w:wordWrap/>
              <w:overflowPunct/>
              <w:topLinePunct w:val="0"/>
              <w:autoSpaceDE w:val="0"/>
              <w:autoSpaceDN w:val="0"/>
              <w:bidi w:val="0"/>
              <w:adjustRightInd w:val="0"/>
              <w:snapToGrid/>
              <w:spacing w:before="63" w:beforeLines="20" w:line="460" w:lineRule="exact"/>
              <w:textAlignment w:val="auto"/>
              <w:rPr>
                <w:rFonts w:ascii="仿宋" w:hAnsi="仿宋" w:eastAsia="仿宋" w:cs="仿宋_GB2312"/>
                <w:color w:val="000000" w:themeColor="text1"/>
                <w:kern w:val="0"/>
                <w:sz w:val="28"/>
                <w:szCs w:val="28"/>
                <w14:textFill>
                  <w14:solidFill>
                    <w14:schemeClr w14:val="tx1"/>
                  </w14:solidFill>
                </w14:textFill>
              </w:rPr>
            </w:pPr>
            <w:r>
              <w:rPr>
                <w:rFonts w:hint="eastAsia" w:ascii="仿宋" w:hAnsi="仿宋" w:eastAsia="仿宋" w:cs="仿宋_GB2312"/>
                <w:color w:val="000000" w:themeColor="text1"/>
                <w:kern w:val="0"/>
                <w:sz w:val="28"/>
                <w:szCs w:val="28"/>
                <w14:textFill>
                  <w14:solidFill>
                    <w14:schemeClr w14:val="tx1"/>
                  </w14:solidFill>
                </w14:textFill>
              </w:rPr>
              <w:t>答：上半年下游整车市场价格竞争激烈、上游原材料价格上涨，同时叠加汇兑损失的不利影响，短期内产品毛利率有一定波动，净利率受汇兑损益的影响显著。本年度公司持续获得多家知名汽车制造厂商的新项目定点信，包括蔚来、吉利等头部品牌以及配备H品牌智能座舱的多品牌车型。海外客户方面，新开发的YAMAHA客户开始实现国内配套车型产品的量产交货。欧洲市场符合预期，欧洲子公司亏损同比大幅收窄。</w:t>
            </w:r>
          </w:p>
          <w:p w14:paraId="08FA9EBA">
            <w:pPr>
              <w:keepNext w:val="0"/>
              <w:keepLines w:val="0"/>
              <w:pageBreakBefore w:val="0"/>
              <w:widowControl w:val="0"/>
              <w:kinsoku/>
              <w:wordWrap/>
              <w:overflowPunct/>
              <w:topLinePunct w:val="0"/>
              <w:autoSpaceDE w:val="0"/>
              <w:autoSpaceDN w:val="0"/>
              <w:bidi w:val="0"/>
              <w:adjustRightInd w:val="0"/>
              <w:snapToGrid/>
              <w:spacing w:before="157" w:beforeLines="50" w:line="460" w:lineRule="exact"/>
              <w:textAlignment w:val="auto"/>
              <w:rPr>
                <w:rFonts w:ascii="仿宋" w:hAnsi="仿宋" w:eastAsia="仿宋" w:cs="仿宋_GB2312"/>
                <w:b/>
                <w:bCs/>
                <w:color w:val="000000" w:themeColor="text1"/>
                <w:kern w:val="0"/>
                <w:sz w:val="28"/>
                <w:szCs w:val="28"/>
                <w14:textFill>
                  <w14:solidFill>
                    <w14:schemeClr w14:val="tx1"/>
                  </w14:solidFill>
                </w14:textFill>
              </w:rPr>
            </w:pPr>
            <w:r>
              <w:rPr>
                <w:rFonts w:hint="eastAsia" w:ascii="仿宋" w:hAnsi="仿宋" w:eastAsia="仿宋" w:cs="仿宋_GB2312"/>
                <w:b/>
                <w:bCs/>
                <w:color w:val="000000" w:themeColor="text1"/>
                <w:kern w:val="0"/>
                <w:sz w:val="28"/>
                <w:szCs w:val="28"/>
                <w14:textFill>
                  <w14:solidFill>
                    <w14:schemeClr w14:val="tx1"/>
                  </w14:solidFill>
                </w14:textFill>
              </w:rPr>
              <w:t>Q2</w:t>
            </w:r>
            <w:r>
              <w:rPr>
                <w:rFonts w:ascii="仿宋" w:hAnsi="仿宋" w:eastAsia="仿宋" w:cs="仿宋_GB2312"/>
                <w:b/>
                <w:bCs/>
                <w:color w:val="000000" w:themeColor="text1"/>
                <w:kern w:val="0"/>
                <w:sz w:val="28"/>
                <w:szCs w:val="28"/>
                <w14:textFill>
                  <w14:solidFill>
                    <w14:schemeClr w14:val="tx1"/>
                  </w14:solidFill>
                </w14:textFill>
              </w:rPr>
              <w:t>、</w:t>
            </w:r>
            <w:r>
              <w:rPr>
                <w:rFonts w:hint="eastAsia" w:ascii="仿宋" w:hAnsi="仿宋" w:eastAsia="仿宋" w:cs="仿宋_GB2312"/>
                <w:b/>
                <w:bCs/>
                <w:color w:val="000000" w:themeColor="text1"/>
                <w:kern w:val="0"/>
                <w:sz w:val="28"/>
                <w:szCs w:val="28"/>
                <w14:textFill>
                  <w14:solidFill>
                    <w14:schemeClr w14:val="tx1"/>
                  </w14:solidFill>
                </w14:textFill>
              </w:rPr>
              <w:t>公司目前针对提升毛利的举措？</w:t>
            </w:r>
          </w:p>
          <w:p w14:paraId="56C01536">
            <w:pPr>
              <w:keepNext w:val="0"/>
              <w:keepLines w:val="0"/>
              <w:pageBreakBefore w:val="0"/>
              <w:widowControl w:val="0"/>
              <w:kinsoku/>
              <w:wordWrap/>
              <w:overflowPunct/>
              <w:topLinePunct w:val="0"/>
              <w:autoSpaceDE w:val="0"/>
              <w:autoSpaceDN w:val="0"/>
              <w:bidi w:val="0"/>
              <w:adjustRightInd w:val="0"/>
              <w:snapToGrid/>
              <w:spacing w:before="63" w:beforeLines="20" w:line="460" w:lineRule="exact"/>
              <w:textAlignment w:val="auto"/>
              <w:rPr>
                <w:rFonts w:ascii="仿宋" w:hAnsi="仿宋" w:eastAsia="仿宋" w:cs="仿宋_GB2312"/>
                <w:color w:val="000000" w:themeColor="text1"/>
                <w:kern w:val="0"/>
                <w:sz w:val="28"/>
                <w:szCs w:val="28"/>
                <w14:textFill>
                  <w14:solidFill>
                    <w14:schemeClr w14:val="tx1"/>
                  </w14:solidFill>
                </w14:textFill>
              </w:rPr>
            </w:pPr>
            <w:r>
              <w:rPr>
                <w:rFonts w:ascii="仿宋" w:hAnsi="仿宋" w:eastAsia="仿宋" w:cs="仿宋_GB2312"/>
                <w:color w:val="000000" w:themeColor="text1"/>
                <w:kern w:val="0"/>
                <w:sz w:val="28"/>
                <w:szCs w:val="28"/>
                <w14:textFill>
                  <w14:solidFill>
                    <w14:schemeClr w14:val="tx1"/>
                  </w14:solidFill>
                </w14:textFill>
              </w:rPr>
              <w:t>答</w:t>
            </w:r>
            <w:r>
              <w:rPr>
                <w:rFonts w:hint="eastAsia" w:ascii="仿宋" w:hAnsi="仿宋" w:eastAsia="仿宋" w:cs="仿宋_GB2312"/>
                <w:color w:val="000000" w:themeColor="text1"/>
                <w:kern w:val="0"/>
                <w:sz w:val="28"/>
                <w:szCs w:val="28"/>
                <w14:textFill>
                  <w14:solidFill>
                    <w14:schemeClr w14:val="tx1"/>
                  </w14:solidFill>
                </w14:textFill>
              </w:rPr>
              <w:t>：公司将加速推进高端车载声学全套解决方案的推广进程，提升高端声学产品线的占比，精准对标细分市场的极致体验需求。在技术端，将钻石高音、新型振膜材料及先进声学结构体等前沿技术深度赋能至高端产品矩阵。市场端，积极开拓豪华与超豪华车型市场，以及海外市场，加速关键渠道布局。通过扩大高毛利产品规模，优化业务增长曲线，在强化产品矩阵覆盖面的同时，平抑公司整体毛利率的波动风险。</w:t>
            </w:r>
          </w:p>
          <w:p w14:paraId="2117158E">
            <w:pPr>
              <w:keepNext w:val="0"/>
              <w:keepLines w:val="0"/>
              <w:pageBreakBefore w:val="0"/>
              <w:widowControl w:val="0"/>
              <w:kinsoku/>
              <w:wordWrap/>
              <w:overflowPunct/>
              <w:topLinePunct w:val="0"/>
              <w:autoSpaceDE w:val="0"/>
              <w:autoSpaceDN w:val="0"/>
              <w:bidi w:val="0"/>
              <w:adjustRightInd w:val="0"/>
              <w:snapToGrid/>
              <w:spacing w:line="460" w:lineRule="exact"/>
              <w:textAlignment w:val="auto"/>
              <w:rPr>
                <w:rFonts w:ascii="仿宋" w:hAnsi="仿宋" w:eastAsia="仿宋" w:cs="仿宋_GB2312"/>
                <w:color w:val="000000" w:themeColor="text1"/>
                <w:kern w:val="0"/>
                <w:sz w:val="28"/>
                <w:szCs w:val="28"/>
                <w14:textFill>
                  <w14:solidFill>
                    <w14:schemeClr w14:val="tx1"/>
                  </w14:solidFill>
                </w14:textFill>
              </w:rPr>
            </w:pPr>
          </w:p>
          <w:p w14:paraId="0AF0329E">
            <w:pPr>
              <w:keepNext w:val="0"/>
              <w:keepLines w:val="0"/>
              <w:pageBreakBefore w:val="0"/>
              <w:widowControl w:val="0"/>
              <w:kinsoku/>
              <w:wordWrap/>
              <w:overflowPunct/>
              <w:topLinePunct w:val="0"/>
              <w:autoSpaceDE w:val="0"/>
              <w:autoSpaceDN w:val="0"/>
              <w:bidi w:val="0"/>
              <w:adjustRightInd w:val="0"/>
              <w:snapToGrid/>
              <w:spacing w:line="440" w:lineRule="exact"/>
              <w:textAlignment w:val="auto"/>
              <w:rPr>
                <w:rFonts w:ascii="仿宋" w:hAnsi="仿宋" w:eastAsia="仿宋" w:cs="仿宋_GB2312"/>
                <w:b/>
                <w:bCs/>
                <w:color w:val="000000" w:themeColor="text1"/>
                <w:kern w:val="0"/>
                <w:sz w:val="28"/>
                <w:szCs w:val="28"/>
                <w14:textFill>
                  <w14:solidFill>
                    <w14:schemeClr w14:val="tx1"/>
                  </w14:solidFill>
                </w14:textFill>
              </w:rPr>
            </w:pPr>
            <w:r>
              <w:rPr>
                <w:rFonts w:hint="eastAsia" w:ascii="仿宋" w:hAnsi="仿宋" w:eastAsia="仿宋" w:cs="仿宋_GB2312"/>
                <w:b/>
                <w:bCs/>
                <w:color w:val="000000" w:themeColor="text1"/>
                <w:kern w:val="0"/>
                <w:sz w:val="28"/>
                <w:szCs w:val="28"/>
                <w14:textFill>
                  <w14:solidFill>
                    <w14:schemeClr w14:val="tx1"/>
                  </w14:solidFill>
                </w14:textFill>
              </w:rPr>
              <w:t>Q3</w:t>
            </w:r>
            <w:r>
              <w:rPr>
                <w:rFonts w:ascii="仿宋" w:hAnsi="仿宋" w:eastAsia="仿宋" w:cs="仿宋_GB2312"/>
                <w:b/>
                <w:bCs/>
                <w:color w:val="000000" w:themeColor="text1"/>
                <w:kern w:val="0"/>
                <w:sz w:val="28"/>
                <w:szCs w:val="28"/>
                <w14:textFill>
                  <w14:solidFill>
                    <w14:schemeClr w14:val="tx1"/>
                  </w14:solidFill>
                </w14:textFill>
              </w:rPr>
              <w:t>、</w:t>
            </w:r>
            <w:r>
              <w:rPr>
                <w:rFonts w:hint="eastAsia" w:ascii="仿宋" w:hAnsi="仿宋" w:eastAsia="仿宋" w:cs="仿宋_GB2312"/>
                <w:b/>
                <w:bCs/>
                <w:color w:val="000000" w:themeColor="text1"/>
                <w:kern w:val="0"/>
                <w:sz w:val="28"/>
                <w:szCs w:val="28"/>
                <w14:textFill>
                  <w14:solidFill>
                    <w14:schemeClr w14:val="tx1"/>
                  </w14:solidFill>
                </w14:textFill>
              </w:rPr>
              <w:t xml:space="preserve">目前合肥以及捷克的运营情况？ </w:t>
            </w:r>
          </w:p>
          <w:p w14:paraId="25AA7D0D">
            <w:pPr>
              <w:keepNext w:val="0"/>
              <w:keepLines w:val="0"/>
              <w:pageBreakBefore w:val="0"/>
              <w:widowControl w:val="0"/>
              <w:kinsoku/>
              <w:wordWrap/>
              <w:overflowPunct/>
              <w:topLinePunct w:val="0"/>
              <w:autoSpaceDE w:val="0"/>
              <w:autoSpaceDN w:val="0"/>
              <w:bidi w:val="0"/>
              <w:adjustRightInd w:val="0"/>
              <w:snapToGrid/>
              <w:spacing w:line="440" w:lineRule="exact"/>
              <w:textAlignment w:val="auto"/>
              <w:rPr>
                <w:rFonts w:ascii="仿宋" w:hAnsi="仿宋" w:eastAsia="仿宋" w:cs="仿宋_GB2312"/>
                <w:color w:val="000000" w:themeColor="text1"/>
                <w:kern w:val="0"/>
                <w:sz w:val="28"/>
                <w:szCs w:val="28"/>
                <w14:textFill>
                  <w14:solidFill>
                    <w14:schemeClr w14:val="tx1"/>
                  </w14:solidFill>
                </w14:textFill>
              </w:rPr>
            </w:pPr>
            <w:r>
              <w:rPr>
                <w:rFonts w:ascii="仿宋" w:hAnsi="仿宋" w:eastAsia="仿宋" w:cs="仿宋_GB2312"/>
                <w:color w:val="000000" w:themeColor="text1"/>
                <w:kern w:val="0"/>
                <w:sz w:val="28"/>
                <w:szCs w:val="28"/>
                <w14:textFill>
                  <w14:solidFill>
                    <w14:schemeClr w14:val="tx1"/>
                  </w14:solidFill>
                </w14:textFill>
              </w:rPr>
              <w:t xml:space="preserve">答： </w:t>
            </w:r>
            <w:r>
              <w:rPr>
                <w:rFonts w:hint="eastAsia" w:ascii="仿宋" w:hAnsi="仿宋" w:eastAsia="仿宋" w:cs="仿宋_GB2312"/>
                <w:color w:val="000000" w:themeColor="text1"/>
                <w:kern w:val="0"/>
                <w:sz w:val="28"/>
                <w:szCs w:val="28"/>
                <w14:textFill>
                  <w14:solidFill>
                    <w14:schemeClr w14:val="tx1"/>
                  </w14:solidFill>
                </w14:textFill>
              </w:rPr>
              <w:t>合肥和捷克工厂本年度实现了经营状况的改善，合肥工厂上半年实现盈利；捷克工厂亏损规模相比上年同期大幅缩窄。公司将继续强化运营管理，全面提升经营管理水平。</w:t>
            </w:r>
          </w:p>
          <w:p w14:paraId="1D0886BD">
            <w:pPr>
              <w:keepNext w:val="0"/>
              <w:keepLines w:val="0"/>
              <w:pageBreakBefore w:val="0"/>
              <w:widowControl w:val="0"/>
              <w:kinsoku/>
              <w:wordWrap/>
              <w:overflowPunct/>
              <w:topLinePunct w:val="0"/>
              <w:autoSpaceDE w:val="0"/>
              <w:autoSpaceDN w:val="0"/>
              <w:bidi w:val="0"/>
              <w:adjustRightInd w:val="0"/>
              <w:snapToGrid/>
              <w:spacing w:line="440" w:lineRule="exact"/>
              <w:textAlignment w:val="auto"/>
              <w:rPr>
                <w:rFonts w:ascii="仿宋" w:hAnsi="仿宋" w:eastAsia="仿宋" w:cs="仿宋_GB2312"/>
                <w:b/>
                <w:bCs/>
                <w:color w:val="000000" w:themeColor="text1"/>
                <w:kern w:val="0"/>
                <w:sz w:val="28"/>
                <w:szCs w:val="28"/>
                <w14:textFill>
                  <w14:solidFill>
                    <w14:schemeClr w14:val="tx1"/>
                  </w14:solidFill>
                </w14:textFill>
              </w:rPr>
            </w:pPr>
            <w:r>
              <w:rPr>
                <w:rFonts w:hint="eastAsia" w:ascii="仿宋" w:hAnsi="仿宋" w:eastAsia="仿宋" w:cs="仿宋_GB2312"/>
                <w:b/>
                <w:bCs/>
                <w:color w:val="000000" w:themeColor="text1"/>
                <w:kern w:val="0"/>
                <w:sz w:val="28"/>
                <w:szCs w:val="28"/>
                <w14:textFill>
                  <w14:solidFill>
                    <w14:schemeClr w14:val="tx1"/>
                  </w14:solidFill>
                </w14:textFill>
              </w:rPr>
              <w:t>Q</w:t>
            </w:r>
            <w:r>
              <w:rPr>
                <w:rFonts w:ascii="仿宋" w:hAnsi="仿宋" w:eastAsia="仿宋" w:cs="仿宋_GB2312"/>
                <w:b/>
                <w:bCs/>
                <w:color w:val="000000" w:themeColor="text1"/>
                <w:kern w:val="0"/>
                <w:sz w:val="28"/>
                <w:szCs w:val="28"/>
                <w14:textFill>
                  <w14:solidFill>
                    <w14:schemeClr w14:val="tx1"/>
                  </w14:solidFill>
                </w14:textFill>
              </w:rPr>
              <w:t>4</w:t>
            </w:r>
            <w:r>
              <w:rPr>
                <w:rFonts w:hint="eastAsia" w:ascii="仿宋" w:hAnsi="仿宋" w:eastAsia="仿宋" w:cs="仿宋_GB2312"/>
                <w:b/>
                <w:bCs/>
                <w:color w:val="000000" w:themeColor="text1"/>
                <w:kern w:val="0"/>
                <w:sz w:val="28"/>
                <w:szCs w:val="28"/>
                <w14:textFill>
                  <w14:solidFill>
                    <w14:schemeClr w14:val="tx1"/>
                  </w14:solidFill>
                </w14:textFill>
              </w:rPr>
              <w:t>、对于声学调音、流媒体后视镜方面以及其他新技术新产品方面，公司有何进展？</w:t>
            </w:r>
          </w:p>
          <w:p w14:paraId="12223465">
            <w:pPr>
              <w:keepNext w:val="0"/>
              <w:keepLines w:val="0"/>
              <w:pageBreakBefore w:val="0"/>
              <w:widowControl w:val="0"/>
              <w:kinsoku/>
              <w:wordWrap/>
              <w:overflowPunct/>
              <w:topLinePunct w:val="0"/>
              <w:autoSpaceDE w:val="0"/>
              <w:autoSpaceDN w:val="0"/>
              <w:bidi w:val="0"/>
              <w:adjustRightInd w:val="0"/>
              <w:snapToGrid/>
              <w:spacing w:line="440" w:lineRule="exact"/>
              <w:textAlignment w:val="auto"/>
              <w:rPr>
                <w:rFonts w:ascii="仿宋" w:hAnsi="仿宋" w:eastAsia="仿宋" w:cs="仿宋_GB2312"/>
                <w:color w:val="000000" w:themeColor="text1"/>
                <w:kern w:val="0"/>
                <w:sz w:val="28"/>
                <w:szCs w:val="28"/>
                <w14:textFill>
                  <w14:solidFill>
                    <w14:schemeClr w14:val="tx1"/>
                  </w14:solidFill>
                </w14:textFill>
              </w:rPr>
            </w:pPr>
            <w:r>
              <w:rPr>
                <w:rFonts w:hint="eastAsia" w:ascii="仿宋" w:hAnsi="仿宋" w:eastAsia="仿宋" w:cs="仿宋_GB2312"/>
                <w:color w:val="000000" w:themeColor="text1"/>
                <w:kern w:val="0"/>
                <w:sz w:val="28"/>
                <w:szCs w:val="28"/>
                <w14:textFill>
                  <w14:solidFill>
                    <w14:schemeClr w14:val="tx1"/>
                  </w14:solidFill>
                </w14:textFill>
              </w:rPr>
              <w:t>答：公司自研了A</w:t>
            </w:r>
            <w:r>
              <w:rPr>
                <w:rFonts w:ascii="仿宋" w:hAnsi="仿宋" w:eastAsia="仿宋" w:cs="仿宋_GB2312"/>
                <w:color w:val="000000" w:themeColor="text1"/>
                <w:kern w:val="0"/>
                <w:sz w:val="28"/>
                <w:szCs w:val="28"/>
                <w14:textFill>
                  <w14:solidFill>
                    <w14:schemeClr w14:val="tx1"/>
                  </w14:solidFill>
                </w14:textFill>
              </w:rPr>
              <w:t>I全景声功放</w:t>
            </w:r>
            <w:r>
              <w:rPr>
                <w:rFonts w:hint="eastAsia" w:ascii="仿宋" w:hAnsi="仿宋" w:eastAsia="仿宋" w:cs="仿宋_GB2312"/>
                <w:color w:val="000000" w:themeColor="text1"/>
                <w:kern w:val="0"/>
                <w:sz w:val="28"/>
                <w:szCs w:val="28"/>
                <w14:textFill>
                  <w14:solidFill>
                    <w14:schemeClr w14:val="tx1"/>
                  </w14:solidFill>
                </w14:textFill>
              </w:rPr>
              <w:t>，通过端侧AI音轨处理技术，打破传统音源局限，重塑车载环绕声的极致沉浸体验。关于车内流媒体后视镜，已完成产品原型开发，进一步开展测试等研发工作，通过搭载先进LC控制技术实现产品差异化，公司将全面加速市场推广与竞标落地，力求打造新的业务增长引擎。面向未来，公司持续加码数字扬声器、MEMS扬声器等前沿技术的研发，依托深厚的声学底蕴，推动前沿技术与多元应用场景的跨界融合。通过不断丰富产品矩阵，将进一步拓宽业务范围，为公司长远发展构筑坚实的壁垒。</w:t>
            </w:r>
          </w:p>
          <w:p w14:paraId="4161B5A3">
            <w:pPr>
              <w:keepNext w:val="0"/>
              <w:keepLines w:val="0"/>
              <w:pageBreakBefore w:val="0"/>
              <w:widowControl w:val="0"/>
              <w:kinsoku/>
              <w:wordWrap/>
              <w:overflowPunct/>
              <w:topLinePunct w:val="0"/>
              <w:autoSpaceDE w:val="0"/>
              <w:autoSpaceDN w:val="0"/>
              <w:bidi w:val="0"/>
              <w:adjustRightInd w:val="0"/>
              <w:snapToGrid/>
              <w:spacing w:line="440" w:lineRule="exact"/>
              <w:textAlignment w:val="auto"/>
              <w:rPr>
                <w:rFonts w:ascii="仿宋" w:hAnsi="仿宋" w:eastAsia="仿宋" w:cs="仿宋_GB2312"/>
                <w:b/>
                <w:bCs/>
                <w:color w:val="000000" w:themeColor="text1"/>
                <w:kern w:val="0"/>
                <w:sz w:val="28"/>
                <w:szCs w:val="28"/>
                <w14:textFill>
                  <w14:solidFill>
                    <w14:schemeClr w14:val="tx1"/>
                  </w14:solidFill>
                </w14:textFill>
              </w:rPr>
            </w:pPr>
            <w:r>
              <w:rPr>
                <w:rFonts w:hint="eastAsia" w:ascii="仿宋" w:hAnsi="仿宋" w:eastAsia="仿宋" w:cs="仿宋_GB2312"/>
                <w:b/>
                <w:bCs/>
                <w:color w:val="000000" w:themeColor="text1"/>
                <w:kern w:val="0"/>
                <w:sz w:val="28"/>
                <w:szCs w:val="28"/>
                <w14:textFill>
                  <w14:solidFill>
                    <w14:schemeClr w14:val="tx1"/>
                  </w14:solidFill>
                </w14:textFill>
              </w:rPr>
              <w:t>Q</w:t>
            </w:r>
            <w:r>
              <w:rPr>
                <w:rFonts w:ascii="仿宋" w:hAnsi="仿宋" w:eastAsia="仿宋" w:cs="仿宋_GB2312"/>
                <w:b/>
                <w:bCs/>
                <w:color w:val="000000" w:themeColor="text1"/>
                <w:kern w:val="0"/>
                <w:sz w:val="28"/>
                <w:szCs w:val="28"/>
                <w14:textFill>
                  <w14:solidFill>
                    <w14:schemeClr w14:val="tx1"/>
                  </w14:solidFill>
                </w14:textFill>
              </w:rPr>
              <w:t>5</w:t>
            </w:r>
            <w:r>
              <w:rPr>
                <w:rFonts w:hint="eastAsia" w:ascii="仿宋" w:hAnsi="仿宋" w:eastAsia="仿宋" w:cs="仿宋_GB2312"/>
                <w:b/>
                <w:bCs/>
                <w:color w:val="000000" w:themeColor="text1"/>
                <w:kern w:val="0"/>
                <w:sz w:val="28"/>
                <w:szCs w:val="28"/>
                <w14:textFill>
                  <w14:solidFill>
                    <w14:schemeClr w14:val="tx1"/>
                  </w14:solidFill>
                </w14:textFill>
              </w:rPr>
              <w:t>、公司落实在具身智能相关领域的技术储备？</w:t>
            </w:r>
          </w:p>
          <w:p w14:paraId="29370EE6">
            <w:pPr>
              <w:keepNext w:val="0"/>
              <w:keepLines w:val="0"/>
              <w:pageBreakBefore w:val="0"/>
              <w:widowControl w:val="0"/>
              <w:kinsoku/>
              <w:wordWrap/>
              <w:overflowPunct/>
              <w:topLinePunct w:val="0"/>
              <w:autoSpaceDE w:val="0"/>
              <w:autoSpaceDN w:val="0"/>
              <w:bidi w:val="0"/>
              <w:adjustRightInd w:val="0"/>
              <w:snapToGrid/>
              <w:spacing w:line="440" w:lineRule="exact"/>
              <w:textAlignment w:val="auto"/>
              <w:rPr>
                <w:rFonts w:ascii="仿宋" w:hAnsi="仿宋" w:eastAsia="仿宋" w:cs="仿宋_GB2312"/>
                <w:color w:val="000000" w:themeColor="text1"/>
                <w:kern w:val="0"/>
                <w:sz w:val="28"/>
                <w:szCs w:val="28"/>
                <w14:textFill>
                  <w14:solidFill>
                    <w14:schemeClr w14:val="tx1"/>
                  </w14:solidFill>
                </w14:textFill>
              </w:rPr>
            </w:pPr>
            <w:r>
              <w:rPr>
                <w:rFonts w:hint="eastAsia" w:ascii="仿宋" w:hAnsi="仿宋" w:eastAsia="仿宋" w:cs="仿宋_GB2312"/>
                <w:color w:val="000000" w:themeColor="text1"/>
                <w:kern w:val="0"/>
                <w:sz w:val="28"/>
                <w:szCs w:val="28"/>
                <w14:textFill>
                  <w14:solidFill>
                    <w14:schemeClr w14:val="tx1"/>
                  </w14:solidFill>
                </w14:textFill>
              </w:rPr>
              <w:t>答：公司重点围绕声学交互，应用落地开展具身智能相关的研发工作。在音频交互端，发挥公司在声学领域积累的技术优势，研发麦克风阵列，语音处理算法等技术，提升语音交互质量。在物理执行端，针对人形机器人本体及零部件的抓取与放置任务，通过海量数据采集、仿真训练、产线验证，将软件算法与硬件结构向结合，提升机器人的动作响应速度与操作精度，加速推进产线应用的落地进程。与行业合作伙伴携手研究具身智能技术的产业机会，探索具身智能技术在制造业工厂的应用机会，为将来产业趋势做好规划与前瞻性开发。</w:t>
            </w:r>
          </w:p>
        </w:tc>
      </w:tr>
      <w:tr w14:paraId="45D27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2547" w:type="dxa"/>
            <w:tcBorders>
              <w:top w:val="single" w:color="auto" w:sz="4" w:space="0"/>
              <w:left w:val="single" w:color="auto" w:sz="4" w:space="0"/>
              <w:bottom w:val="single" w:color="auto" w:sz="4" w:space="0"/>
              <w:right w:val="single" w:color="auto" w:sz="4" w:space="0"/>
            </w:tcBorders>
            <w:vAlign w:val="center"/>
          </w:tcPr>
          <w:p w14:paraId="5E5DF377">
            <w:pPr>
              <w:spacing w:line="500" w:lineRule="exact"/>
              <w:rPr>
                <w:rFonts w:ascii="仿宋" w:hAnsi="仿宋" w:eastAsia="仿宋"/>
                <w:bCs/>
                <w:iCs/>
                <w:color w:val="000000" w:themeColor="text1"/>
                <w:kern w:val="0"/>
                <w:sz w:val="28"/>
                <w:szCs w:val="28"/>
                <w14:textFill>
                  <w14:solidFill>
                    <w14:schemeClr w14:val="tx1"/>
                  </w14:solidFill>
                </w14:textFill>
              </w:rPr>
            </w:pPr>
            <w:r>
              <w:rPr>
                <w:rFonts w:hint="eastAsia" w:ascii="仿宋" w:hAnsi="仿宋" w:eastAsia="仿宋"/>
                <w:bCs/>
                <w:iCs/>
                <w:color w:val="000000" w:themeColor="text1"/>
                <w:kern w:val="0"/>
                <w:sz w:val="28"/>
                <w:szCs w:val="28"/>
                <w14:textFill>
                  <w14:solidFill>
                    <w14:schemeClr w14:val="tx1"/>
                  </w14:solidFill>
                </w14:textFill>
              </w:rPr>
              <w:t>附件清单（如有）</w:t>
            </w:r>
          </w:p>
        </w:tc>
        <w:tc>
          <w:tcPr>
            <w:tcW w:w="7087" w:type="dxa"/>
            <w:tcBorders>
              <w:top w:val="single" w:color="auto" w:sz="4" w:space="0"/>
              <w:left w:val="single" w:color="auto" w:sz="4" w:space="0"/>
              <w:bottom w:val="single" w:color="auto" w:sz="4" w:space="0"/>
              <w:right w:val="single" w:color="auto" w:sz="4" w:space="0"/>
            </w:tcBorders>
            <w:vAlign w:val="center"/>
          </w:tcPr>
          <w:p w14:paraId="5551FFE2">
            <w:pPr>
              <w:spacing w:line="500" w:lineRule="exact"/>
              <w:rPr>
                <w:rFonts w:ascii="仿宋" w:hAnsi="仿宋" w:eastAsia="仿宋"/>
                <w:bCs/>
                <w:iCs/>
                <w:color w:val="000000" w:themeColor="text1"/>
                <w:kern w:val="0"/>
                <w:sz w:val="28"/>
                <w:szCs w:val="28"/>
                <w14:textFill>
                  <w14:solidFill>
                    <w14:schemeClr w14:val="tx1"/>
                  </w14:solidFill>
                </w14:textFill>
              </w:rPr>
            </w:pPr>
          </w:p>
        </w:tc>
      </w:tr>
      <w:tr w14:paraId="21CDA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2547" w:type="dxa"/>
            <w:tcBorders>
              <w:top w:val="single" w:color="auto" w:sz="4" w:space="0"/>
              <w:left w:val="single" w:color="auto" w:sz="4" w:space="0"/>
              <w:bottom w:val="single" w:color="auto" w:sz="4" w:space="0"/>
              <w:right w:val="single" w:color="auto" w:sz="4" w:space="0"/>
            </w:tcBorders>
            <w:vAlign w:val="center"/>
          </w:tcPr>
          <w:p w14:paraId="35503AAF">
            <w:pPr>
              <w:spacing w:line="500" w:lineRule="exact"/>
              <w:rPr>
                <w:rFonts w:ascii="仿宋" w:hAnsi="仿宋" w:eastAsia="仿宋"/>
                <w:bCs/>
                <w:iCs/>
                <w:color w:val="000000" w:themeColor="text1"/>
                <w:kern w:val="0"/>
                <w:sz w:val="28"/>
                <w:szCs w:val="28"/>
                <w14:textFill>
                  <w14:solidFill>
                    <w14:schemeClr w14:val="tx1"/>
                  </w14:solidFill>
                </w14:textFill>
              </w:rPr>
            </w:pPr>
            <w:r>
              <w:rPr>
                <w:rFonts w:hint="eastAsia" w:ascii="仿宋" w:hAnsi="仿宋" w:eastAsia="仿宋"/>
                <w:bCs/>
                <w:iCs/>
                <w:color w:val="000000" w:themeColor="text1"/>
                <w:kern w:val="0"/>
                <w:sz w:val="28"/>
                <w:szCs w:val="28"/>
                <w14:textFill>
                  <w14:solidFill>
                    <w14:schemeClr w14:val="tx1"/>
                  </w14:solidFill>
                </w14:textFill>
              </w:rPr>
              <w:t>日期</w:t>
            </w:r>
          </w:p>
        </w:tc>
        <w:tc>
          <w:tcPr>
            <w:tcW w:w="7087" w:type="dxa"/>
            <w:tcBorders>
              <w:top w:val="single" w:color="auto" w:sz="4" w:space="0"/>
              <w:left w:val="single" w:color="auto" w:sz="4" w:space="0"/>
              <w:bottom w:val="single" w:color="auto" w:sz="4" w:space="0"/>
              <w:right w:val="single" w:color="auto" w:sz="4" w:space="0"/>
            </w:tcBorders>
            <w:vAlign w:val="center"/>
          </w:tcPr>
          <w:p w14:paraId="61E82483">
            <w:pPr>
              <w:spacing w:line="500" w:lineRule="exact"/>
              <w:rPr>
                <w:rFonts w:ascii="仿宋" w:hAnsi="仿宋" w:eastAsia="仿宋"/>
                <w:bCs/>
                <w:iCs/>
                <w:color w:val="000000" w:themeColor="text1"/>
                <w:kern w:val="0"/>
                <w:sz w:val="28"/>
                <w:szCs w:val="28"/>
                <w14:textFill>
                  <w14:solidFill>
                    <w14:schemeClr w14:val="tx1"/>
                  </w14:solidFill>
                </w14:textFill>
              </w:rPr>
            </w:pPr>
            <w:r>
              <w:rPr>
                <w:rFonts w:hint="eastAsia" w:ascii="仿宋" w:hAnsi="仿宋" w:eastAsia="仿宋"/>
                <w:bCs/>
                <w:iCs/>
                <w:color w:val="000000" w:themeColor="text1"/>
                <w:kern w:val="0"/>
                <w:sz w:val="28"/>
                <w:szCs w:val="28"/>
                <w14:textFill>
                  <w14:solidFill>
                    <w14:schemeClr w14:val="tx1"/>
                  </w14:solidFill>
                </w14:textFill>
              </w:rPr>
              <w:t>2026</w:t>
            </w:r>
            <w:r>
              <w:rPr>
                <w:rFonts w:ascii="仿宋" w:hAnsi="仿宋" w:eastAsia="仿宋"/>
                <w:bCs/>
                <w:iCs/>
                <w:color w:val="000000" w:themeColor="text1"/>
                <w:kern w:val="0"/>
                <w:sz w:val="28"/>
                <w:szCs w:val="28"/>
                <w14:textFill>
                  <w14:solidFill>
                    <w14:schemeClr w14:val="tx1"/>
                  </w14:solidFill>
                </w14:textFill>
              </w:rPr>
              <w:t>-</w:t>
            </w:r>
            <w:r>
              <w:rPr>
                <w:rFonts w:hint="eastAsia" w:ascii="仿宋" w:hAnsi="仿宋" w:eastAsia="仿宋"/>
                <w:bCs/>
                <w:iCs/>
                <w:color w:val="000000" w:themeColor="text1"/>
                <w:kern w:val="0"/>
                <w:sz w:val="28"/>
                <w:szCs w:val="28"/>
                <w14:textFill>
                  <w14:solidFill>
                    <w14:schemeClr w14:val="tx1"/>
                  </w14:solidFill>
                </w14:textFill>
              </w:rPr>
              <w:t>09</w:t>
            </w:r>
            <w:r>
              <w:rPr>
                <w:rFonts w:ascii="仿宋" w:hAnsi="仿宋" w:eastAsia="仿宋"/>
                <w:bCs/>
                <w:iCs/>
                <w:color w:val="000000" w:themeColor="text1"/>
                <w:kern w:val="0"/>
                <w:sz w:val="28"/>
                <w:szCs w:val="28"/>
                <w14:textFill>
                  <w14:solidFill>
                    <w14:schemeClr w14:val="tx1"/>
                  </w14:solidFill>
                </w14:textFill>
              </w:rPr>
              <w:t>-</w:t>
            </w:r>
            <w:r>
              <w:rPr>
                <w:rFonts w:hint="eastAsia" w:ascii="仿宋" w:hAnsi="仿宋" w:eastAsia="仿宋"/>
                <w:bCs/>
                <w:iCs/>
                <w:color w:val="000000" w:themeColor="text1"/>
                <w:kern w:val="0"/>
                <w:sz w:val="28"/>
                <w:szCs w:val="28"/>
                <w14:textFill>
                  <w14:solidFill>
                    <w14:schemeClr w14:val="tx1"/>
                  </w14:solidFill>
                </w14:textFill>
              </w:rPr>
              <w:t>15</w:t>
            </w:r>
          </w:p>
        </w:tc>
      </w:tr>
    </w:tbl>
    <w:p w14:paraId="69823869">
      <w:pPr>
        <w:keepNext w:val="0"/>
        <w:keepLines w:val="0"/>
        <w:pageBreakBefore w:val="0"/>
        <w:widowControl w:val="0"/>
        <w:kinsoku/>
        <w:wordWrap/>
        <w:overflowPunct/>
        <w:topLinePunct w:val="0"/>
        <w:autoSpaceDE/>
        <w:autoSpaceDN/>
        <w:bidi w:val="0"/>
        <w:adjustRightInd/>
        <w:snapToGrid/>
        <w:spacing w:line="180" w:lineRule="exact"/>
        <w:textAlignment w:val="auto"/>
        <w:rPr>
          <w:rFonts w:ascii="仿宋" w:hAnsi="仿宋" w:eastAsia="仿宋"/>
          <w:color w:val="000000" w:themeColor="text1"/>
          <w:sz w:val="28"/>
          <w:szCs w:val="28"/>
          <w14:textFill>
            <w14:solidFill>
              <w14:schemeClr w14:val="tx1"/>
            </w14:solidFill>
          </w14:textFill>
        </w:rPr>
      </w:pPr>
    </w:p>
    <w:sectPr>
      <w:pgSz w:w="11906" w:h="16838"/>
      <w:pgMar w:top="1440" w:right="1797" w:bottom="1318"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 w:name="仿宋_GB2312">
    <w:panose1 w:val="02010609030101010101"/>
    <w:charset w:val="86"/>
    <w:family w:val="modern"/>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3B8A"/>
    <w:rsid w:val="00001E6B"/>
    <w:rsid w:val="00013D94"/>
    <w:rsid w:val="00016959"/>
    <w:rsid w:val="00017CF8"/>
    <w:rsid w:val="00020396"/>
    <w:rsid w:val="000210EA"/>
    <w:rsid w:val="00024D9A"/>
    <w:rsid w:val="00032471"/>
    <w:rsid w:val="00032CD5"/>
    <w:rsid w:val="00035ABE"/>
    <w:rsid w:val="000423E8"/>
    <w:rsid w:val="0004369B"/>
    <w:rsid w:val="00051654"/>
    <w:rsid w:val="00057272"/>
    <w:rsid w:val="00057675"/>
    <w:rsid w:val="00057A3A"/>
    <w:rsid w:val="00062FEC"/>
    <w:rsid w:val="00066918"/>
    <w:rsid w:val="00066FA1"/>
    <w:rsid w:val="00071026"/>
    <w:rsid w:val="00071C7C"/>
    <w:rsid w:val="00072F2A"/>
    <w:rsid w:val="0007327C"/>
    <w:rsid w:val="0007627B"/>
    <w:rsid w:val="0007707C"/>
    <w:rsid w:val="000771F0"/>
    <w:rsid w:val="00080909"/>
    <w:rsid w:val="00082DB8"/>
    <w:rsid w:val="00087F56"/>
    <w:rsid w:val="00090234"/>
    <w:rsid w:val="00090DF0"/>
    <w:rsid w:val="000973F6"/>
    <w:rsid w:val="000A37FB"/>
    <w:rsid w:val="000A554C"/>
    <w:rsid w:val="000C0BC1"/>
    <w:rsid w:val="000C4C16"/>
    <w:rsid w:val="000C4C6E"/>
    <w:rsid w:val="000C7338"/>
    <w:rsid w:val="000D1C9A"/>
    <w:rsid w:val="000D2571"/>
    <w:rsid w:val="000D2976"/>
    <w:rsid w:val="000D5B23"/>
    <w:rsid w:val="000E18F9"/>
    <w:rsid w:val="000E2F21"/>
    <w:rsid w:val="000E4AF9"/>
    <w:rsid w:val="000E62A8"/>
    <w:rsid w:val="000E71F5"/>
    <w:rsid w:val="000E76B8"/>
    <w:rsid w:val="000F1C6D"/>
    <w:rsid w:val="000F3EBB"/>
    <w:rsid w:val="000F52CF"/>
    <w:rsid w:val="000F64CE"/>
    <w:rsid w:val="000F6676"/>
    <w:rsid w:val="001010F0"/>
    <w:rsid w:val="00101554"/>
    <w:rsid w:val="00105935"/>
    <w:rsid w:val="00105F89"/>
    <w:rsid w:val="00106AFE"/>
    <w:rsid w:val="00107673"/>
    <w:rsid w:val="00107C6B"/>
    <w:rsid w:val="001108D0"/>
    <w:rsid w:val="00110C5C"/>
    <w:rsid w:val="001128EB"/>
    <w:rsid w:val="00114924"/>
    <w:rsid w:val="00115AC7"/>
    <w:rsid w:val="00120C61"/>
    <w:rsid w:val="00122B94"/>
    <w:rsid w:val="00125576"/>
    <w:rsid w:val="00126444"/>
    <w:rsid w:val="0012778E"/>
    <w:rsid w:val="00130C7E"/>
    <w:rsid w:val="001348BF"/>
    <w:rsid w:val="00142F43"/>
    <w:rsid w:val="00150BB1"/>
    <w:rsid w:val="001551B5"/>
    <w:rsid w:val="00155C3D"/>
    <w:rsid w:val="00156244"/>
    <w:rsid w:val="00157D47"/>
    <w:rsid w:val="00157FAB"/>
    <w:rsid w:val="0016029F"/>
    <w:rsid w:val="0016617A"/>
    <w:rsid w:val="00167DF3"/>
    <w:rsid w:val="00170C1E"/>
    <w:rsid w:val="00172156"/>
    <w:rsid w:val="00172B3B"/>
    <w:rsid w:val="00174F39"/>
    <w:rsid w:val="00177A78"/>
    <w:rsid w:val="00177C61"/>
    <w:rsid w:val="00180C28"/>
    <w:rsid w:val="00181195"/>
    <w:rsid w:val="0018134E"/>
    <w:rsid w:val="0019029D"/>
    <w:rsid w:val="00190687"/>
    <w:rsid w:val="001906DB"/>
    <w:rsid w:val="00191A43"/>
    <w:rsid w:val="001935DC"/>
    <w:rsid w:val="00194553"/>
    <w:rsid w:val="00196BA0"/>
    <w:rsid w:val="00197D0D"/>
    <w:rsid w:val="001A002F"/>
    <w:rsid w:val="001A0230"/>
    <w:rsid w:val="001A07AE"/>
    <w:rsid w:val="001A242A"/>
    <w:rsid w:val="001A31CA"/>
    <w:rsid w:val="001A3584"/>
    <w:rsid w:val="001A7825"/>
    <w:rsid w:val="001B2202"/>
    <w:rsid w:val="001B2299"/>
    <w:rsid w:val="001B3CCD"/>
    <w:rsid w:val="001C3656"/>
    <w:rsid w:val="001C3821"/>
    <w:rsid w:val="001C5B3C"/>
    <w:rsid w:val="001C5BD3"/>
    <w:rsid w:val="001D14D4"/>
    <w:rsid w:val="001D15AD"/>
    <w:rsid w:val="001D4087"/>
    <w:rsid w:val="001D5DBA"/>
    <w:rsid w:val="001D7ECE"/>
    <w:rsid w:val="001E2945"/>
    <w:rsid w:val="001E58BB"/>
    <w:rsid w:val="001E661E"/>
    <w:rsid w:val="001E77C9"/>
    <w:rsid w:val="001F193B"/>
    <w:rsid w:val="001F7474"/>
    <w:rsid w:val="0020143D"/>
    <w:rsid w:val="002063BD"/>
    <w:rsid w:val="00206DB1"/>
    <w:rsid w:val="0020788C"/>
    <w:rsid w:val="00210728"/>
    <w:rsid w:val="002134C3"/>
    <w:rsid w:val="00214482"/>
    <w:rsid w:val="00216120"/>
    <w:rsid w:val="0022161F"/>
    <w:rsid w:val="00223A49"/>
    <w:rsid w:val="00224463"/>
    <w:rsid w:val="002273AC"/>
    <w:rsid w:val="00227412"/>
    <w:rsid w:val="00227AB8"/>
    <w:rsid w:val="0023169E"/>
    <w:rsid w:val="00231F23"/>
    <w:rsid w:val="00232B0A"/>
    <w:rsid w:val="0023479D"/>
    <w:rsid w:val="002354F5"/>
    <w:rsid w:val="00236D72"/>
    <w:rsid w:val="002375C6"/>
    <w:rsid w:val="00240FF5"/>
    <w:rsid w:val="00242F05"/>
    <w:rsid w:val="00243A7D"/>
    <w:rsid w:val="00246123"/>
    <w:rsid w:val="00247B3B"/>
    <w:rsid w:val="00253399"/>
    <w:rsid w:val="002537D2"/>
    <w:rsid w:val="0025385E"/>
    <w:rsid w:val="00256D81"/>
    <w:rsid w:val="002575E1"/>
    <w:rsid w:val="002614B2"/>
    <w:rsid w:val="00262A35"/>
    <w:rsid w:val="00265754"/>
    <w:rsid w:val="00267CC7"/>
    <w:rsid w:val="002708CF"/>
    <w:rsid w:val="0027481F"/>
    <w:rsid w:val="00274B8F"/>
    <w:rsid w:val="0027714B"/>
    <w:rsid w:val="00277660"/>
    <w:rsid w:val="00281536"/>
    <w:rsid w:val="002823FD"/>
    <w:rsid w:val="002836D9"/>
    <w:rsid w:val="00283BD9"/>
    <w:rsid w:val="002854AA"/>
    <w:rsid w:val="00286D84"/>
    <w:rsid w:val="00292726"/>
    <w:rsid w:val="00296DF8"/>
    <w:rsid w:val="002A67ED"/>
    <w:rsid w:val="002A732F"/>
    <w:rsid w:val="002B1BB6"/>
    <w:rsid w:val="002B4414"/>
    <w:rsid w:val="002B4F67"/>
    <w:rsid w:val="002B669B"/>
    <w:rsid w:val="002C04FF"/>
    <w:rsid w:val="002C09E6"/>
    <w:rsid w:val="002C6E8D"/>
    <w:rsid w:val="002D123C"/>
    <w:rsid w:val="002D18EA"/>
    <w:rsid w:val="002D2791"/>
    <w:rsid w:val="002D3549"/>
    <w:rsid w:val="002D4B87"/>
    <w:rsid w:val="002E1090"/>
    <w:rsid w:val="002E15C7"/>
    <w:rsid w:val="002E19E4"/>
    <w:rsid w:val="002E1DBA"/>
    <w:rsid w:val="002F0474"/>
    <w:rsid w:val="002F0F9B"/>
    <w:rsid w:val="002F28B5"/>
    <w:rsid w:val="002F4516"/>
    <w:rsid w:val="002F6F18"/>
    <w:rsid w:val="00300452"/>
    <w:rsid w:val="003017A7"/>
    <w:rsid w:val="00301A10"/>
    <w:rsid w:val="00304D3C"/>
    <w:rsid w:val="00316CA6"/>
    <w:rsid w:val="00321AA8"/>
    <w:rsid w:val="00323679"/>
    <w:rsid w:val="00330F29"/>
    <w:rsid w:val="003320C6"/>
    <w:rsid w:val="0034103B"/>
    <w:rsid w:val="00343691"/>
    <w:rsid w:val="00346357"/>
    <w:rsid w:val="00346FAD"/>
    <w:rsid w:val="00350089"/>
    <w:rsid w:val="00352D50"/>
    <w:rsid w:val="00353D08"/>
    <w:rsid w:val="00355AF2"/>
    <w:rsid w:val="00356CD7"/>
    <w:rsid w:val="003572E7"/>
    <w:rsid w:val="003608E5"/>
    <w:rsid w:val="003617C0"/>
    <w:rsid w:val="003619DE"/>
    <w:rsid w:val="00362EB5"/>
    <w:rsid w:val="00365962"/>
    <w:rsid w:val="003659A0"/>
    <w:rsid w:val="0036784A"/>
    <w:rsid w:val="003707B2"/>
    <w:rsid w:val="00370B2A"/>
    <w:rsid w:val="00370CD0"/>
    <w:rsid w:val="003740C1"/>
    <w:rsid w:val="00374811"/>
    <w:rsid w:val="00374B8E"/>
    <w:rsid w:val="00380D1E"/>
    <w:rsid w:val="00382AB7"/>
    <w:rsid w:val="003832C4"/>
    <w:rsid w:val="003843A0"/>
    <w:rsid w:val="00384766"/>
    <w:rsid w:val="00386475"/>
    <w:rsid w:val="00386984"/>
    <w:rsid w:val="00387FD6"/>
    <w:rsid w:val="0039022F"/>
    <w:rsid w:val="003913B9"/>
    <w:rsid w:val="00391D18"/>
    <w:rsid w:val="00395E0B"/>
    <w:rsid w:val="003A1112"/>
    <w:rsid w:val="003A2F6F"/>
    <w:rsid w:val="003A3224"/>
    <w:rsid w:val="003A345D"/>
    <w:rsid w:val="003A3D34"/>
    <w:rsid w:val="003A3E3D"/>
    <w:rsid w:val="003A49F6"/>
    <w:rsid w:val="003A7A09"/>
    <w:rsid w:val="003B361D"/>
    <w:rsid w:val="003B526E"/>
    <w:rsid w:val="003B5B73"/>
    <w:rsid w:val="003C4948"/>
    <w:rsid w:val="003D0144"/>
    <w:rsid w:val="003D2352"/>
    <w:rsid w:val="003D3F7A"/>
    <w:rsid w:val="003D6799"/>
    <w:rsid w:val="003E2EDE"/>
    <w:rsid w:val="003E39FE"/>
    <w:rsid w:val="003E78F1"/>
    <w:rsid w:val="003E79F5"/>
    <w:rsid w:val="003E7A8B"/>
    <w:rsid w:val="003F1153"/>
    <w:rsid w:val="003F16AF"/>
    <w:rsid w:val="003F1EFA"/>
    <w:rsid w:val="003F219C"/>
    <w:rsid w:val="003F3224"/>
    <w:rsid w:val="00402382"/>
    <w:rsid w:val="0040515D"/>
    <w:rsid w:val="004056EC"/>
    <w:rsid w:val="004131A5"/>
    <w:rsid w:val="00413396"/>
    <w:rsid w:val="00421565"/>
    <w:rsid w:val="00422422"/>
    <w:rsid w:val="004233C6"/>
    <w:rsid w:val="00425572"/>
    <w:rsid w:val="00433B8A"/>
    <w:rsid w:val="004346C2"/>
    <w:rsid w:val="00440077"/>
    <w:rsid w:val="004409AA"/>
    <w:rsid w:val="0044252B"/>
    <w:rsid w:val="00442A95"/>
    <w:rsid w:val="00442C5C"/>
    <w:rsid w:val="00444FF2"/>
    <w:rsid w:val="00445B3B"/>
    <w:rsid w:val="004468EB"/>
    <w:rsid w:val="00446D80"/>
    <w:rsid w:val="00452B88"/>
    <w:rsid w:val="004541A5"/>
    <w:rsid w:val="004549D1"/>
    <w:rsid w:val="004554AE"/>
    <w:rsid w:val="00466E73"/>
    <w:rsid w:val="00467101"/>
    <w:rsid w:val="004677D1"/>
    <w:rsid w:val="00471412"/>
    <w:rsid w:val="00471C9C"/>
    <w:rsid w:val="00472655"/>
    <w:rsid w:val="00472D06"/>
    <w:rsid w:val="0047467F"/>
    <w:rsid w:val="00481E7A"/>
    <w:rsid w:val="00482E79"/>
    <w:rsid w:val="00485320"/>
    <w:rsid w:val="0048625E"/>
    <w:rsid w:val="00486D89"/>
    <w:rsid w:val="00490F0C"/>
    <w:rsid w:val="004919D5"/>
    <w:rsid w:val="0049241D"/>
    <w:rsid w:val="00493D89"/>
    <w:rsid w:val="00493FE8"/>
    <w:rsid w:val="0049726A"/>
    <w:rsid w:val="004A0952"/>
    <w:rsid w:val="004A1709"/>
    <w:rsid w:val="004B0BD7"/>
    <w:rsid w:val="004B4348"/>
    <w:rsid w:val="004B49B5"/>
    <w:rsid w:val="004B5E53"/>
    <w:rsid w:val="004C0D1F"/>
    <w:rsid w:val="004C68EA"/>
    <w:rsid w:val="004D1262"/>
    <w:rsid w:val="004D26D4"/>
    <w:rsid w:val="004D41B6"/>
    <w:rsid w:val="004D612D"/>
    <w:rsid w:val="004E076F"/>
    <w:rsid w:val="004E56C3"/>
    <w:rsid w:val="004E6240"/>
    <w:rsid w:val="004E7605"/>
    <w:rsid w:val="004F269C"/>
    <w:rsid w:val="005034DE"/>
    <w:rsid w:val="005052FB"/>
    <w:rsid w:val="00515B01"/>
    <w:rsid w:val="005273E6"/>
    <w:rsid w:val="00527E81"/>
    <w:rsid w:val="00531CF4"/>
    <w:rsid w:val="005405CE"/>
    <w:rsid w:val="00541EEA"/>
    <w:rsid w:val="0054217F"/>
    <w:rsid w:val="005449A0"/>
    <w:rsid w:val="00544BC4"/>
    <w:rsid w:val="00553044"/>
    <w:rsid w:val="005530AB"/>
    <w:rsid w:val="00553A73"/>
    <w:rsid w:val="0056073D"/>
    <w:rsid w:val="00562ADA"/>
    <w:rsid w:val="00565BB3"/>
    <w:rsid w:val="00572327"/>
    <w:rsid w:val="00572712"/>
    <w:rsid w:val="00574153"/>
    <w:rsid w:val="005743B6"/>
    <w:rsid w:val="005752D8"/>
    <w:rsid w:val="005803B5"/>
    <w:rsid w:val="005830F0"/>
    <w:rsid w:val="0058421D"/>
    <w:rsid w:val="0059106A"/>
    <w:rsid w:val="00591DF0"/>
    <w:rsid w:val="00597ED0"/>
    <w:rsid w:val="005A0BE5"/>
    <w:rsid w:val="005A6F0F"/>
    <w:rsid w:val="005A7285"/>
    <w:rsid w:val="005A77F4"/>
    <w:rsid w:val="005B2402"/>
    <w:rsid w:val="005B2F41"/>
    <w:rsid w:val="005B5644"/>
    <w:rsid w:val="005C1006"/>
    <w:rsid w:val="005C36E7"/>
    <w:rsid w:val="005C5B74"/>
    <w:rsid w:val="005C74A0"/>
    <w:rsid w:val="005D10C0"/>
    <w:rsid w:val="005D5070"/>
    <w:rsid w:val="005D7A66"/>
    <w:rsid w:val="005D7EEF"/>
    <w:rsid w:val="005E00B9"/>
    <w:rsid w:val="005E0101"/>
    <w:rsid w:val="005E30FB"/>
    <w:rsid w:val="005E5975"/>
    <w:rsid w:val="005E6F0B"/>
    <w:rsid w:val="005E7201"/>
    <w:rsid w:val="005E73DF"/>
    <w:rsid w:val="005E78C4"/>
    <w:rsid w:val="005E7A0E"/>
    <w:rsid w:val="005F0BAB"/>
    <w:rsid w:val="005F4071"/>
    <w:rsid w:val="005F574C"/>
    <w:rsid w:val="00601246"/>
    <w:rsid w:val="0060293D"/>
    <w:rsid w:val="0060311F"/>
    <w:rsid w:val="00604015"/>
    <w:rsid w:val="006061FE"/>
    <w:rsid w:val="00606AFA"/>
    <w:rsid w:val="00606DD6"/>
    <w:rsid w:val="00607462"/>
    <w:rsid w:val="00611F92"/>
    <w:rsid w:val="00613D44"/>
    <w:rsid w:val="00613E45"/>
    <w:rsid w:val="0061567F"/>
    <w:rsid w:val="00622FEC"/>
    <w:rsid w:val="0062496A"/>
    <w:rsid w:val="00626034"/>
    <w:rsid w:val="00627ECE"/>
    <w:rsid w:val="0063152D"/>
    <w:rsid w:val="006331D1"/>
    <w:rsid w:val="00634C22"/>
    <w:rsid w:val="00636546"/>
    <w:rsid w:val="00637F7C"/>
    <w:rsid w:val="00640CDA"/>
    <w:rsid w:val="00640EF6"/>
    <w:rsid w:val="006458F7"/>
    <w:rsid w:val="00646929"/>
    <w:rsid w:val="00651CF0"/>
    <w:rsid w:val="0065330E"/>
    <w:rsid w:val="006535A1"/>
    <w:rsid w:val="00653926"/>
    <w:rsid w:val="00657689"/>
    <w:rsid w:val="00661298"/>
    <w:rsid w:val="00661C99"/>
    <w:rsid w:val="00661FED"/>
    <w:rsid w:val="006635E5"/>
    <w:rsid w:val="00664697"/>
    <w:rsid w:val="00666BBD"/>
    <w:rsid w:val="00673BDC"/>
    <w:rsid w:val="0067584F"/>
    <w:rsid w:val="00676EC1"/>
    <w:rsid w:val="006777F2"/>
    <w:rsid w:val="006801D2"/>
    <w:rsid w:val="0068522A"/>
    <w:rsid w:val="0068636C"/>
    <w:rsid w:val="00690310"/>
    <w:rsid w:val="00692D43"/>
    <w:rsid w:val="006A03A2"/>
    <w:rsid w:val="006A2D99"/>
    <w:rsid w:val="006B28B6"/>
    <w:rsid w:val="006B4687"/>
    <w:rsid w:val="006B6ED4"/>
    <w:rsid w:val="006B7184"/>
    <w:rsid w:val="006C1BC1"/>
    <w:rsid w:val="006C1C73"/>
    <w:rsid w:val="006C339D"/>
    <w:rsid w:val="006C460F"/>
    <w:rsid w:val="006C4F65"/>
    <w:rsid w:val="006D5AC0"/>
    <w:rsid w:val="006D6185"/>
    <w:rsid w:val="006D6C07"/>
    <w:rsid w:val="006E3603"/>
    <w:rsid w:val="006E3B43"/>
    <w:rsid w:val="006E5A33"/>
    <w:rsid w:val="006E69C0"/>
    <w:rsid w:val="006F047F"/>
    <w:rsid w:val="006F1796"/>
    <w:rsid w:val="006F4FD1"/>
    <w:rsid w:val="00701347"/>
    <w:rsid w:val="00705B01"/>
    <w:rsid w:val="007078C9"/>
    <w:rsid w:val="007113BE"/>
    <w:rsid w:val="00716D3B"/>
    <w:rsid w:val="00725946"/>
    <w:rsid w:val="00727E3E"/>
    <w:rsid w:val="00730AFF"/>
    <w:rsid w:val="0073552B"/>
    <w:rsid w:val="00735552"/>
    <w:rsid w:val="007420B5"/>
    <w:rsid w:val="00745CB3"/>
    <w:rsid w:val="00750269"/>
    <w:rsid w:val="0075026A"/>
    <w:rsid w:val="0075479A"/>
    <w:rsid w:val="00756139"/>
    <w:rsid w:val="007573DA"/>
    <w:rsid w:val="00757CA1"/>
    <w:rsid w:val="00761744"/>
    <w:rsid w:val="00761B3C"/>
    <w:rsid w:val="00761D8C"/>
    <w:rsid w:val="0076423D"/>
    <w:rsid w:val="00767C60"/>
    <w:rsid w:val="00770476"/>
    <w:rsid w:val="00773ED8"/>
    <w:rsid w:val="007746F0"/>
    <w:rsid w:val="00774865"/>
    <w:rsid w:val="00775805"/>
    <w:rsid w:val="007915D0"/>
    <w:rsid w:val="0079224B"/>
    <w:rsid w:val="00792CE2"/>
    <w:rsid w:val="00793E18"/>
    <w:rsid w:val="007A08A8"/>
    <w:rsid w:val="007A0BE9"/>
    <w:rsid w:val="007B016C"/>
    <w:rsid w:val="007B03A0"/>
    <w:rsid w:val="007B25E9"/>
    <w:rsid w:val="007B5F9B"/>
    <w:rsid w:val="007B6B0D"/>
    <w:rsid w:val="007B6B15"/>
    <w:rsid w:val="007C2A30"/>
    <w:rsid w:val="007C422D"/>
    <w:rsid w:val="007C47A7"/>
    <w:rsid w:val="007D0A07"/>
    <w:rsid w:val="007D38C4"/>
    <w:rsid w:val="007D3B09"/>
    <w:rsid w:val="007D44FB"/>
    <w:rsid w:val="007D58B3"/>
    <w:rsid w:val="007D5E59"/>
    <w:rsid w:val="007D7F56"/>
    <w:rsid w:val="007E05DD"/>
    <w:rsid w:val="007E2790"/>
    <w:rsid w:val="007E513C"/>
    <w:rsid w:val="007E52EC"/>
    <w:rsid w:val="007E78ED"/>
    <w:rsid w:val="007F096B"/>
    <w:rsid w:val="007F0A6D"/>
    <w:rsid w:val="007F3CD8"/>
    <w:rsid w:val="007F4175"/>
    <w:rsid w:val="007F435C"/>
    <w:rsid w:val="007F514B"/>
    <w:rsid w:val="007F5EC5"/>
    <w:rsid w:val="00801FA2"/>
    <w:rsid w:val="00805970"/>
    <w:rsid w:val="008062F3"/>
    <w:rsid w:val="00810869"/>
    <w:rsid w:val="00810DAF"/>
    <w:rsid w:val="00811A89"/>
    <w:rsid w:val="008208F7"/>
    <w:rsid w:val="00821221"/>
    <w:rsid w:val="00824099"/>
    <w:rsid w:val="0082475C"/>
    <w:rsid w:val="0082579C"/>
    <w:rsid w:val="0082589D"/>
    <w:rsid w:val="0083077E"/>
    <w:rsid w:val="00831078"/>
    <w:rsid w:val="00832401"/>
    <w:rsid w:val="0083420E"/>
    <w:rsid w:val="008444A2"/>
    <w:rsid w:val="008450DD"/>
    <w:rsid w:val="008459C4"/>
    <w:rsid w:val="00846E66"/>
    <w:rsid w:val="00856D66"/>
    <w:rsid w:val="00856DD6"/>
    <w:rsid w:val="00861BD7"/>
    <w:rsid w:val="00861D49"/>
    <w:rsid w:val="00862BED"/>
    <w:rsid w:val="00863009"/>
    <w:rsid w:val="0086543C"/>
    <w:rsid w:val="00866C08"/>
    <w:rsid w:val="00871D34"/>
    <w:rsid w:val="0087501A"/>
    <w:rsid w:val="00877CFE"/>
    <w:rsid w:val="008843A0"/>
    <w:rsid w:val="00885B29"/>
    <w:rsid w:val="0089133A"/>
    <w:rsid w:val="00895429"/>
    <w:rsid w:val="00895E0B"/>
    <w:rsid w:val="008A1BC6"/>
    <w:rsid w:val="008A22DD"/>
    <w:rsid w:val="008A26AB"/>
    <w:rsid w:val="008A490A"/>
    <w:rsid w:val="008A598F"/>
    <w:rsid w:val="008B09B7"/>
    <w:rsid w:val="008B370C"/>
    <w:rsid w:val="008B411C"/>
    <w:rsid w:val="008B71A1"/>
    <w:rsid w:val="008C00C5"/>
    <w:rsid w:val="008C52F7"/>
    <w:rsid w:val="008C7232"/>
    <w:rsid w:val="008D01A4"/>
    <w:rsid w:val="008D35A5"/>
    <w:rsid w:val="008D5FD0"/>
    <w:rsid w:val="008D6591"/>
    <w:rsid w:val="008E0655"/>
    <w:rsid w:val="008E0BF6"/>
    <w:rsid w:val="008E2A2E"/>
    <w:rsid w:val="008E56A4"/>
    <w:rsid w:val="008E5EA0"/>
    <w:rsid w:val="008F0321"/>
    <w:rsid w:val="008F1476"/>
    <w:rsid w:val="008F4229"/>
    <w:rsid w:val="0090039D"/>
    <w:rsid w:val="00901433"/>
    <w:rsid w:val="009033BF"/>
    <w:rsid w:val="00906B78"/>
    <w:rsid w:val="00913249"/>
    <w:rsid w:val="0091644A"/>
    <w:rsid w:val="00917A5F"/>
    <w:rsid w:val="009200EF"/>
    <w:rsid w:val="00923258"/>
    <w:rsid w:val="00924BE6"/>
    <w:rsid w:val="009266E6"/>
    <w:rsid w:val="00926707"/>
    <w:rsid w:val="0093046B"/>
    <w:rsid w:val="00933E85"/>
    <w:rsid w:val="00936241"/>
    <w:rsid w:val="0093779A"/>
    <w:rsid w:val="00937BE2"/>
    <w:rsid w:val="00942D5B"/>
    <w:rsid w:val="00947536"/>
    <w:rsid w:val="00951ECC"/>
    <w:rsid w:val="00956680"/>
    <w:rsid w:val="00956D6E"/>
    <w:rsid w:val="00967725"/>
    <w:rsid w:val="00967EDA"/>
    <w:rsid w:val="009702A3"/>
    <w:rsid w:val="0097782F"/>
    <w:rsid w:val="00977D70"/>
    <w:rsid w:val="00981809"/>
    <w:rsid w:val="0098435F"/>
    <w:rsid w:val="00984405"/>
    <w:rsid w:val="00984919"/>
    <w:rsid w:val="00985E13"/>
    <w:rsid w:val="0099211D"/>
    <w:rsid w:val="00993899"/>
    <w:rsid w:val="00994BA3"/>
    <w:rsid w:val="00997220"/>
    <w:rsid w:val="009A1D07"/>
    <w:rsid w:val="009A5605"/>
    <w:rsid w:val="009A64E0"/>
    <w:rsid w:val="009B056F"/>
    <w:rsid w:val="009B2328"/>
    <w:rsid w:val="009B53B3"/>
    <w:rsid w:val="009B5E02"/>
    <w:rsid w:val="009B6966"/>
    <w:rsid w:val="009C0C8D"/>
    <w:rsid w:val="009C1336"/>
    <w:rsid w:val="009C3B5A"/>
    <w:rsid w:val="009D0AE0"/>
    <w:rsid w:val="009D2DBF"/>
    <w:rsid w:val="009D4BE6"/>
    <w:rsid w:val="009D6549"/>
    <w:rsid w:val="009E132C"/>
    <w:rsid w:val="009E1BA3"/>
    <w:rsid w:val="009E58A2"/>
    <w:rsid w:val="009E59A9"/>
    <w:rsid w:val="009F0631"/>
    <w:rsid w:val="009F35E0"/>
    <w:rsid w:val="009F3B10"/>
    <w:rsid w:val="009F5577"/>
    <w:rsid w:val="009F6B54"/>
    <w:rsid w:val="009F6E2B"/>
    <w:rsid w:val="00A00462"/>
    <w:rsid w:val="00A00EC7"/>
    <w:rsid w:val="00A011A8"/>
    <w:rsid w:val="00A03098"/>
    <w:rsid w:val="00A05973"/>
    <w:rsid w:val="00A07568"/>
    <w:rsid w:val="00A10273"/>
    <w:rsid w:val="00A10DC2"/>
    <w:rsid w:val="00A12231"/>
    <w:rsid w:val="00A17A8F"/>
    <w:rsid w:val="00A22F67"/>
    <w:rsid w:val="00A23B19"/>
    <w:rsid w:val="00A2515C"/>
    <w:rsid w:val="00A25357"/>
    <w:rsid w:val="00A25CB7"/>
    <w:rsid w:val="00A264AF"/>
    <w:rsid w:val="00A337A0"/>
    <w:rsid w:val="00A33B39"/>
    <w:rsid w:val="00A35941"/>
    <w:rsid w:val="00A371DE"/>
    <w:rsid w:val="00A43A76"/>
    <w:rsid w:val="00A44E09"/>
    <w:rsid w:val="00A52AC3"/>
    <w:rsid w:val="00A55A65"/>
    <w:rsid w:val="00A57A18"/>
    <w:rsid w:val="00A60EDB"/>
    <w:rsid w:val="00A60F7E"/>
    <w:rsid w:val="00A6109E"/>
    <w:rsid w:val="00A63CF6"/>
    <w:rsid w:val="00A63D3F"/>
    <w:rsid w:val="00A651AA"/>
    <w:rsid w:val="00A654E5"/>
    <w:rsid w:val="00A672E2"/>
    <w:rsid w:val="00A72692"/>
    <w:rsid w:val="00A74F6E"/>
    <w:rsid w:val="00A750F7"/>
    <w:rsid w:val="00A84114"/>
    <w:rsid w:val="00A85B06"/>
    <w:rsid w:val="00A86C3C"/>
    <w:rsid w:val="00A87581"/>
    <w:rsid w:val="00A90741"/>
    <w:rsid w:val="00A91008"/>
    <w:rsid w:val="00A92895"/>
    <w:rsid w:val="00A93930"/>
    <w:rsid w:val="00A95A13"/>
    <w:rsid w:val="00A95FEE"/>
    <w:rsid w:val="00A9640E"/>
    <w:rsid w:val="00A973AC"/>
    <w:rsid w:val="00A97981"/>
    <w:rsid w:val="00AA0CFA"/>
    <w:rsid w:val="00AA0D60"/>
    <w:rsid w:val="00AA28E7"/>
    <w:rsid w:val="00AA2B50"/>
    <w:rsid w:val="00AA5305"/>
    <w:rsid w:val="00AA645B"/>
    <w:rsid w:val="00AB2677"/>
    <w:rsid w:val="00AB3332"/>
    <w:rsid w:val="00AB47D7"/>
    <w:rsid w:val="00AB491C"/>
    <w:rsid w:val="00AC02B5"/>
    <w:rsid w:val="00AC2C7A"/>
    <w:rsid w:val="00AC3B29"/>
    <w:rsid w:val="00AC3BF0"/>
    <w:rsid w:val="00AC4BBD"/>
    <w:rsid w:val="00AC52FB"/>
    <w:rsid w:val="00AC6690"/>
    <w:rsid w:val="00AC6A71"/>
    <w:rsid w:val="00AD04F1"/>
    <w:rsid w:val="00AD54ED"/>
    <w:rsid w:val="00AD65B6"/>
    <w:rsid w:val="00AE3D4A"/>
    <w:rsid w:val="00AE4A25"/>
    <w:rsid w:val="00AF3CAB"/>
    <w:rsid w:val="00AF5215"/>
    <w:rsid w:val="00AF55CE"/>
    <w:rsid w:val="00AF5BE0"/>
    <w:rsid w:val="00AF626F"/>
    <w:rsid w:val="00B02C6D"/>
    <w:rsid w:val="00B043A8"/>
    <w:rsid w:val="00B06644"/>
    <w:rsid w:val="00B06916"/>
    <w:rsid w:val="00B0703B"/>
    <w:rsid w:val="00B105AE"/>
    <w:rsid w:val="00B10A74"/>
    <w:rsid w:val="00B13CDA"/>
    <w:rsid w:val="00B16D1D"/>
    <w:rsid w:val="00B24BAE"/>
    <w:rsid w:val="00B276A0"/>
    <w:rsid w:val="00B317E2"/>
    <w:rsid w:val="00B34B38"/>
    <w:rsid w:val="00B3758C"/>
    <w:rsid w:val="00B52A92"/>
    <w:rsid w:val="00B52FCE"/>
    <w:rsid w:val="00B53644"/>
    <w:rsid w:val="00B55FAC"/>
    <w:rsid w:val="00B60805"/>
    <w:rsid w:val="00B65B68"/>
    <w:rsid w:val="00B71EA8"/>
    <w:rsid w:val="00B7243C"/>
    <w:rsid w:val="00B804A2"/>
    <w:rsid w:val="00B811DD"/>
    <w:rsid w:val="00B8282F"/>
    <w:rsid w:val="00B831B0"/>
    <w:rsid w:val="00B90A0E"/>
    <w:rsid w:val="00B92D31"/>
    <w:rsid w:val="00B937EA"/>
    <w:rsid w:val="00B95EFB"/>
    <w:rsid w:val="00BA24DB"/>
    <w:rsid w:val="00BA29C1"/>
    <w:rsid w:val="00BA339B"/>
    <w:rsid w:val="00BA3AAF"/>
    <w:rsid w:val="00BA5B76"/>
    <w:rsid w:val="00BB3326"/>
    <w:rsid w:val="00BB378C"/>
    <w:rsid w:val="00BB4372"/>
    <w:rsid w:val="00BB4AA4"/>
    <w:rsid w:val="00BB4E1A"/>
    <w:rsid w:val="00BC689F"/>
    <w:rsid w:val="00BD083E"/>
    <w:rsid w:val="00BD1800"/>
    <w:rsid w:val="00BD3129"/>
    <w:rsid w:val="00BD4529"/>
    <w:rsid w:val="00BD4687"/>
    <w:rsid w:val="00BD5573"/>
    <w:rsid w:val="00BD5744"/>
    <w:rsid w:val="00BE2B98"/>
    <w:rsid w:val="00BE38B0"/>
    <w:rsid w:val="00BE7582"/>
    <w:rsid w:val="00BE75CB"/>
    <w:rsid w:val="00BF4186"/>
    <w:rsid w:val="00BF4DDB"/>
    <w:rsid w:val="00BF5066"/>
    <w:rsid w:val="00BF63B8"/>
    <w:rsid w:val="00C017E5"/>
    <w:rsid w:val="00C02E3C"/>
    <w:rsid w:val="00C03B53"/>
    <w:rsid w:val="00C0660B"/>
    <w:rsid w:val="00C10834"/>
    <w:rsid w:val="00C13A0D"/>
    <w:rsid w:val="00C145FE"/>
    <w:rsid w:val="00C14655"/>
    <w:rsid w:val="00C16E4E"/>
    <w:rsid w:val="00C20EBA"/>
    <w:rsid w:val="00C234D2"/>
    <w:rsid w:val="00C23582"/>
    <w:rsid w:val="00C23710"/>
    <w:rsid w:val="00C23B42"/>
    <w:rsid w:val="00C24FB3"/>
    <w:rsid w:val="00C252F5"/>
    <w:rsid w:val="00C25FC7"/>
    <w:rsid w:val="00C27A1B"/>
    <w:rsid w:val="00C338EA"/>
    <w:rsid w:val="00C37FC2"/>
    <w:rsid w:val="00C43EE3"/>
    <w:rsid w:val="00C44E5A"/>
    <w:rsid w:val="00C4686C"/>
    <w:rsid w:val="00C50078"/>
    <w:rsid w:val="00C5346A"/>
    <w:rsid w:val="00C623A9"/>
    <w:rsid w:val="00C62B7C"/>
    <w:rsid w:val="00C63E51"/>
    <w:rsid w:val="00C6681E"/>
    <w:rsid w:val="00C66AE1"/>
    <w:rsid w:val="00C67C1D"/>
    <w:rsid w:val="00C72A60"/>
    <w:rsid w:val="00C7343D"/>
    <w:rsid w:val="00C736DA"/>
    <w:rsid w:val="00C7422A"/>
    <w:rsid w:val="00C74555"/>
    <w:rsid w:val="00C74F1A"/>
    <w:rsid w:val="00C755BB"/>
    <w:rsid w:val="00C77145"/>
    <w:rsid w:val="00C77990"/>
    <w:rsid w:val="00C86B63"/>
    <w:rsid w:val="00C87ABD"/>
    <w:rsid w:val="00C930DA"/>
    <w:rsid w:val="00C9311D"/>
    <w:rsid w:val="00C9360F"/>
    <w:rsid w:val="00C969B0"/>
    <w:rsid w:val="00C9726D"/>
    <w:rsid w:val="00C97710"/>
    <w:rsid w:val="00CA0009"/>
    <w:rsid w:val="00CA3B79"/>
    <w:rsid w:val="00CA40A9"/>
    <w:rsid w:val="00CA4C9A"/>
    <w:rsid w:val="00CA7067"/>
    <w:rsid w:val="00CA7BC9"/>
    <w:rsid w:val="00CB148C"/>
    <w:rsid w:val="00CB1F6D"/>
    <w:rsid w:val="00CB2511"/>
    <w:rsid w:val="00CB3C10"/>
    <w:rsid w:val="00CB4A37"/>
    <w:rsid w:val="00CB50A9"/>
    <w:rsid w:val="00CB5509"/>
    <w:rsid w:val="00CB57CC"/>
    <w:rsid w:val="00CB6087"/>
    <w:rsid w:val="00CB72E9"/>
    <w:rsid w:val="00CC2947"/>
    <w:rsid w:val="00CC3099"/>
    <w:rsid w:val="00CC6B11"/>
    <w:rsid w:val="00CC7A2E"/>
    <w:rsid w:val="00CD06D8"/>
    <w:rsid w:val="00CD35D2"/>
    <w:rsid w:val="00CD653F"/>
    <w:rsid w:val="00CE5301"/>
    <w:rsid w:val="00CE5B7F"/>
    <w:rsid w:val="00CE7B72"/>
    <w:rsid w:val="00CF533D"/>
    <w:rsid w:val="00CF5EF4"/>
    <w:rsid w:val="00CF6541"/>
    <w:rsid w:val="00CF71D2"/>
    <w:rsid w:val="00D01FD4"/>
    <w:rsid w:val="00D03F69"/>
    <w:rsid w:val="00D05C54"/>
    <w:rsid w:val="00D137F6"/>
    <w:rsid w:val="00D15560"/>
    <w:rsid w:val="00D16E8B"/>
    <w:rsid w:val="00D22531"/>
    <w:rsid w:val="00D23EC9"/>
    <w:rsid w:val="00D2415C"/>
    <w:rsid w:val="00D24482"/>
    <w:rsid w:val="00D27989"/>
    <w:rsid w:val="00D34442"/>
    <w:rsid w:val="00D3498A"/>
    <w:rsid w:val="00D35FC4"/>
    <w:rsid w:val="00D369EB"/>
    <w:rsid w:val="00D4096F"/>
    <w:rsid w:val="00D40EED"/>
    <w:rsid w:val="00D50082"/>
    <w:rsid w:val="00D506E7"/>
    <w:rsid w:val="00D53622"/>
    <w:rsid w:val="00D561DC"/>
    <w:rsid w:val="00D572B5"/>
    <w:rsid w:val="00D65E26"/>
    <w:rsid w:val="00D7236A"/>
    <w:rsid w:val="00D734DE"/>
    <w:rsid w:val="00D745A5"/>
    <w:rsid w:val="00D75C1F"/>
    <w:rsid w:val="00D76C58"/>
    <w:rsid w:val="00D81A86"/>
    <w:rsid w:val="00D826AA"/>
    <w:rsid w:val="00D82C0A"/>
    <w:rsid w:val="00D83F3A"/>
    <w:rsid w:val="00D85F36"/>
    <w:rsid w:val="00D878DC"/>
    <w:rsid w:val="00D87B36"/>
    <w:rsid w:val="00D9226E"/>
    <w:rsid w:val="00D925D2"/>
    <w:rsid w:val="00D92F96"/>
    <w:rsid w:val="00D93BC3"/>
    <w:rsid w:val="00D94466"/>
    <w:rsid w:val="00D9516A"/>
    <w:rsid w:val="00DA028D"/>
    <w:rsid w:val="00DA3B3F"/>
    <w:rsid w:val="00DA7542"/>
    <w:rsid w:val="00DB5217"/>
    <w:rsid w:val="00DB5251"/>
    <w:rsid w:val="00DB5F08"/>
    <w:rsid w:val="00DB6E44"/>
    <w:rsid w:val="00DB6EC7"/>
    <w:rsid w:val="00DB7A21"/>
    <w:rsid w:val="00DC0567"/>
    <w:rsid w:val="00DC2A29"/>
    <w:rsid w:val="00DC2C68"/>
    <w:rsid w:val="00DC4773"/>
    <w:rsid w:val="00DC6E74"/>
    <w:rsid w:val="00DC7099"/>
    <w:rsid w:val="00DC7E1F"/>
    <w:rsid w:val="00DD1E46"/>
    <w:rsid w:val="00DD3639"/>
    <w:rsid w:val="00DD458E"/>
    <w:rsid w:val="00DD538C"/>
    <w:rsid w:val="00DD62DF"/>
    <w:rsid w:val="00DE1B1D"/>
    <w:rsid w:val="00DE3192"/>
    <w:rsid w:val="00DE4724"/>
    <w:rsid w:val="00DF098D"/>
    <w:rsid w:val="00DF42CC"/>
    <w:rsid w:val="00DF7202"/>
    <w:rsid w:val="00E02E9F"/>
    <w:rsid w:val="00E05EA0"/>
    <w:rsid w:val="00E11E2A"/>
    <w:rsid w:val="00E14B0F"/>
    <w:rsid w:val="00E17EFB"/>
    <w:rsid w:val="00E234B9"/>
    <w:rsid w:val="00E23A66"/>
    <w:rsid w:val="00E3391A"/>
    <w:rsid w:val="00E360F4"/>
    <w:rsid w:val="00E373C9"/>
    <w:rsid w:val="00E4205B"/>
    <w:rsid w:val="00E420AD"/>
    <w:rsid w:val="00E432BE"/>
    <w:rsid w:val="00E43FEE"/>
    <w:rsid w:val="00E45CD5"/>
    <w:rsid w:val="00E50D53"/>
    <w:rsid w:val="00E520DD"/>
    <w:rsid w:val="00E53B64"/>
    <w:rsid w:val="00E6034A"/>
    <w:rsid w:val="00E6304B"/>
    <w:rsid w:val="00E65A2C"/>
    <w:rsid w:val="00E66797"/>
    <w:rsid w:val="00E66B6E"/>
    <w:rsid w:val="00E72B75"/>
    <w:rsid w:val="00E744AF"/>
    <w:rsid w:val="00E74D00"/>
    <w:rsid w:val="00E76621"/>
    <w:rsid w:val="00E832C2"/>
    <w:rsid w:val="00E85A9F"/>
    <w:rsid w:val="00E870EE"/>
    <w:rsid w:val="00E91A91"/>
    <w:rsid w:val="00E931B7"/>
    <w:rsid w:val="00E9469F"/>
    <w:rsid w:val="00E94A00"/>
    <w:rsid w:val="00E94A5E"/>
    <w:rsid w:val="00E971CE"/>
    <w:rsid w:val="00E97617"/>
    <w:rsid w:val="00E97813"/>
    <w:rsid w:val="00E97D43"/>
    <w:rsid w:val="00E97E86"/>
    <w:rsid w:val="00EA12FB"/>
    <w:rsid w:val="00EA243F"/>
    <w:rsid w:val="00EA3C53"/>
    <w:rsid w:val="00EA59B1"/>
    <w:rsid w:val="00EA680B"/>
    <w:rsid w:val="00EA7FC2"/>
    <w:rsid w:val="00EB10D8"/>
    <w:rsid w:val="00EB591C"/>
    <w:rsid w:val="00EB6C83"/>
    <w:rsid w:val="00EC0186"/>
    <w:rsid w:val="00EC5A09"/>
    <w:rsid w:val="00ED38EF"/>
    <w:rsid w:val="00ED4EE6"/>
    <w:rsid w:val="00EE00D6"/>
    <w:rsid w:val="00EE06BE"/>
    <w:rsid w:val="00EE3E9A"/>
    <w:rsid w:val="00EE45E9"/>
    <w:rsid w:val="00EF0028"/>
    <w:rsid w:val="00EF03E2"/>
    <w:rsid w:val="00EF1DB2"/>
    <w:rsid w:val="00EF3E9A"/>
    <w:rsid w:val="00EF46BF"/>
    <w:rsid w:val="00EF541F"/>
    <w:rsid w:val="00EF5DD1"/>
    <w:rsid w:val="00EF6030"/>
    <w:rsid w:val="00EF6D67"/>
    <w:rsid w:val="00F05DEB"/>
    <w:rsid w:val="00F063A2"/>
    <w:rsid w:val="00F06803"/>
    <w:rsid w:val="00F06827"/>
    <w:rsid w:val="00F079D0"/>
    <w:rsid w:val="00F1212A"/>
    <w:rsid w:val="00F15141"/>
    <w:rsid w:val="00F206C2"/>
    <w:rsid w:val="00F259E4"/>
    <w:rsid w:val="00F32E31"/>
    <w:rsid w:val="00F34E01"/>
    <w:rsid w:val="00F362BB"/>
    <w:rsid w:val="00F36623"/>
    <w:rsid w:val="00F36904"/>
    <w:rsid w:val="00F369C3"/>
    <w:rsid w:val="00F36C40"/>
    <w:rsid w:val="00F42227"/>
    <w:rsid w:val="00F4234C"/>
    <w:rsid w:val="00F44FC7"/>
    <w:rsid w:val="00F516FE"/>
    <w:rsid w:val="00F523CA"/>
    <w:rsid w:val="00F53AE3"/>
    <w:rsid w:val="00F53B7B"/>
    <w:rsid w:val="00F54684"/>
    <w:rsid w:val="00F559DF"/>
    <w:rsid w:val="00F565CF"/>
    <w:rsid w:val="00F604DC"/>
    <w:rsid w:val="00F604ED"/>
    <w:rsid w:val="00F624A4"/>
    <w:rsid w:val="00F62869"/>
    <w:rsid w:val="00F6586C"/>
    <w:rsid w:val="00F661D8"/>
    <w:rsid w:val="00F67461"/>
    <w:rsid w:val="00F67977"/>
    <w:rsid w:val="00F700A3"/>
    <w:rsid w:val="00F710A8"/>
    <w:rsid w:val="00F7581E"/>
    <w:rsid w:val="00F80C04"/>
    <w:rsid w:val="00F83E63"/>
    <w:rsid w:val="00F84BD4"/>
    <w:rsid w:val="00F855A6"/>
    <w:rsid w:val="00F913D3"/>
    <w:rsid w:val="00F915E1"/>
    <w:rsid w:val="00F95758"/>
    <w:rsid w:val="00F97FFA"/>
    <w:rsid w:val="00FA2031"/>
    <w:rsid w:val="00FA39F3"/>
    <w:rsid w:val="00FA3AF5"/>
    <w:rsid w:val="00FA6785"/>
    <w:rsid w:val="00FA6CD0"/>
    <w:rsid w:val="00FA7668"/>
    <w:rsid w:val="00FB0112"/>
    <w:rsid w:val="00FB1F50"/>
    <w:rsid w:val="00FB1FAA"/>
    <w:rsid w:val="00FB4D96"/>
    <w:rsid w:val="00FB66F5"/>
    <w:rsid w:val="00FB7ACF"/>
    <w:rsid w:val="00FC00B9"/>
    <w:rsid w:val="00FC65A3"/>
    <w:rsid w:val="00FD0AC0"/>
    <w:rsid w:val="00FD0F28"/>
    <w:rsid w:val="00FD142E"/>
    <w:rsid w:val="00FD3784"/>
    <w:rsid w:val="00FD3CA1"/>
    <w:rsid w:val="00FE069F"/>
    <w:rsid w:val="00FE1488"/>
    <w:rsid w:val="00FE1DA9"/>
    <w:rsid w:val="00FE262B"/>
    <w:rsid w:val="00FE2D98"/>
    <w:rsid w:val="00FE2E27"/>
    <w:rsid w:val="00FE5189"/>
    <w:rsid w:val="00FE5AA5"/>
    <w:rsid w:val="00FE6A0F"/>
    <w:rsid w:val="00FE702F"/>
    <w:rsid w:val="00FF1864"/>
    <w:rsid w:val="00FF18D4"/>
    <w:rsid w:val="00FF1B98"/>
    <w:rsid w:val="00FF4F08"/>
    <w:rsid w:val="00FF5733"/>
    <w:rsid w:val="044C298C"/>
    <w:rsid w:val="05D17775"/>
    <w:rsid w:val="09E10897"/>
    <w:rsid w:val="0AB153C9"/>
    <w:rsid w:val="10593E1B"/>
    <w:rsid w:val="20CC36A1"/>
    <w:rsid w:val="22D721F1"/>
    <w:rsid w:val="30301028"/>
    <w:rsid w:val="3B6C2A2C"/>
    <w:rsid w:val="3C9A1FBF"/>
    <w:rsid w:val="3F947F26"/>
    <w:rsid w:val="40760C3F"/>
    <w:rsid w:val="45B05D1E"/>
    <w:rsid w:val="50737B7D"/>
    <w:rsid w:val="510739FA"/>
    <w:rsid w:val="580B6BF0"/>
    <w:rsid w:val="5DD92690"/>
    <w:rsid w:val="5F5E22AA"/>
    <w:rsid w:val="60FF3F4C"/>
    <w:rsid w:val="636F54AF"/>
    <w:rsid w:val="64FF536C"/>
    <w:rsid w:val="67594E2A"/>
    <w:rsid w:val="6D49301A"/>
    <w:rsid w:val="74846BDD"/>
    <w:rsid w:val="784A08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alloon Text"/>
    <w:basedOn w:val="1"/>
    <w:link w:val="17"/>
    <w:semiHidden/>
    <w:unhideWhenUsed/>
    <w:qFormat/>
    <w:uiPriority w:val="99"/>
    <w:rPr>
      <w:sz w:val="18"/>
      <w:szCs w:val="18"/>
    </w:rPr>
  </w:style>
  <w:style w:type="paragraph" w:styleId="3">
    <w:name w:val="footer"/>
    <w:basedOn w:val="1"/>
    <w:link w:val="11"/>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10"/>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Emphasis"/>
    <w:basedOn w:val="7"/>
    <w:qFormat/>
    <w:uiPriority w:val="20"/>
    <w:rPr>
      <w:color w:val="F73131"/>
    </w:rPr>
  </w:style>
  <w:style w:type="character" w:styleId="9">
    <w:name w:val="annotation reference"/>
    <w:qFormat/>
    <w:uiPriority w:val="0"/>
    <w:rPr>
      <w:sz w:val="21"/>
      <w:szCs w:val="21"/>
    </w:rPr>
  </w:style>
  <w:style w:type="character" w:customStyle="1" w:styleId="10">
    <w:name w:val="页眉 Char"/>
    <w:basedOn w:val="7"/>
    <w:link w:val="4"/>
    <w:qFormat/>
    <w:uiPriority w:val="99"/>
    <w:rPr>
      <w:sz w:val="18"/>
      <w:szCs w:val="18"/>
    </w:rPr>
  </w:style>
  <w:style w:type="character" w:customStyle="1" w:styleId="11">
    <w:name w:val="页脚 Char"/>
    <w:basedOn w:val="7"/>
    <w:link w:val="3"/>
    <w:qFormat/>
    <w:uiPriority w:val="99"/>
    <w:rPr>
      <w:sz w:val="18"/>
      <w:szCs w:val="18"/>
    </w:rPr>
  </w:style>
  <w:style w:type="paragraph" w:styleId="12">
    <w:name w:val="List Paragraph"/>
    <w:basedOn w:val="1"/>
    <w:qFormat/>
    <w:uiPriority w:val="34"/>
    <w:pPr>
      <w:ind w:firstLine="420" w:firstLineChars="200"/>
    </w:pPr>
  </w:style>
  <w:style w:type="paragraph" w:customStyle="1" w:styleId="13">
    <w:name w:val="005正文"/>
    <w:basedOn w:val="1"/>
    <w:link w:val="14"/>
    <w:qFormat/>
    <w:uiPriority w:val="0"/>
    <w:pPr>
      <w:spacing w:beforeLines="50" w:line="360" w:lineRule="auto"/>
      <w:ind w:firstLine="200" w:firstLineChars="200"/>
    </w:pPr>
    <w:rPr>
      <w:sz w:val="24"/>
      <w:szCs w:val="22"/>
    </w:rPr>
  </w:style>
  <w:style w:type="character" w:customStyle="1" w:styleId="14">
    <w:name w:val="005正文 Char Char"/>
    <w:link w:val="13"/>
    <w:qFormat/>
    <w:uiPriority w:val="0"/>
    <w:rPr>
      <w:rFonts w:ascii="Times New Roman" w:hAnsi="Times New Roman" w:eastAsia="宋体" w:cs="Times New Roman"/>
      <w:sz w:val="24"/>
    </w:rPr>
  </w:style>
  <w:style w:type="character" w:customStyle="1" w:styleId="15">
    <w:name w:val="005正文 Char"/>
    <w:qFormat/>
    <w:uiPriority w:val="0"/>
    <w:rPr>
      <w:kern w:val="2"/>
      <w:sz w:val="24"/>
      <w:szCs w:val="22"/>
    </w:rPr>
  </w:style>
  <w:style w:type="paragraph" w:styleId="16">
    <w:name w:val="No Spacing"/>
    <w:qFormat/>
    <w:uiPriority w:val="1"/>
    <w:pPr>
      <w:widowControl w:val="0"/>
      <w:jc w:val="both"/>
    </w:pPr>
    <w:rPr>
      <w:rFonts w:ascii="Calibri" w:hAnsi="Calibri" w:eastAsia="宋体" w:cs="Times New Roman"/>
      <w:kern w:val="2"/>
      <w:sz w:val="21"/>
      <w:szCs w:val="22"/>
      <w:lang w:val="en-US" w:eastAsia="zh-CN" w:bidi="ar-SA"/>
    </w:rPr>
  </w:style>
  <w:style w:type="character" w:customStyle="1" w:styleId="17">
    <w:name w:val="批注框文本 Char"/>
    <w:basedOn w:val="7"/>
    <w:link w:val="2"/>
    <w:semiHidden/>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34B903-A2ED-4EB8-A07F-9933C8F0CC10}">
  <ds:schemaRefs/>
</ds:datastoreItem>
</file>

<file path=docProps/app.xml><?xml version="1.0" encoding="utf-8"?>
<Properties xmlns="http://schemas.openxmlformats.org/officeDocument/2006/extended-properties" xmlns:vt="http://schemas.openxmlformats.org/officeDocument/2006/docPropsVTypes">
  <Template>Normal.dotm</Template>
  <Pages>3</Pages>
  <Words>1692</Words>
  <Characters>1780</Characters>
  <Lines>13</Lines>
  <Paragraphs>3</Paragraphs>
  <TotalTime>14</TotalTime>
  <ScaleCrop>false</ScaleCrop>
  <LinksUpToDate>false</LinksUpToDate>
  <CharactersWithSpaces>1875</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2026-09-15T07:49:00Z</dcterms:created>
  <dc:creator>sk</dc:creator>
  <cp:lastModifiedBy>Administrator</cp:lastModifiedBy>
  <dcterms:modified xsi:type="dcterms:W3CDTF">2026-09-15T08:35:38Z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eyJoZGlkIjoiMmMyZjhmOWU0MjkxYjViZjQ2NDEzMjEzZTYwMTEyZTEiLCJ1c2VySWQiOiIzMjI1MDUyNDgifQ==</vt:lpwstr>
  </property>
  <property fmtid="{D5CDD505-2E9C-101B-9397-08002B2CF9AE}" pid="3" name="KSOProductBuildVer">
    <vt:lpwstr>2052-12.1.0.28488</vt:lpwstr>
  </property>
  <property fmtid="{D5CDD505-2E9C-101B-9397-08002B2CF9AE}" pid="4" name="ICV">
    <vt:lpwstr>4EB88369510C4185B7FDADE1CBCCC55E_13</vt:lpwstr>
  </property>
</Properties>
</file>