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00609D">
      <w:pPr>
        <w:autoSpaceDE/>
        <w:autoSpaceDN/>
        <w:spacing w:line="360" w:lineRule="auto"/>
        <w:jc w:val="center"/>
        <w:outlineLvl w:val="0"/>
        <w:rPr>
          <w:rFonts w:ascii="Times New Roman" w:hAnsi="Times New Roman" w:eastAsia="宋体" w:cs="宋体"/>
          <w:b/>
          <w:bCs/>
          <w:spacing w:val="-3"/>
          <w:sz w:val="28"/>
          <w:szCs w:val="28"/>
          <w:lang w:eastAsia="zh-CN"/>
        </w:rPr>
      </w:pPr>
      <w:r>
        <w:rPr>
          <w:rFonts w:ascii="Times New Roman" w:hAnsi="Times New Roman" w:eastAsia="宋体" w:cs="宋体"/>
          <w:b/>
          <w:bCs/>
          <w:spacing w:val="-3"/>
          <w:sz w:val="28"/>
          <w:szCs w:val="28"/>
          <w:lang w:eastAsia="zh-CN"/>
        </w:rPr>
        <w:t>北京九州一轨环境科技股份有限公司</w:t>
      </w:r>
    </w:p>
    <w:p w14:paraId="5682AACC">
      <w:pPr>
        <w:autoSpaceDE/>
        <w:autoSpaceDN/>
        <w:spacing w:line="360" w:lineRule="auto"/>
        <w:jc w:val="center"/>
        <w:outlineLvl w:val="0"/>
        <w:rPr>
          <w:rFonts w:ascii="Times New Roman" w:hAnsi="Times New Roman" w:eastAsia="宋体" w:cs="宋体"/>
          <w:sz w:val="28"/>
          <w:szCs w:val="28"/>
          <w:lang w:eastAsia="zh-CN"/>
        </w:rPr>
      </w:pPr>
      <w:r>
        <w:rPr>
          <w:rFonts w:ascii="Times New Roman" w:hAnsi="Times New Roman" w:eastAsia="宋体" w:cs="宋体"/>
          <w:b/>
          <w:bCs/>
          <w:spacing w:val="-4"/>
          <w:sz w:val="28"/>
          <w:szCs w:val="28"/>
          <w:lang w:eastAsia="zh-CN"/>
        </w:rPr>
        <w:t>投资者关系活动记录表</w:t>
      </w:r>
    </w:p>
    <w:p w14:paraId="6DDF452C">
      <w:pPr>
        <w:spacing w:after="120" w:afterLines="50" w:line="360" w:lineRule="auto"/>
        <w:jc w:val="center"/>
        <w:rPr>
          <w:rFonts w:ascii="Times New Roman" w:hAnsi="Times New Roman" w:cs="Times New Roman" w:eastAsiaTheme="minorEastAsia"/>
          <w:sz w:val="24"/>
          <w:szCs w:val="24"/>
          <w:highlight w:val="yellow"/>
          <w:lang w:eastAsia="zh-CN"/>
        </w:rPr>
      </w:pPr>
      <w:r>
        <w:rPr>
          <w:rFonts w:ascii="Times New Roman" w:hAnsi="Times New Roman" w:eastAsia="宋体" w:cs="宋体"/>
          <w:b/>
          <w:bCs/>
          <w:sz w:val="24"/>
          <w:szCs w:val="24"/>
          <w:lang w:eastAsia="zh-CN"/>
        </w:rPr>
        <w:t>证券简称：</w:t>
      </w:r>
      <w:r>
        <w:rPr>
          <w:rFonts w:ascii="Times New Roman" w:hAnsi="Times New Roman" w:eastAsia="宋体" w:cs="宋体"/>
          <w:sz w:val="24"/>
          <w:szCs w:val="24"/>
          <w:lang w:eastAsia="zh-CN"/>
        </w:rPr>
        <w:t>九州一轨</w:t>
      </w:r>
      <w:r>
        <w:rPr>
          <w:rFonts w:hint="eastAsia" w:ascii="Times New Roman" w:hAnsi="Times New Roman" w:eastAsia="宋体" w:cs="宋体"/>
          <w:b/>
          <w:bCs/>
          <w:sz w:val="24"/>
          <w:szCs w:val="24"/>
          <w:lang w:eastAsia="zh-CN"/>
        </w:rPr>
        <w:t xml:space="preserve">                 </w:t>
      </w:r>
      <w:r>
        <w:rPr>
          <w:rFonts w:ascii="Times New Roman" w:hAnsi="Times New Roman" w:eastAsia="宋体" w:cs="宋体"/>
          <w:b/>
          <w:bCs/>
          <w:sz w:val="24"/>
          <w:szCs w:val="24"/>
          <w:lang w:eastAsia="zh-CN"/>
        </w:rPr>
        <w:t>证券代</w:t>
      </w:r>
      <w:r>
        <w:rPr>
          <w:rFonts w:ascii="Times New Roman" w:hAnsi="Times New Roman" w:eastAsia="宋体" w:cs="宋体"/>
          <w:b/>
          <w:bCs/>
          <w:spacing w:val="-1"/>
          <w:sz w:val="24"/>
          <w:szCs w:val="24"/>
          <w:lang w:eastAsia="zh-CN"/>
        </w:rPr>
        <w:t>码：</w:t>
      </w:r>
      <w:r>
        <w:rPr>
          <w:rFonts w:ascii="Times New Roman" w:hAnsi="Times New Roman" w:eastAsia="Times New Roman" w:cs="Times New Roman"/>
          <w:spacing w:val="-1"/>
          <w:sz w:val="24"/>
          <w:szCs w:val="24"/>
          <w:lang w:eastAsia="zh-CN"/>
        </w:rPr>
        <w:t>688485</w:t>
      </w:r>
      <w:r>
        <w:rPr>
          <w:rFonts w:hint="eastAsia" w:ascii="Times New Roman" w:hAnsi="Times New Roman" w:eastAsia="宋体" w:cs="Times New Roman"/>
          <w:b/>
          <w:bCs/>
          <w:spacing w:val="-1"/>
          <w:sz w:val="24"/>
          <w:szCs w:val="24"/>
          <w:lang w:eastAsia="zh-CN"/>
        </w:rPr>
        <w:t xml:space="preserve">                         </w:t>
      </w:r>
      <w:r>
        <w:rPr>
          <w:rFonts w:ascii="Times New Roman" w:hAnsi="Times New Roman" w:eastAsia="宋体" w:cs="宋体"/>
          <w:b/>
          <w:bCs/>
          <w:spacing w:val="-1"/>
          <w:sz w:val="24"/>
          <w:szCs w:val="24"/>
          <w:lang w:eastAsia="zh-CN"/>
        </w:rPr>
        <w:t>编号：</w:t>
      </w:r>
      <w:r>
        <w:rPr>
          <w:rFonts w:ascii="Times New Roman" w:hAnsi="Times New Roman" w:eastAsia="宋体" w:cs="Times New Roman"/>
          <w:spacing w:val="-1"/>
          <w:sz w:val="24"/>
          <w:szCs w:val="24"/>
          <w:lang w:eastAsia="zh-CN"/>
        </w:rPr>
        <w:t>202</w:t>
      </w:r>
      <w:r>
        <w:rPr>
          <w:rFonts w:hint="eastAsia" w:ascii="Times New Roman" w:hAnsi="Times New Roman" w:eastAsia="宋体" w:cs="Times New Roman"/>
          <w:spacing w:val="-1"/>
          <w:sz w:val="24"/>
          <w:szCs w:val="24"/>
          <w:lang w:eastAsia="zh-CN"/>
        </w:rPr>
        <w:t>6</w:t>
      </w:r>
      <w:r>
        <w:rPr>
          <w:rFonts w:ascii="Times New Roman" w:hAnsi="Times New Roman" w:eastAsia="宋体" w:cs="Times New Roman"/>
          <w:spacing w:val="-1"/>
          <w:sz w:val="24"/>
          <w:szCs w:val="24"/>
          <w:lang w:eastAsia="zh-CN"/>
        </w:rPr>
        <w:t>-0</w:t>
      </w:r>
      <w:r>
        <w:rPr>
          <w:rFonts w:hint="eastAsia" w:ascii="Times New Roman" w:hAnsi="Times New Roman" w:eastAsia="宋体" w:cs="Times New Roman"/>
          <w:spacing w:val="-1"/>
          <w:sz w:val="24"/>
          <w:szCs w:val="24"/>
          <w:lang w:eastAsia="zh-CN"/>
        </w:rPr>
        <w:t>02</w:t>
      </w:r>
    </w:p>
    <w:tbl>
      <w:tblPr>
        <w:tblStyle w:val="14"/>
        <w:tblW w:w="8295" w:type="dxa"/>
        <w:tblInd w:w="2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71"/>
        <w:gridCol w:w="3189"/>
        <w:gridCol w:w="2935"/>
      </w:tblGrid>
      <w:tr w14:paraId="7AD1CC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2171" w:type="dxa"/>
            <w:vAlign w:val="center"/>
          </w:tcPr>
          <w:p w14:paraId="6F8D41C5">
            <w:pPr>
              <w:pStyle w:val="15"/>
              <w:spacing w:line="360" w:lineRule="auto"/>
              <w:jc w:val="center"/>
              <w:rPr>
                <w:rFonts w:ascii="Times New Roman" w:hAnsi="Times New Roman"/>
                <w:b/>
                <w:bCs/>
                <w:spacing w:val="-4"/>
              </w:rPr>
            </w:pPr>
            <w:r>
              <w:rPr>
                <w:rFonts w:hint="eastAsia" w:ascii="Times New Roman" w:hAnsi="Times New Roman"/>
                <w:b/>
                <w:bCs/>
                <w:spacing w:val="-4"/>
              </w:rPr>
              <w:t>投资者关系活动</w:t>
            </w:r>
            <w:r>
              <w:rPr>
                <w:rFonts w:hint="eastAsia" w:ascii="Times New Roman" w:hAnsi="Times New Roman"/>
                <w:b/>
                <w:bCs/>
                <w:spacing w:val="-7"/>
              </w:rPr>
              <w:t>类别</w:t>
            </w:r>
          </w:p>
        </w:tc>
        <w:tc>
          <w:tcPr>
            <w:tcW w:w="3189" w:type="dxa"/>
            <w:tcBorders>
              <w:bottom w:val="nil"/>
              <w:right w:val="nil"/>
            </w:tcBorders>
            <w:vAlign w:val="center"/>
          </w:tcPr>
          <w:p w14:paraId="6CD66F7D">
            <w:pPr>
              <w:pStyle w:val="15"/>
              <w:autoSpaceDE/>
              <w:autoSpaceDN/>
              <w:spacing w:before="120" w:beforeLines="50" w:after="120" w:afterLines="50"/>
              <w:ind w:firstLine="492" w:firstLineChars="200"/>
              <w:jc w:val="both"/>
              <w:rPr>
                <w:rFonts w:ascii="Times New Roman" w:hAnsi="Times New Roman"/>
                <w:spacing w:val="3"/>
                <w:lang w:eastAsia="zh-CN"/>
              </w:rPr>
            </w:pPr>
            <w:r>
              <w:rPr>
                <w:rFonts w:hint="eastAsia" w:ascii="Times New Roman" w:hAnsi="Times New Roman"/>
                <w:spacing w:val="3"/>
              </w:rPr>
              <w:sym w:font="Wingdings 2" w:char="0052"/>
            </w:r>
            <w:r>
              <w:rPr>
                <w:rFonts w:hint="eastAsia" w:ascii="Times New Roman" w:hAnsi="Times New Roman"/>
                <w:spacing w:val="3"/>
                <w:lang w:eastAsia="zh-CN"/>
              </w:rPr>
              <w:t>特定对象调研</w:t>
            </w:r>
          </w:p>
          <w:p w14:paraId="3C799993">
            <w:pPr>
              <w:pStyle w:val="15"/>
              <w:autoSpaceDE/>
              <w:autoSpaceDN/>
              <w:spacing w:before="120" w:beforeLines="50" w:after="120" w:afterLines="50"/>
              <w:ind w:firstLine="492" w:firstLineChars="200"/>
              <w:jc w:val="both"/>
              <w:rPr>
                <w:rFonts w:ascii="Times New Roman" w:hAnsi="Times New Roman"/>
                <w:spacing w:val="-6"/>
                <w:lang w:eastAsia="zh-CN"/>
              </w:rPr>
            </w:pPr>
            <w:r>
              <w:rPr>
                <w:rFonts w:hint="eastAsia" w:ascii="Times New Roman" w:hAnsi="Times New Roman"/>
                <w:spacing w:val="3"/>
              </w:rPr>
              <w:sym w:font="Wingdings 2" w:char="00A3"/>
            </w:r>
            <w:r>
              <w:rPr>
                <w:rFonts w:hint="eastAsia" w:ascii="Times New Roman" w:hAnsi="Times New Roman"/>
                <w:spacing w:val="-6"/>
                <w:lang w:eastAsia="zh-CN"/>
              </w:rPr>
              <w:t>媒体采访</w:t>
            </w:r>
          </w:p>
          <w:p w14:paraId="0D74F8FF">
            <w:pPr>
              <w:pStyle w:val="15"/>
              <w:autoSpaceDE/>
              <w:autoSpaceDN/>
              <w:spacing w:before="120" w:beforeLines="50" w:after="120" w:afterLines="50"/>
              <w:ind w:firstLine="492" w:firstLineChars="200"/>
              <w:jc w:val="both"/>
              <w:rPr>
                <w:rFonts w:ascii="Times New Roman" w:hAnsi="Times New Roman"/>
                <w:spacing w:val="-5"/>
                <w:lang w:eastAsia="zh-CN"/>
              </w:rPr>
            </w:pPr>
            <w:r>
              <w:rPr>
                <w:rFonts w:hint="eastAsia" w:ascii="Times New Roman" w:hAnsi="Times New Roman"/>
                <w:spacing w:val="3"/>
              </w:rPr>
              <w:sym w:font="Wingdings 2" w:char="00A3"/>
            </w:r>
            <w:r>
              <w:rPr>
                <w:rFonts w:hint="eastAsia" w:ascii="Times New Roman" w:hAnsi="Times New Roman"/>
                <w:spacing w:val="-5"/>
                <w:lang w:eastAsia="zh-CN"/>
              </w:rPr>
              <w:t>新闻发布会</w:t>
            </w:r>
          </w:p>
          <w:p w14:paraId="19211835">
            <w:pPr>
              <w:pStyle w:val="15"/>
              <w:autoSpaceDE/>
              <w:autoSpaceDN/>
              <w:spacing w:before="120" w:beforeLines="50" w:after="120" w:afterLines="50"/>
              <w:ind w:firstLine="508" w:firstLineChars="200"/>
              <w:jc w:val="both"/>
              <w:rPr>
                <w:rFonts w:ascii="Times New Roman" w:hAnsi="Times New Roman"/>
                <w:lang w:eastAsia="zh-CN"/>
              </w:rPr>
            </w:pPr>
            <w:r>
              <w:rPr>
                <w:rFonts w:hint="eastAsia" w:ascii="Times New Roman" w:hAnsi="Times New Roman"/>
                <w:spacing w:val="7"/>
              </w:rPr>
              <w:sym w:font="Wingdings 2" w:char="00A3"/>
            </w:r>
            <w:r>
              <w:rPr>
                <w:rFonts w:hint="eastAsia" w:ascii="Times New Roman" w:hAnsi="Times New Roman"/>
                <w:spacing w:val="7"/>
              </w:rPr>
              <w:t>现场参观</w:t>
            </w:r>
          </w:p>
        </w:tc>
        <w:tc>
          <w:tcPr>
            <w:tcW w:w="2935" w:type="dxa"/>
            <w:tcBorders>
              <w:left w:val="nil"/>
              <w:bottom w:val="nil"/>
            </w:tcBorders>
            <w:vAlign w:val="center"/>
          </w:tcPr>
          <w:p w14:paraId="4F009989">
            <w:pPr>
              <w:pStyle w:val="15"/>
              <w:autoSpaceDE/>
              <w:autoSpaceDN/>
              <w:spacing w:before="120" w:beforeLines="50" w:after="120" w:afterLines="50"/>
              <w:jc w:val="both"/>
              <w:rPr>
                <w:rFonts w:ascii="Times New Roman" w:hAnsi="Times New Roman"/>
                <w:spacing w:val="3"/>
                <w:lang w:eastAsia="zh-CN"/>
              </w:rPr>
            </w:pPr>
            <w:r>
              <w:rPr>
                <w:rFonts w:hint="eastAsia" w:ascii="Times New Roman" w:hAnsi="Times New Roman"/>
                <w:spacing w:val="3"/>
              </w:rPr>
              <w:sym w:font="Wingdings 2" w:char="0052"/>
            </w:r>
            <w:r>
              <w:rPr>
                <w:rFonts w:hint="eastAsia" w:ascii="Times New Roman" w:hAnsi="Times New Roman"/>
                <w:spacing w:val="-5"/>
                <w:lang w:eastAsia="zh-CN"/>
              </w:rPr>
              <w:t>分析师会议</w:t>
            </w:r>
          </w:p>
          <w:p w14:paraId="01616EAD">
            <w:pPr>
              <w:pStyle w:val="15"/>
              <w:autoSpaceDE/>
              <w:autoSpaceDN/>
              <w:spacing w:before="120" w:beforeLines="50" w:after="120" w:afterLines="50"/>
              <w:jc w:val="both"/>
              <w:rPr>
                <w:rFonts w:ascii="Times New Roman" w:hAnsi="Times New Roman"/>
                <w:spacing w:val="3"/>
                <w:lang w:eastAsia="zh-CN"/>
              </w:rPr>
            </w:pPr>
            <w:r>
              <w:rPr>
                <w:rFonts w:hint="eastAsia" w:ascii="Times New Roman" w:hAnsi="Times New Roman"/>
                <w:spacing w:val="3"/>
              </w:rPr>
              <w:sym w:font="Wingdings 2" w:char="00A3"/>
            </w:r>
            <w:r>
              <w:rPr>
                <w:rFonts w:hint="eastAsia" w:ascii="Times New Roman" w:hAnsi="Times New Roman"/>
                <w:spacing w:val="-5"/>
                <w:lang w:eastAsia="zh-CN"/>
              </w:rPr>
              <w:t>业绩说明会</w:t>
            </w:r>
          </w:p>
          <w:p w14:paraId="762AEE12">
            <w:pPr>
              <w:pStyle w:val="15"/>
              <w:tabs>
                <w:tab w:val="center" w:pos="1465"/>
              </w:tabs>
              <w:autoSpaceDE/>
              <w:autoSpaceDN/>
              <w:spacing w:before="120" w:beforeLines="50" w:after="120" w:afterLines="50"/>
              <w:jc w:val="both"/>
              <w:rPr>
                <w:rFonts w:ascii="Times New Roman" w:hAnsi="Times New Roman"/>
                <w:spacing w:val="-6"/>
                <w:lang w:eastAsia="zh-CN"/>
              </w:rPr>
            </w:pPr>
            <w:r>
              <w:rPr>
                <w:rFonts w:hint="eastAsia" w:ascii="Times New Roman" w:hAnsi="Times New Roman"/>
                <w:spacing w:val="3"/>
              </w:rPr>
              <w:sym w:font="Wingdings 2" w:char="0052"/>
            </w:r>
            <w:r>
              <w:rPr>
                <w:rFonts w:hint="eastAsia" w:ascii="Times New Roman" w:hAnsi="Times New Roman"/>
                <w:spacing w:val="-6"/>
                <w:lang w:eastAsia="zh-CN"/>
              </w:rPr>
              <w:t>路演活动</w:t>
            </w:r>
          </w:p>
          <w:p w14:paraId="397800D4">
            <w:pPr>
              <w:pStyle w:val="15"/>
              <w:autoSpaceDE/>
              <w:autoSpaceDN/>
              <w:spacing w:before="120" w:beforeLines="50" w:after="120" w:afterLines="50"/>
              <w:jc w:val="both"/>
              <w:rPr>
                <w:rFonts w:ascii="Times New Roman" w:hAnsi="Times New Roman"/>
                <w:lang w:eastAsia="zh-CN"/>
              </w:rPr>
            </w:pPr>
            <w:r>
              <w:rPr>
                <w:rFonts w:hint="eastAsia" w:ascii="Times New Roman" w:hAnsi="Times New Roman"/>
                <w:spacing w:val="-6"/>
              </w:rPr>
              <w:sym w:font="Wingdings 2" w:char="00A3"/>
            </w:r>
            <w:r>
              <w:rPr>
                <w:rFonts w:hint="eastAsia" w:ascii="Times New Roman" w:hAnsi="Times New Roman"/>
                <w:spacing w:val="-6"/>
                <w:lang w:eastAsia="zh-CN"/>
              </w:rPr>
              <w:t>其他</w:t>
            </w:r>
          </w:p>
        </w:tc>
      </w:tr>
      <w:tr w14:paraId="739288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2171" w:type="dxa"/>
            <w:vAlign w:val="center"/>
          </w:tcPr>
          <w:p w14:paraId="6615185F">
            <w:pPr>
              <w:pStyle w:val="15"/>
              <w:spacing w:line="360" w:lineRule="auto"/>
              <w:jc w:val="center"/>
              <w:rPr>
                <w:rFonts w:ascii="Times New Roman" w:hAnsi="Times New Roman"/>
                <w:spacing w:val="1"/>
                <w:lang w:eastAsia="zh-CN"/>
              </w:rPr>
            </w:pPr>
            <w:r>
              <w:rPr>
                <w:rFonts w:hint="eastAsia" w:ascii="Times New Roman" w:hAnsi="Times New Roman"/>
                <w:b/>
                <w:bCs/>
                <w:spacing w:val="-4"/>
                <w:lang w:eastAsia="zh-CN"/>
              </w:rPr>
              <w:t>参与单位名称</w:t>
            </w:r>
          </w:p>
          <w:p w14:paraId="5254F3E4">
            <w:pPr>
              <w:pStyle w:val="15"/>
              <w:spacing w:line="360" w:lineRule="auto"/>
              <w:jc w:val="center"/>
              <w:rPr>
                <w:rFonts w:ascii="Times New Roman" w:hAnsi="Times New Roman"/>
                <w:lang w:eastAsia="zh-CN"/>
              </w:rPr>
            </w:pPr>
            <w:r>
              <w:rPr>
                <w:rFonts w:hint="eastAsia" w:ascii="Times New Roman" w:hAnsi="Times New Roman"/>
                <w:b/>
                <w:bCs/>
                <w:spacing w:val="-4"/>
                <w:lang w:eastAsia="zh-CN"/>
              </w:rPr>
              <w:t>及人员姓名</w:t>
            </w:r>
          </w:p>
        </w:tc>
        <w:tc>
          <w:tcPr>
            <w:tcW w:w="6124" w:type="dxa"/>
            <w:gridSpan w:val="2"/>
            <w:vAlign w:val="center"/>
          </w:tcPr>
          <w:p w14:paraId="429E69FB">
            <w:pPr>
              <w:pStyle w:val="15"/>
              <w:autoSpaceDE/>
              <w:autoSpaceDN/>
              <w:spacing w:before="120" w:beforeLines="50" w:after="120" w:afterLines="50"/>
              <w:jc w:val="center"/>
              <w:rPr>
                <w:rFonts w:ascii="Times New Roman" w:hAnsi="Times New Roman"/>
                <w:lang w:eastAsia="zh-CN"/>
              </w:rPr>
            </w:pPr>
            <w:r>
              <w:rPr>
                <w:rFonts w:hint="eastAsia" w:ascii="Times New Roman" w:hAnsi="Times New Roman"/>
                <w:lang w:eastAsia="zh-CN"/>
              </w:rPr>
              <w:t>2026年9月11日</w:t>
            </w:r>
          </w:p>
          <w:p w14:paraId="62AC9B6E">
            <w:pPr>
              <w:pStyle w:val="15"/>
              <w:autoSpaceDE/>
              <w:autoSpaceDN/>
              <w:spacing w:before="120" w:beforeLines="50" w:after="120" w:afterLines="50"/>
              <w:jc w:val="center"/>
              <w:rPr>
                <w:rFonts w:hint="eastAsia"/>
                <w:spacing w:val="-1"/>
                <w:lang w:eastAsia="zh-CN"/>
              </w:rPr>
            </w:pPr>
            <w:r>
              <w:rPr>
                <w:rFonts w:hint="eastAsia"/>
                <w:spacing w:val="-1"/>
                <w:lang w:eastAsia="zh-CN"/>
              </w:rPr>
              <w:t>国联民生 李思韦</w:t>
            </w:r>
          </w:p>
          <w:p w14:paraId="4DB5FBF9">
            <w:pPr>
              <w:pStyle w:val="15"/>
              <w:autoSpaceDE/>
              <w:autoSpaceDN/>
              <w:spacing w:before="120" w:beforeLines="50" w:after="120" w:afterLines="50"/>
              <w:jc w:val="center"/>
              <w:rPr>
                <w:rFonts w:hint="eastAsia"/>
                <w:spacing w:val="-1"/>
                <w:lang w:eastAsia="zh-CN"/>
              </w:rPr>
            </w:pPr>
            <w:r>
              <w:rPr>
                <w:rFonts w:hint="eastAsia"/>
                <w:spacing w:val="-1"/>
                <w:lang w:eastAsia="zh-CN"/>
              </w:rPr>
              <w:t>竹润投资 李志虹</w:t>
            </w:r>
          </w:p>
          <w:p w14:paraId="4EC0B70A">
            <w:pPr>
              <w:pStyle w:val="15"/>
              <w:autoSpaceDE/>
              <w:autoSpaceDN/>
              <w:spacing w:before="120" w:beforeLines="50" w:after="120" w:afterLines="50"/>
              <w:jc w:val="center"/>
              <w:rPr>
                <w:rFonts w:hint="eastAsia"/>
                <w:spacing w:val="-1"/>
                <w:lang w:eastAsia="zh-CN"/>
              </w:rPr>
            </w:pPr>
            <w:r>
              <w:rPr>
                <w:rFonts w:hint="eastAsia"/>
                <w:spacing w:val="-1"/>
                <w:lang w:eastAsia="zh-CN"/>
              </w:rPr>
              <w:t>西南证券 戚添翔</w:t>
            </w:r>
          </w:p>
          <w:p w14:paraId="32079C70">
            <w:pPr>
              <w:pStyle w:val="15"/>
              <w:autoSpaceDE/>
              <w:autoSpaceDN/>
              <w:spacing w:before="120" w:beforeLines="50" w:after="120" w:afterLines="50"/>
              <w:jc w:val="center"/>
              <w:rPr>
                <w:rFonts w:hint="eastAsia"/>
                <w:spacing w:val="-1"/>
                <w:lang w:eastAsia="zh-CN"/>
              </w:rPr>
            </w:pPr>
            <w:r>
              <w:rPr>
                <w:rFonts w:hint="eastAsia"/>
                <w:spacing w:val="-1"/>
                <w:lang w:eastAsia="zh-CN"/>
              </w:rPr>
              <w:t>中信建投基金 钱博文</w:t>
            </w:r>
          </w:p>
          <w:p w14:paraId="21FFDCE1">
            <w:pPr>
              <w:pStyle w:val="15"/>
              <w:autoSpaceDE/>
              <w:autoSpaceDN/>
              <w:spacing w:before="120" w:beforeLines="50" w:after="120" w:afterLines="50"/>
              <w:jc w:val="center"/>
              <w:rPr>
                <w:rFonts w:hint="eastAsia"/>
                <w:spacing w:val="-1"/>
                <w:lang w:eastAsia="zh-CN"/>
              </w:rPr>
            </w:pPr>
            <w:r>
              <w:rPr>
                <w:rFonts w:hint="eastAsia"/>
                <w:spacing w:val="-1"/>
                <w:lang w:eastAsia="zh-CN"/>
              </w:rPr>
              <w:t>广发基金 王鹏</w:t>
            </w:r>
          </w:p>
          <w:p w14:paraId="45BCAAC9">
            <w:pPr>
              <w:pStyle w:val="15"/>
              <w:autoSpaceDE/>
              <w:autoSpaceDN/>
              <w:spacing w:before="120" w:beforeLines="50" w:after="120" w:afterLines="50"/>
              <w:jc w:val="center"/>
              <w:rPr>
                <w:rFonts w:hint="eastAsia"/>
                <w:spacing w:val="-1"/>
                <w:lang w:eastAsia="zh-CN"/>
              </w:rPr>
            </w:pPr>
            <w:r>
              <w:rPr>
                <w:rFonts w:hint="eastAsia"/>
                <w:spacing w:val="-1"/>
                <w:lang w:eastAsia="zh-CN"/>
              </w:rPr>
              <w:t>真科基金 张聪</w:t>
            </w:r>
          </w:p>
          <w:p w14:paraId="00DC875D">
            <w:pPr>
              <w:pStyle w:val="15"/>
              <w:autoSpaceDE/>
              <w:autoSpaceDN/>
              <w:spacing w:before="120" w:beforeLines="50" w:after="120" w:afterLines="50"/>
              <w:jc w:val="center"/>
              <w:rPr>
                <w:rFonts w:hint="eastAsia"/>
                <w:spacing w:val="-1"/>
                <w:lang w:eastAsia="zh-CN"/>
              </w:rPr>
            </w:pPr>
            <w:r>
              <w:rPr>
                <w:rFonts w:hint="eastAsia"/>
                <w:spacing w:val="-1"/>
                <w:lang w:eastAsia="zh-CN"/>
              </w:rPr>
              <w:t>禾永投资 张文乾</w:t>
            </w:r>
          </w:p>
          <w:p w14:paraId="3A9B9BD1">
            <w:pPr>
              <w:pStyle w:val="15"/>
              <w:autoSpaceDE/>
              <w:autoSpaceDN/>
              <w:spacing w:before="120" w:beforeLines="50" w:after="120" w:afterLines="50"/>
              <w:jc w:val="center"/>
              <w:rPr>
                <w:rFonts w:ascii="Times New Roman" w:hAnsi="Times New Roman"/>
                <w:lang w:eastAsia="zh-CN"/>
              </w:rPr>
            </w:pPr>
            <w:r>
              <w:rPr>
                <w:rFonts w:hint="eastAsia" w:ascii="Times New Roman" w:hAnsi="Times New Roman"/>
                <w:lang w:eastAsia="zh-CN"/>
              </w:rPr>
              <w:t>2026年9月14日</w:t>
            </w:r>
          </w:p>
          <w:p w14:paraId="735686A8">
            <w:pPr>
              <w:pStyle w:val="15"/>
              <w:autoSpaceDE/>
              <w:autoSpaceDN/>
              <w:spacing w:before="120" w:beforeLines="50" w:after="120" w:afterLines="50"/>
              <w:jc w:val="center"/>
              <w:rPr>
                <w:rFonts w:ascii="Times New Roman" w:hAnsi="Times New Roman"/>
                <w:lang w:eastAsia="zh-CN"/>
              </w:rPr>
            </w:pPr>
            <w:r>
              <w:rPr>
                <w:rFonts w:hint="eastAsia" w:ascii="Times New Roman" w:hAnsi="Times New Roman"/>
                <w:lang w:eastAsia="zh-CN"/>
              </w:rPr>
              <w:t>东北证券 赵宇阳</w:t>
            </w:r>
          </w:p>
          <w:p w14:paraId="6ED382DB">
            <w:pPr>
              <w:pStyle w:val="15"/>
              <w:autoSpaceDE/>
              <w:autoSpaceDN/>
              <w:spacing w:before="120" w:beforeLines="50" w:after="120" w:afterLines="50"/>
              <w:jc w:val="center"/>
              <w:rPr>
                <w:rFonts w:ascii="Times New Roman" w:hAnsi="Times New Roman"/>
                <w:lang w:eastAsia="zh-CN"/>
              </w:rPr>
            </w:pPr>
            <w:r>
              <w:rPr>
                <w:rFonts w:hint="eastAsia" w:ascii="Times New Roman" w:hAnsi="Times New Roman"/>
                <w:lang w:eastAsia="zh-CN"/>
              </w:rPr>
              <w:t>东北证券 万陈鹏</w:t>
            </w:r>
          </w:p>
          <w:p w14:paraId="1FE92652">
            <w:pPr>
              <w:pStyle w:val="15"/>
              <w:autoSpaceDE/>
              <w:autoSpaceDN/>
              <w:spacing w:before="120" w:beforeLines="50" w:after="120" w:afterLines="50"/>
              <w:jc w:val="center"/>
              <w:rPr>
                <w:rFonts w:ascii="Times New Roman" w:hAnsi="Times New Roman"/>
                <w:lang w:eastAsia="zh-CN"/>
              </w:rPr>
            </w:pPr>
            <w:r>
              <w:rPr>
                <w:rFonts w:hint="eastAsia" w:ascii="Times New Roman" w:hAnsi="Times New Roman"/>
                <w:lang w:eastAsia="zh-CN"/>
              </w:rPr>
              <w:t>东北证券 廖岚琪</w:t>
            </w:r>
          </w:p>
          <w:p w14:paraId="358D9990">
            <w:pPr>
              <w:pStyle w:val="15"/>
              <w:autoSpaceDE/>
              <w:autoSpaceDN/>
              <w:spacing w:before="120" w:beforeLines="50" w:after="120" w:afterLines="50"/>
              <w:jc w:val="center"/>
              <w:rPr>
                <w:rFonts w:ascii="Times New Roman" w:hAnsi="Times New Roman"/>
                <w:lang w:eastAsia="zh-CN"/>
              </w:rPr>
            </w:pPr>
            <w:r>
              <w:rPr>
                <w:rFonts w:hint="eastAsia" w:ascii="Times New Roman" w:hAnsi="Times New Roman"/>
                <w:lang w:eastAsia="zh-CN"/>
              </w:rPr>
              <w:t>2026年9月15日</w:t>
            </w:r>
          </w:p>
          <w:p w14:paraId="3F3E85FA">
            <w:pPr>
              <w:pStyle w:val="15"/>
              <w:autoSpaceDE/>
              <w:autoSpaceDN/>
              <w:spacing w:before="120" w:beforeLines="50" w:after="120" w:afterLines="50"/>
              <w:jc w:val="center"/>
              <w:rPr>
                <w:rFonts w:hint="eastAsia"/>
                <w:lang w:eastAsia="zh-CN"/>
              </w:rPr>
            </w:pPr>
            <w:r>
              <w:rPr>
                <w:rFonts w:hint="eastAsia"/>
                <w:lang w:eastAsia="zh-CN"/>
              </w:rPr>
              <w:t>国联基金 蒙维洒</w:t>
            </w:r>
          </w:p>
          <w:p w14:paraId="19EC9D1A">
            <w:pPr>
              <w:pStyle w:val="15"/>
              <w:autoSpaceDE/>
              <w:autoSpaceDN/>
              <w:spacing w:before="120" w:beforeLines="50" w:after="120" w:afterLines="50"/>
              <w:jc w:val="center"/>
              <w:rPr>
                <w:rFonts w:hint="eastAsia"/>
                <w:lang w:eastAsia="zh-CN"/>
              </w:rPr>
            </w:pPr>
            <w:r>
              <w:rPr>
                <w:lang w:eastAsia="zh-CN"/>
              </w:rPr>
              <w:t>长城机械</w:t>
            </w:r>
            <w:r>
              <w:rPr>
                <w:rFonts w:hint="eastAsia"/>
                <w:lang w:eastAsia="zh-CN"/>
              </w:rPr>
              <w:t xml:space="preserve"> 汪湛帆</w:t>
            </w:r>
          </w:p>
          <w:p w14:paraId="436EDACC">
            <w:pPr>
              <w:pStyle w:val="15"/>
              <w:autoSpaceDE/>
              <w:autoSpaceDN/>
              <w:spacing w:before="120" w:beforeLines="50" w:after="120" w:afterLines="50"/>
              <w:jc w:val="center"/>
              <w:rPr>
                <w:rFonts w:hint="eastAsia"/>
                <w:lang w:eastAsia="zh-CN"/>
              </w:rPr>
            </w:pPr>
            <w:r>
              <w:rPr>
                <w:lang w:eastAsia="zh-CN"/>
              </w:rPr>
              <w:t>东方基金</w:t>
            </w:r>
            <w:r>
              <w:rPr>
                <w:rFonts w:hint="eastAsia"/>
                <w:lang w:eastAsia="zh-CN"/>
              </w:rPr>
              <w:t xml:space="preserve"> 李昱奇</w:t>
            </w:r>
          </w:p>
          <w:p w14:paraId="116873B0">
            <w:pPr>
              <w:pStyle w:val="15"/>
              <w:autoSpaceDE/>
              <w:autoSpaceDN/>
              <w:spacing w:before="120" w:beforeLines="50" w:after="120" w:afterLines="50"/>
              <w:jc w:val="center"/>
              <w:rPr>
                <w:rFonts w:hint="eastAsia"/>
                <w:lang w:eastAsia="zh-CN"/>
              </w:rPr>
            </w:pPr>
            <w:r>
              <w:rPr>
                <w:lang w:eastAsia="zh-CN"/>
              </w:rPr>
              <w:t>华夏基金</w:t>
            </w:r>
            <w:r>
              <w:rPr>
                <w:rFonts w:hint="eastAsia"/>
                <w:lang w:eastAsia="zh-CN"/>
              </w:rPr>
              <w:t xml:space="preserve"> 周天翎</w:t>
            </w:r>
          </w:p>
          <w:p w14:paraId="30C2D1CA">
            <w:pPr>
              <w:pStyle w:val="15"/>
              <w:autoSpaceDE/>
              <w:autoSpaceDN/>
              <w:spacing w:before="120" w:beforeLines="50" w:after="120" w:afterLines="50"/>
              <w:jc w:val="center"/>
              <w:rPr>
                <w:rFonts w:ascii="Times New Roman" w:hAnsi="Times New Roman"/>
                <w:lang w:eastAsia="zh-CN"/>
              </w:rPr>
            </w:pPr>
            <w:r>
              <w:rPr>
                <w:rFonts w:hint="eastAsia" w:ascii="Times New Roman" w:hAnsi="Times New Roman"/>
                <w:lang w:eastAsia="zh-CN"/>
              </w:rPr>
              <w:t>2026年9月16日</w:t>
            </w:r>
          </w:p>
          <w:p w14:paraId="241B4001">
            <w:pPr>
              <w:pStyle w:val="15"/>
              <w:autoSpaceDE/>
              <w:autoSpaceDN/>
              <w:spacing w:before="120" w:beforeLines="50" w:after="120" w:afterLines="50"/>
              <w:jc w:val="center"/>
              <w:rPr>
                <w:rFonts w:hint="eastAsia"/>
                <w:lang w:eastAsia="zh-CN" w:bidi="ar"/>
              </w:rPr>
            </w:pPr>
            <w:r>
              <w:rPr>
                <w:rFonts w:hint="eastAsia"/>
                <w:lang w:eastAsia="zh-CN" w:bidi="ar"/>
              </w:rPr>
              <w:t>天弘基金 邢少雄</w:t>
            </w:r>
          </w:p>
          <w:p w14:paraId="0C363D9A">
            <w:pPr>
              <w:pStyle w:val="15"/>
              <w:autoSpaceDE/>
              <w:autoSpaceDN/>
              <w:spacing w:before="120" w:beforeLines="50" w:after="120" w:afterLines="50"/>
              <w:jc w:val="center"/>
              <w:rPr>
                <w:rFonts w:hint="eastAsia"/>
                <w:lang w:eastAsia="zh-CN" w:bidi="ar"/>
              </w:rPr>
            </w:pPr>
            <w:r>
              <w:rPr>
                <w:rFonts w:hint="eastAsia"/>
                <w:lang w:eastAsia="zh-CN" w:bidi="ar"/>
              </w:rPr>
              <w:t>盘京投资 张弋</w:t>
            </w:r>
          </w:p>
          <w:p w14:paraId="1DCF8CEC">
            <w:pPr>
              <w:pStyle w:val="15"/>
              <w:autoSpaceDE/>
              <w:autoSpaceDN/>
              <w:spacing w:before="120" w:beforeLines="50" w:after="120" w:afterLines="50"/>
              <w:jc w:val="center"/>
              <w:rPr>
                <w:rFonts w:hint="eastAsia"/>
                <w:lang w:eastAsia="zh-CN" w:bidi="ar"/>
              </w:rPr>
            </w:pPr>
            <w:r>
              <w:rPr>
                <w:rFonts w:hint="eastAsia"/>
                <w:lang w:eastAsia="zh-CN" w:bidi="ar"/>
              </w:rPr>
              <w:t>国海证券 闫智</w:t>
            </w:r>
          </w:p>
          <w:p w14:paraId="2F513DF7">
            <w:pPr>
              <w:pStyle w:val="15"/>
              <w:autoSpaceDE/>
              <w:autoSpaceDN/>
              <w:spacing w:before="120" w:beforeLines="50" w:after="120" w:afterLines="50"/>
              <w:jc w:val="center"/>
              <w:rPr>
                <w:rFonts w:hint="eastAsia"/>
                <w:lang w:eastAsia="zh-CN" w:bidi="ar"/>
              </w:rPr>
            </w:pPr>
            <w:r>
              <w:rPr>
                <w:rFonts w:hint="eastAsia"/>
                <w:lang w:eastAsia="zh-CN" w:bidi="ar"/>
              </w:rPr>
              <w:t>宏利基金 刘硕</w:t>
            </w:r>
          </w:p>
          <w:p w14:paraId="74F951F1">
            <w:pPr>
              <w:pStyle w:val="15"/>
              <w:autoSpaceDE/>
              <w:autoSpaceDN/>
              <w:spacing w:before="120" w:beforeLines="50" w:after="120" w:afterLines="50"/>
              <w:jc w:val="center"/>
              <w:rPr>
                <w:rFonts w:hint="eastAsia"/>
                <w:lang w:eastAsia="zh-CN" w:bidi="ar"/>
              </w:rPr>
            </w:pPr>
            <w:r>
              <w:rPr>
                <w:rFonts w:hint="eastAsia"/>
                <w:lang w:eastAsia="zh-CN" w:bidi="ar"/>
              </w:rPr>
              <w:t>秋收基金 李永磊</w:t>
            </w:r>
          </w:p>
          <w:p w14:paraId="4C5CB981">
            <w:pPr>
              <w:pStyle w:val="15"/>
              <w:autoSpaceDE/>
              <w:autoSpaceDN/>
              <w:spacing w:before="120" w:beforeLines="50" w:after="120" w:afterLines="50"/>
              <w:jc w:val="center"/>
              <w:rPr>
                <w:rFonts w:hint="eastAsia"/>
                <w:lang w:eastAsia="zh-CN" w:bidi="ar"/>
              </w:rPr>
            </w:pPr>
            <w:r>
              <w:rPr>
                <w:rFonts w:hint="eastAsia"/>
                <w:lang w:eastAsia="zh-CN" w:bidi="ar"/>
              </w:rPr>
              <w:t>长盛基金 侯智中</w:t>
            </w:r>
          </w:p>
          <w:p w14:paraId="70F35DB2">
            <w:pPr>
              <w:pStyle w:val="15"/>
              <w:autoSpaceDE/>
              <w:autoSpaceDN/>
              <w:spacing w:before="120" w:beforeLines="50" w:after="120" w:afterLines="50"/>
              <w:jc w:val="center"/>
              <w:rPr>
                <w:rFonts w:hint="eastAsia"/>
                <w:lang w:eastAsia="zh-CN" w:bidi="ar"/>
              </w:rPr>
            </w:pPr>
            <w:r>
              <w:rPr>
                <w:rFonts w:hint="eastAsia"/>
                <w:lang w:eastAsia="zh-CN" w:bidi="ar"/>
              </w:rPr>
              <w:t>宏利基金 丁申</w:t>
            </w:r>
          </w:p>
          <w:p w14:paraId="5AFDC7C3">
            <w:pPr>
              <w:pStyle w:val="15"/>
              <w:autoSpaceDE/>
              <w:autoSpaceDN/>
              <w:spacing w:before="120" w:beforeLines="50" w:after="120" w:afterLines="50"/>
              <w:jc w:val="center"/>
              <w:rPr>
                <w:rFonts w:hint="eastAsia"/>
                <w:lang w:eastAsia="zh-CN" w:bidi="ar"/>
              </w:rPr>
            </w:pPr>
            <w:r>
              <w:rPr>
                <w:rFonts w:hint="eastAsia"/>
                <w:lang w:eastAsia="zh-CN" w:bidi="ar"/>
              </w:rPr>
              <w:t>天弘基金 陈祥</w:t>
            </w:r>
          </w:p>
        </w:tc>
      </w:tr>
      <w:tr w14:paraId="6A225C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trPr>
        <w:tc>
          <w:tcPr>
            <w:tcW w:w="2171" w:type="dxa"/>
            <w:vAlign w:val="center"/>
          </w:tcPr>
          <w:p w14:paraId="579C780A">
            <w:pPr>
              <w:pStyle w:val="15"/>
              <w:autoSpaceDE/>
              <w:autoSpaceDN/>
              <w:jc w:val="center"/>
              <w:rPr>
                <w:rFonts w:ascii="Times New Roman" w:hAnsi="Times New Roman"/>
              </w:rPr>
            </w:pPr>
            <w:r>
              <w:rPr>
                <w:rFonts w:hint="eastAsia" w:ascii="Times New Roman" w:hAnsi="Times New Roman"/>
                <w:b/>
                <w:bCs/>
                <w:spacing w:val="-13"/>
              </w:rPr>
              <w:t>时间</w:t>
            </w:r>
          </w:p>
        </w:tc>
        <w:tc>
          <w:tcPr>
            <w:tcW w:w="6124" w:type="dxa"/>
            <w:gridSpan w:val="2"/>
          </w:tcPr>
          <w:p w14:paraId="28B60674">
            <w:pPr>
              <w:pStyle w:val="15"/>
              <w:autoSpaceDE/>
              <w:autoSpaceDN/>
              <w:spacing w:before="139" w:line="221" w:lineRule="auto"/>
              <w:jc w:val="center"/>
              <w:rPr>
                <w:rFonts w:ascii="Times New Roman" w:hAnsi="Times New Roman"/>
                <w:lang w:eastAsia="zh-CN"/>
              </w:rPr>
            </w:pPr>
            <w:r>
              <w:rPr>
                <w:rFonts w:hint="eastAsia" w:ascii="Times New Roman" w:hAnsi="Times New Roman"/>
                <w:lang w:eastAsia="zh-CN"/>
              </w:rPr>
              <w:t>2026年9月11日、2026年9月14日、2026年9月15日、2026年9月16日</w:t>
            </w:r>
          </w:p>
        </w:tc>
      </w:tr>
      <w:tr w14:paraId="1491B0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1" w:hRule="atLeast"/>
        </w:trPr>
        <w:tc>
          <w:tcPr>
            <w:tcW w:w="2171" w:type="dxa"/>
            <w:vAlign w:val="center"/>
          </w:tcPr>
          <w:p w14:paraId="43404B43">
            <w:pPr>
              <w:pStyle w:val="15"/>
              <w:autoSpaceDE/>
              <w:autoSpaceDN/>
              <w:jc w:val="center"/>
              <w:rPr>
                <w:rFonts w:ascii="Times New Roman" w:hAnsi="Times New Roman"/>
              </w:rPr>
            </w:pPr>
            <w:r>
              <w:rPr>
                <w:rFonts w:hint="eastAsia" w:ascii="Times New Roman" w:hAnsi="Times New Roman"/>
                <w:b/>
                <w:bCs/>
                <w:spacing w:val="-7"/>
              </w:rPr>
              <w:t>地点</w:t>
            </w:r>
          </w:p>
        </w:tc>
        <w:tc>
          <w:tcPr>
            <w:tcW w:w="6124" w:type="dxa"/>
            <w:gridSpan w:val="2"/>
            <w:vAlign w:val="center"/>
          </w:tcPr>
          <w:p w14:paraId="149433BE">
            <w:pPr>
              <w:pStyle w:val="15"/>
              <w:spacing w:before="78" w:line="219" w:lineRule="auto"/>
              <w:jc w:val="center"/>
              <w:rPr>
                <w:rFonts w:ascii="Times New Roman" w:hAnsi="Times New Roman"/>
                <w:lang w:eastAsia="zh-CN"/>
              </w:rPr>
            </w:pPr>
            <w:r>
              <w:rPr>
                <w:rFonts w:hint="eastAsia"/>
                <w:lang w:eastAsia="zh-CN"/>
              </w:rPr>
              <w:t>公司第一会议室、第二会议室</w:t>
            </w:r>
          </w:p>
        </w:tc>
      </w:tr>
      <w:tr w14:paraId="3AAFB9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4" w:hRule="atLeast"/>
        </w:trPr>
        <w:tc>
          <w:tcPr>
            <w:tcW w:w="2171" w:type="dxa"/>
            <w:vAlign w:val="center"/>
          </w:tcPr>
          <w:p w14:paraId="7859184F">
            <w:pPr>
              <w:pStyle w:val="15"/>
              <w:autoSpaceDE/>
              <w:autoSpaceDN/>
              <w:jc w:val="center"/>
              <w:rPr>
                <w:rFonts w:ascii="Times New Roman" w:hAnsi="Times New Roman"/>
                <w:lang w:eastAsia="zh-CN"/>
              </w:rPr>
            </w:pPr>
            <w:r>
              <w:rPr>
                <w:rFonts w:hint="eastAsia" w:ascii="Times New Roman" w:hAnsi="Times New Roman"/>
                <w:b/>
                <w:bCs/>
                <w:spacing w:val="-4"/>
                <w:lang w:eastAsia="zh-CN"/>
              </w:rPr>
              <w:t>上市公司接待人员</w:t>
            </w:r>
            <w:r>
              <w:rPr>
                <w:rFonts w:hint="eastAsia" w:ascii="Times New Roman" w:hAnsi="Times New Roman"/>
                <w:b/>
                <w:bCs/>
                <w:spacing w:val="-7"/>
                <w:lang w:eastAsia="zh-CN"/>
              </w:rPr>
              <w:t>姓名</w:t>
            </w:r>
          </w:p>
        </w:tc>
        <w:tc>
          <w:tcPr>
            <w:tcW w:w="6124" w:type="dxa"/>
            <w:gridSpan w:val="2"/>
            <w:vAlign w:val="center"/>
          </w:tcPr>
          <w:p w14:paraId="2C58231A">
            <w:pPr>
              <w:pStyle w:val="15"/>
              <w:autoSpaceDE/>
              <w:autoSpaceDN/>
              <w:spacing w:before="120" w:beforeLines="50" w:after="120" w:afterLines="50"/>
              <w:ind w:firstLine="833" w:firstLineChars="350"/>
              <w:rPr>
                <w:rFonts w:ascii="Times New Roman" w:hAnsi="Times New Roman"/>
                <w:spacing w:val="-1"/>
                <w:lang w:eastAsia="zh-CN"/>
              </w:rPr>
            </w:pPr>
            <w:r>
              <w:rPr>
                <w:rFonts w:hint="eastAsia" w:ascii="Times New Roman" w:hAnsi="Times New Roman"/>
                <w:spacing w:val="-1"/>
                <w:lang w:eastAsia="zh-CN"/>
              </w:rPr>
              <w:t>副总裁、财务总监兼董事会秘书 张侃</w:t>
            </w:r>
          </w:p>
          <w:p w14:paraId="68413A68">
            <w:pPr>
              <w:pStyle w:val="15"/>
              <w:autoSpaceDE/>
              <w:autoSpaceDN/>
              <w:spacing w:before="120" w:beforeLines="50" w:after="120" w:afterLines="50"/>
              <w:ind w:firstLine="840" w:firstLineChars="350"/>
              <w:rPr>
                <w:rFonts w:ascii="Times New Roman" w:hAnsi="Times New Roman"/>
                <w:lang w:eastAsia="zh-CN"/>
              </w:rPr>
            </w:pPr>
            <w:r>
              <w:rPr>
                <w:rFonts w:hint="eastAsia" w:ascii="Times New Roman" w:hAnsi="Times New Roman"/>
                <w:lang w:eastAsia="zh-CN"/>
              </w:rPr>
              <w:t>董事会办公室副主任、证券事务代表 衡欢乐</w:t>
            </w:r>
          </w:p>
        </w:tc>
      </w:tr>
      <w:tr w14:paraId="248583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2171" w:type="dxa"/>
            <w:vAlign w:val="center"/>
          </w:tcPr>
          <w:p w14:paraId="076E5011">
            <w:pPr>
              <w:pStyle w:val="15"/>
              <w:autoSpaceDE/>
              <w:autoSpaceDN/>
              <w:jc w:val="center"/>
              <w:rPr>
                <w:rFonts w:ascii="Times New Roman" w:hAnsi="Times New Roman"/>
                <w:lang w:eastAsia="zh-CN"/>
              </w:rPr>
            </w:pPr>
            <w:r>
              <w:rPr>
                <w:rFonts w:hint="eastAsia" w:ascii="Times New Roman" w:hAnsi="Times New Roman"/>
                <w:b/>
                <w:bCs/>
                <w:spacing w:val="-4"/>
                <w:lang w:eastAsia="zh-CN"/>
              </w:rPr>
              <w:t>投资者关系活动主要</w:t>
            </w:r>
            <w:r>
              <w:rPr>
                <w:rFonts w:hint="eastAsia" w:ascii="Times New Roman" w:hAnsi="Times New Roman"/>
                <w:b/>
                <w:bCs/>
                <w:spacing w:val="-12"/>
                <w:lang w:eastAsia="zh-CN"/>
              </w:rPr>
              <w:t>内容介绍</w:t>
            </w:r>
          </w:p>
        </w:tc>
        <w:tc>
          <w:tcPr>
            <w:tcW w:w="6124" w:type="dxa"/>
            <w:gridSpan w:val="2"/>
          </w:tcPr>
          <w:p w14:paraId="4F1D35A2">
            <w:pPr>
              <w:pStyle w:val="16"/>
              <w:spacing w:before="120" w:beforeLines="50" w:after="120" w:afterLines="50"/>
              <w:ind w:left="23" w:right="23" w:firstLine="470" w:firstLineChars="200"/>
              <w:rPr>
                <w:rFonts w:hint="eastAsia" w:ascii="宋体" w:hAnsi="宋体"/>
                <w:b/>
                <w:bCs/>
                <w:spacing w:val="-3"/>
                <w:sz w:val="24"/>
                <w:szCs w:val="24"/>
              </w:rPr>
            </w:pPr>
            <w:r>
              <w:rPr>
                <w:rFonts w:hint="eastAsia" w:ascii="宋体" w:hAnsi="宋体"/>
                <w:b/>
                <w:bCs/>
                <w:spacing w:val="-3"/>
                <w:sz w:val="24"/>
                <w:szCs w:val="24"/>
              </w:rPr>
              <w:t>一、请介绍公司目前的业务情况？</w:t>
            </w:r>
          </w:p>
          <w:p w14:paraId="5A600DBD">
            <w:pPr>
              <w:pStyle w:val="16"/>
              <w:spacing w:before="120" w:beforeLines="50" w:after="120" w:afterLines="50"/>
              <w:ind w:left="23" w:right="23" w:firstLine="480" w:firstLineChars="200"/>
              <w:rPr>
                <w:rFonts w:ascii="Times New Roman" w:hAnsi="Times New Roman"/>
                <w:sz w:val="24"/>
                <w:szCs w:val="24"/>
              </w:rPr>
            </w:pPr>
            <w:r>
              <w:rPr>
                <w:rFonts w:hint="eastAsia" w:ascii="Times New Roman" w:hAnsi="Times New Roman"/>
                <w:sz w:val="24"/>
                <w:szCs w:val="24"/>
              </w:rPr>
              <w:t>回复：</w:t>
            </w:r>
          </w:p>
          <w:p w14:paraId="7BB6CFC4">
            <w:pPr>
              <w:pStyle w:val="16"/>
              <w:spacing w:before="120" w:beforeLines="50" w:after="120" w:afterLines="50"/>
              <w:ind w:left="23" w:right="23" w:firstLine="480" w:firstLineChars="200"/>
              <w:jc w:val="both"/>
              <w:rPr>
                <w:rFonts w:hint="eastAsia" w:ascii="宋体" w:hAnsi="宋体"/>
                <w:sz w:val="24"/>
                <w:szCs w:val="24"/>
              </w:rPr>
            </w:pPr>
            <w:r>
              <w:rPr>
                <w:rFonts w:ascii="宋体" w:hAnsi="宋体"/>
                <w:sz w:val="24"/>
                <w:szCs w:val="24"/>
              </w:rPr>
              <w:t>北京九州一轨环境科技股份有限公司</w:t>
            </w:r>
            <w:r>
              <w:rPr>
                <w:rFonts w:hint="eastAsia" w:ascii="宋体" w:hAnsi="宋体"/>
                <w:sz w:val="24"/>
                <w:szCs w:val="24"/>
              </w:rPr>
              <w:t>（以下简称“公司”或“九州一轨”）</w:t>
            </w:r>
            <w:r>
              <w:rPr>
                <w:rFonts w:ascii="宋体" w:hAnsi="宋体"/>
                <w:sz w:val="24"/>
                <w:szCs w:val="24"/>
              </w:rPr>
              <w:t>以声学专业研究为核心，构建了</w:t>
            </w:r>
            <w:r>
              <w:rPr>
                <w:rFonts w:hint="eastAsia" w:ascii="宋体" w:hAnsi="宋体"/>
                <w:sz w:val="24"/>
                <w:szCs w:val="24"/>
              </w:rPr>
              <w:t>由“</w:t>
            </w:r>
            <w:r>
              <w:rPr>
                <w:rFonts w:ascii="宋体" w:hAnsi="宋体"/>
                <w:sz w:val="24"/>
                <w:szCs w:val="24"/>
              </w:rPr>
              <w:t>精准物理防治+声纹诊断开发</w:t>
            </w:r>
            <w:r>
              <w:rPr>
                <w:rFonts w:hint="eastAsia" w:ascii="宋体" w:hAnsi="宋体"/>
                <w:sz w:val="24"/>
                <w:szCs w:val="24"/>
              </w:rPr>
              <w:t>”</w:t>
            </w:r>
            <w:r>
              <w:rPr>
                <w:rFonts w:ascii="宋体" w:hAnsi="宋体"/>
                <w:sz w:val="24"/>
                <w:szCs w:val="24"/>
              </w:rPr>
              <w:t>两翼协同的业务格局，并向</w:t>
            </w:r>
            <w:r>
              <w:rPr>
                <w:rFonts w:hint="eastAsia" w:ascii="宋体" w:hAnsi="宋体"/>
                <w:sz w:val="24"/>
                <w:szCs w:val="24"/>
              </w:rPr>
              <w:t>城市轨道交通、工业与民用建筑、</w:t>
            </w:r>
            <w:r>
              <w:rPr>
                <w:rFonts w:ascii="宋体" w:hAnsi="宋体"/>
                <w:sz w:val="24"/>
                <w:szCs w:val="24"/>
              </w:rPr>
              <w:t>半导体精密加工等多板块延伸。</w:t>
            </w:r>
          </w:p>
          <w:p w14:paraId="43B47BA5">
            <w:pPr>
              <w:pStyle w:val="16"/>
              <w:spacing w:before="120" w:beforeLines="50" w:after="120" w:afterLines="50"/>
              <w:ind w:left="23" w:right="23" w:firstLine="480" w:firstLineChars="200"/>
              <w:jc w:val="both"/>
              <w:rPr>
                <w:rFonts w:hint="eastAsia" w:ascii="宋体" w:hAnsi="宋体"/>
                <w:sz w:val="24"/>
                <w:szCs w:val="24"/>
              </w:rPr>
            </w:pPr>
            <w:r>
              <w:rPr>
                <w:rFonts w:ascii="宋体" w:hAnsi="宋体"/>
                <w:sz w:val="24"/>
                <w:szCs w:val="24"/>
              </w:rPr>
              <w:t>公司自科研院所孵化而来，深耕声学领域十余年，围绕</w:t>
            </w:r>
            <w:r>
              <w:rPr>
                <w:rFonts w:hint="eastAsia" w:ascii="宋体" w:hAnsi="宋体"/>
                <w:sz w:val="24"/>
                <w:szCs w:val="24"/>
              </w:rPr>
              <w:t>“</w:t>
            </w:r>
            <w:r>
              <w:rPr>
                <w:rFonts w:ascii="宋体" w:hAnsi="宋体"/>
                <w:sz w:val="24"/>
                <w:szCs w:val="24"/>
              </w:rPr>
              <w:t>声音解构</w:t>
            </w:r>
            <w:r>
              <w:rPr>
                <w:rFonts w:hint="eastAsia" w:ascii="宋体" w:hAnsi="宋体"/>
                <w:sz w:val="24"/>
                <w:szCs w:val="24"/>
              </w:rPr>
              <w:t>”</w:t>
            </w:r>
            <w:r>
              <w:rPr>
                <w:rFonts w:ascii="宋体" w:hAnsi="宋体"/>
                <w:sz w:val="24"/>
                <w:szCs w:val="24"/>
              </w:rPr>
              <w:t>技术方向，在减振降噪、声纹</w:t>
            </w:r>
            <w:r>
              <w:rPr>
                <w:rFonts w:hint="eastAsia" w:ascii="宋体" w:hAnsi="宋体"/>
                <w:sz w:val="24"/>
                <w:szCs w:val="24"/>
              </w:rPr>
              <w:t>监测</w:t>
            </w:r>
            <w:r>
              <w:rPr>
                <w:rFonts w:ascii="宋体" w:hAnsi="宋体"/>
                <w:sz w:val="24"/>
                <w:szCs w:val="24"/>
              </w:rPr>
              <w:t>、分布式光纤传感等方面积累了深厚的技术功底</w:t>
            </w:r>
            <w:r>
              <w:rPr>
                <w:rFonts w:hint="eastAsia" w:ascii="宋体" w:hAnsi="宋体"/>
                <w:sz w:val="24"/>
                <w:szCs w:val="24"/>
              </w:rPr>
              <w:t>，</w:t>
            </w:r>
            <w:r>
              <w:rPr>
                <w:rFonts w:ascii="宋体" w:hAnsi="宋体"/>
                <w:sz w:val="24"/>
                <w:szCs w:val="24"/>
              </w:rPr>
              <w:t>为两翼业务和多板块拓展提供核心技术支撑。</w:t>
            </w:r>
            <w:r>
              <w:rPr>
                <w:rFonts w:hint="eastAsia" w:ascii="宋体" w:hAnsi="宋体"/>
                <w:sz w:val="24"/>
                <w:szCs w:val="24"/>
              </w:rPr>
              <w:t>一方面，</w:t>
            </w:r>
            <w:r>
              <w:rPr>
                <w:rFonts w:ascii="宋体" w:hAnsi="宋体"/>
                <w:sz w:val="24"/>
                <w:szCs w:val="24"/>
              </w:rPr>
              <w:t>精准物理防治面向城市轨道交通、工业及民用建筑、TOD上盖开发项目等应用场景，提供钢弹簧浮置道床减振系统、预制式钢弹簧浮置板、声屏障、隔离式高弹性减振垫、聚氨酯减振垫、重型调频钢轨耗能装置等噪声振动物理防治产品与解决方案</w:t>
            </w:r>
            <w:r>
              <w:rPr>
                <w:rFonts w:hint="eastAsia" w:ascii="宋体" w:hAnsi="宋体"/>
                <w:sz w:val="24"/>
                <w:szCs w:val="24"/>
              </w:rPr>
              <w:t>。另一方面，</w:t>
            </w:r>
            <w:r>
              <w:rPr>
                <w:rFonts w:ascii="宋体" w:hAnsi="宋体"/>
                <w:sz w:val="24"/>
                <w:szCs w:val="24"/>
              </w:rPr>
              <w:t>声纹诊断开发运用人工智能技术、声纹数据及状态监测体系，针对城市轨道交通等领域开展智慧运维、病害治理及结构安全方面的研究、开发和专业服务</w:t>
            </w:r>
            <w:r>
              <w:rPr>
                <w:rFonts w:hint="eastAsia" w:ascii="宋体" w:hAnsi="宋体"/>
                <w:sz w:val="24"/>
                <w:szCs w:val="24"/>
              </w:rPr>
              <w:t>，</w:t>
            </w:r>
            <w:r>
              <w:rPr>
                <w:rFonts w:ascii="宋体" w:hAnsi="宋体"/>
                <w:sz w:val="24"/>
                <w:szCs w:val="24"/>
              </w:rPr>
              <w:t>目前已在北京、郑州等多个城市落地应用。</w:t>
            </w:r>
          </w:p>
          <w:p w14:paraId="79DF5540">
            <w:pPr>
              <w:pStyle w:val="16"/>
              <w:spacing w:before="120" w:beforeLines="50" w:after="120" w:afterLines="50"/>
              <w:ind w:left="23" w:right="23" w:firstLine="480" w:firstLineChars="200"/>
              <w:jc w:val="both"/>
              <w:rPr>
                <w:rFonts w:hint="eastAsia" w:ascii="宋体" w:hAnsi="宋体"/>
                <w:sz w:val="24"/>
                <w:szCs w:val="24"/>
              </w:rPr>
            </w:pPr>
            <w:r>
              <w:rPr>
                <w:rFonts w:ascii="宋体" w:hAnsi="宋体"/>
                <w:sz w:val="24"/>
                <w:szCs w:val="24"/>
              </w:rPr>
              <w:t>2026年，公司</w:t>
            </w:r>
            <w:r>
              <w:rPr>
                <w:rFonts w:hint="eastAsia" w:ascii="宋体" w:hAnsi="宋体"/>
                <w:sz w:val="24"/>
                <w:szCs w:val="24"/>
              </w:rPr>
              <w:t>通过对</w:t>
            </w:r>
            <w:r>
              <w:rPr>
                <w:rFonts w:ascii="宋体" w:hAnsi="宋体"/>
                <w:sz w:val="24"/>
                <w:szCs w:val="24"/>
              </w:rPr>
              <w:t>苏州晶禧半导体科技有限公司</w:t>
            </w:r>
            <w:r>
              <w:rPr>
                <w:rFonts w:hint="eastAsia" w:ascii="宋体" w:hAnsi="宋体"/>
                <w:sz w:val="24"/>
                <w:szCs w:val="24"/>
              </w:rPr>
              <w:t>（以下简称“</w:t>
            </w:r>
            <w:r>
              <w:rPr>
                <w:rFonts w:ascii="宋体" w:hAnsi="宋体"/>
                <w:sz w:val="24"/>
                <w:szCs w:val="24"/>
              </w:rPr>
              <w:t>晶禧</w:t>
            </w:r>
            <w:r>
              <w:rPr>
                <w:rFonts w:hint="eastAsia" w:ascii="宋体" w:hAnsi="宋体"/>
                <w:sz w:val="24"/>
                <w:szCs w:val="24"/>
              </w:rPr>
              <w:t>半导体”）</w:t>
            </w:r>
            <w:r>
              <w:rPr>
                <w:rFonts w:ascii="宋体" w:hAnsi="宋体"/>
                <w:sz w:val="24"/>
                <w:szCs w:val="24"/>
              </w:rPr>
              <w:t>100%股权的收购，正式切入半导体精密加工领域。晶禧半导体专注于高精度激光隐形切割技术在硅光芯片制造中的应用，可为客户提供晶圆激光隐形切割、减薄、分选检测等一站式精密加工服务。公司希望通过这一产业布局，进一步打通</w:t>
            </w:r>
            <w:r>
              <w:rPr>
                <w:rFonts w:hint="eastAsia" w:ascii="宋体" w:hAnsi="宋体"/>
                <w:sz w:val="24"/>
                <w:szCs w:val="24"/>
              </w:rPr>
              <w:t>“</w:t>
            </w:r>
            <w:r>
              <w:rPr>
                <w:rFonts w:ascii="宋体" w:hAnsi="宋体"/>
                <w:sz w:val="24"/>
                <w:szCs w:val="24"/>
              </w:rPr>
              <w:t>激光切割工艺—光纤传感芯片—声纹监测终端</w:t>
            </w:r>
            <w:r>
              <w:rPr>
                <w:rFonts w:hint="eastAsia" w:ascii="宋体" w:hAnsi="宋体"/>
                <w:sz w:val="24"/>
                <w:szCs w:val="24"/>
              </w:rPr>
              <w:t>”</w:t>
            </w:r>
            <w:r>
              <w:rPr>
                <w:rFonts w:ascii="宋体" w:hAnsi="宋体"/>
                <w:sz w:val="24"/>
                <w:szCs w:val="24"/>
              </w:rPr>
              <w:t>的产业链协同。</w:t>
            </w:r>
          </w:p>
          <w:p w14:paraId="5BFD48BE">
            <w:pPr>
              <w:pStyle w:val="16"/>
              <w:spacing w:before="120" w:beforeLines="50" w:after="120" w:afterLines="50"/>
              <w:ind w:left="23" w:right="23" w:firstLine="470" w:firstLineChars="200"/>
              <w:rPr>
                <w:rFonts w:hint="eastAsia" w:ascii="宋体" w:hAnsi="宋体"/>
                <w:b/>
                <w:bCs/>
                <w:spacing w:val="-3"/>
                <w:sz w:val="24"/>
                <w:szCs w:val="24"/>
              </w:rPr>
            </w:pPr>
            <w:r>
              <w:rPr>
                <w:rFonts w:hint="eastAsia" w:ascii="宋体" w:hAnsi="宋体"/>
                <w:b/>
                <w:bCs/>
                <w:spacing w:val="-3"/>
                <w:sz w:val="24"/>
                <w:szCs w:val="24"/>
              </w:rPr>
              <w:t>二、公司目前股东人数是多少？</w:t>
            </w:r>
          </w:p>
          <w:p w14:paraId="379DE1B8">
            <w:pPr>
              <w:pStyle w:val="16"/>
              <w:spacing w:before="120" w:beforeLines="50" w:after="120" w:afterLines="50"/>
              <w:ind w:left="23" w:right="23" w:firstLine="480" w:firstLineChars="200"/>
              <w:rPr>
                <w:rFonts w:hint="eastAsia" w:ascii="宋体" w:hAnsi="宋体"/>
                <w:snapToGrid w:val="0"/>
                <w:color w:val="000000"/>
                <w:sz w:val="24"/>
                <w:szCs w:val="24"/>
              </w:rPr>
            </w:pPr>
            <w:r>
              <w:rPr>
                <w:rFonts w:hint="eastAsia" w:ascii="宋体" w:hAnsi="宋体"/>
                <w:snapToGrid w:val="0"/>
                <w:color w:val="000000"/>
                <w:sz w:val="24"/>
                <w:szCs w:val="24"/>
              </w:rPr>
              <w:t>回复：</w:t>
            </w:r>
          </w:p>
          <w:p w14:paraId="0C6A64DB">
            <w:pPr>
              <w:pStyle w:val="16"/>
              <w:spacing w:before="120" w:beforeLines="50" w:after="120" w:afterLines="50"/>
              <w:ind w:left="23" w:right="23" w:firstLine="480" w:firstLineChars="200"/>
              <w:jc w:val="both"/>
              <w:rPr>
                <w:rFonts w:hint="eastAsia" w:ascii="宋体" w:hAnsi="宋体"/>
                <w:sz w:val="24"/>
                <w:szCs w:val="24"/>
              </w:rPr>
            </w:pPr>
            <w:r>
              <w:rPr>
                <w:rFonts w:hint="eastAsia" w:ascii="宋体" w:hAnsi="宋体"/>
                <w:snapToGrid w:val="0"/>
                <w:color w:val="000000"/>
                <w:sz w:val="24"/>
                <w:szCs w:val="24"/>
              </w:rPr>
              <w:t>截至2026年6月30日，公司普通股股东总数为8,192户。相关股东人数敬请关注公司定期报告股东信息部分披露的数据</w:t>
            </w:r>
            <w:r>
              <w:rPr>
                <w:rFonts w:ascii="宋体" w:hAnsi="宋体"/>
                <w:sz w:val="24"/>
                <w:szCs w:val="24"/>
              </w:rPr>
              <w:t>。</w:t>
            </w:r>
          </w:p>
          <w:p w14:paraId="0C83D316">
            <w:pPr>
              <w:pStyle w:val="16"/>
              <w:spacing w:before="120" w:beforeLines="50" w:after="120" w:afterLines="50"/>
              <w:ind w:left="23" w:right="23" w:firstLine="470" w:firstLineChars="200"/>
              <w:rPr>
                <w:rFonts w:hint="eastAsia" w:ascii="宋体" w:hAnsi="宋体"/>
                <w:b/>
                <w:bCs/>
                <w:spacing w:val="-3"/>
                <w:sz w:val="24"/>
                <w:szCs w:val="24"/>
              </w:rPr>
            </w:pPr>
            <w:r>
              <w:rPr>
                <w:rFonts w:hint="eastAsia" w:ascii="宋体" w:hAnsi="宋体"/>
                <w:b/>
                <w:bCs/>
                <w:spacing w:val="-3"/>
                <w:sz w:val="24"/>
                <w:szCs w:val="24"/>
              </w:rPr>
              <w:t>三、公司目前的研发体系和人才队伍建设情况如何？在知识产权和专利方面有哪些成果？</w:t>
            </w:r>
          </w:p>
          <w:p w14:paraId="2F5F2323">
            <w:pPr>
              <w:pStyle w:val="16"/>
              <w:spacing w:before="120" w:beforeLines="50" w:after="120" w:afterLines="50"/>
              <w:ind w:left="23" w:right="23" w:firstLine="480" w:firstLineChars="200"/>
              <w:rPr>
                <w:rFonts w:hint="eastAsia" w:ascii="宋体" w:hAnsi="宋体"/>
                <w:snapToGrid w:val="0"/>
                <w:color w:val="000000"/>
                <w:sz w:val="24"/>
                <w:szCs w:val="24"/>
              </w:rPr>
            </w:pPr>
            <w:r>
              <w:rPr>
                <w:rFonts w:hint="eastAsia" w:ascii="宋体" w:hAnsi="宋体"/>
                <w:snapToGrid w:val="0"/>
                <w:color w:val="000000"/>
                <w:sz w:val="24"/>
                <w:szCs w:val="24"/>
              </w:rPr>
              <w:t>回复：</w:t>
            </w:r>
          </w:p>
          <w:p w14:paraId="53A17EC7">
            <w:pPr>
              <w:pStyle w:val="16"/>
              <w:spacing w:before="120" w:beforeLines="50" w:after="120" w:afterLines="50"/>
              <w:ind w:left="23" w:right="23" w:firstLine="480" w:firstLineChars="200"/>
              <w:jc w:val="both"/>
              <w:rPr>
                <w:rFonts w:hint="eastAsia" w:ascii="宋体" w:hAnsi="宋体"/>
                <w:snapToGrid w:val="0"/>
                <w:color w:val="000000"/>
                <w:sz w:val="24"/>
                <w:szCs w:val="24"/>
              </w:rPr>
            </w:pPr>
            <w:r>
              <w:rPr>
                <w:rFonts w:hint="eastAsia" w:ascii="宋体" w:hAnsi="宋体"/>
                <w:snapToGrid w:val="0"/>
                <w:color w:val="000000"/>
                <w:sz w:val="24"/>
                <w:szCs w:val="24"/>
              </w:rPr>
              <w:t>公司在声纹信息研究院和</w:t>
            </w:r>
            <w:r>
              <w:rPr>
                <w:rFonts w:hint="eastAsia" w:ascii="宋体" w:hAnsi="宋体"/>
                <w:snapToGrid w:val="0"/>
                <w:color w:val="000000"/>
                <w:sz w:val="24"/>
                <w:szCs w:val="24"/>
                <w:lang w:bidi="ar"/>
              </w:rPr>
              <w:t>生态环境部城市轨道交通振动与噪声控制工程技术中心（筹）</w:t>
            </w:r>
            <w:r>
              <w:rPr>
                <w:rFonts w:hint="eastAsia" w:ascii="宋体" w:hAnsi="宋体"/>
                <w:snapToGrid w:val="0"/>
                <w:color w:val="000000"/>
                <w:sz w:val="24"/>
                <w:szCs w:val="24"/>
              </w:rPr>
              <w:t>两大研发平台的基础上，集聚了一支由行业专家、科研精英与工程骨干等组成的多元人才梯队，依托与科研院所股东的深度产学研协同，构建起“前瞻研究-技术攻关-产品迭代-工程应用”的全链条科研创新体系。收购晶禧半导体后，公司研发团队进一步扩充了半导体精密加工领域的专业人才，形成了算法工程、软件工程、计算机科学与技术、道路与铁道工程、桥梁与隧道工程、机械工程、建筑工程、土木工程、材料工程、自动化、电子信息等专业的高素质人才队伍，为公司产业升级提供了持续智力支撑。</w:t>
            </w:r>
          </w:p>
          <w:p w14:paraId="301B2567">
            <w:pPr>
              <w:pStyle w:val="16"/>
              <w:spacing w:before="120" w:beforeLines="50" w:after="120" w:afterLines="50"/>
              <w:ind w:left="23" w:right="23" w:firstLine="480" w:firstLineChars="200"/>
              <w:jc w:val="both"/>
              <w:rPr>
                <w:rFonts w:hint="eastAsia" w:ascii="宋体" w:hAnsi="宋体"/>
                <w:snapToGrid w:val="0"/>
                <w:color w:val="000000"/>
                <w:sz w:val="24"/>
                <w:szCs w:val="24"/>
              </w:rPr>
            </w:pPr>
            <w:r>
              <w:rPr>
                <w:rFonts w:hint="eastAsia" w:ascii="宋体" w:hAnsi="宋体"/>
                <w:snapToGrid w:val="0"/>
                <w:color w:val="000000"/>
                <w:sz w:val="24"/>
                <w:szCs w:val="24"/>
              </w:rPr>
              <w:t>公司拥有丰富的多样化专利，覆盖减振降噪、声纹监测、智慧运维、半导体晶圆精密加工等前沿方向。截至2026年6月30日，公司累计拥有专利158项，其中发明专利41项、实用新型专利114项、外观设计专利3项。此外，公司还累计获得软件著作权90项，知识产权储备共计248项。2026年上半年，公司新增申请发明专利11项、实用新型专利11项、软件著作权5项；获得授权发明专利4项、实用新型专利7项、软件著作权6项。</w:t>
            </w:r>
          </w:p>
          <w:p w14:paraId="0437C117">
            <w:pPr>
              <w:pStyle w:val="16"/>
              <w:spacing w:before="120" w:beforeLines="50" w:after="120" w:afterLines="50"/>
              <w:ind w:left="23" w:right="23" w:firstLine="470" w:firstLineChars="200"/>
              <w:rPr>
                <w:rFonts w:hint="eastAsia" w:ascii="宋体" w:hAnsi="宋体"/>
                <w:snapToGrid w:val="0"/>
                <w:color w:val="000000"/>
                <w:sz w:val="24"/>
                <w:szCs w:val="24"/>
              </w:rPr>
            </w:pPr>
            <w:r>
              <w:rPr>
                <w:rFonts w:hint="eastAsia" w:ascii="宋体" w:hAnsi="宋体"/>
                <w:b/>
                <w:bCs/>
                <w:spacing w:val="-3"/>
                <w:sz w:val="24"/>
                <w:szCs w:val="24"/>
              </w:rPr>
              <w:t>四、公司上半年研发投入情况如何？</w:t>
            </w:r>
          </w:p>
          <w:p w14:paraId="537EBA05">
            <w:pPr>
              <w:pStyle w:val="16"/>
              <w:spacing w:before="120" w:beforeLines="50" w:after="120" w:afterLines="50"/>
              <w:ind w:left="23" w:right="23" w:firstLine="480" w:firstLineChars="200"/>
              <w:rPr>
                <w:rFonts w:hint="eastAsia" w:ascii="宋体" w:hAnsi="宋体"/>
                <w:snapToGrid w:val="0"/>
                <w:color w:val="000000"/>
                <w:sz w:val="24"/>
                <w:szCs w:val="24"/>
              </w:rPr>
            </w:pPr>
            <w:r>
              <w:rPr>
                <w:rFonts w:hint="eastAsia" w:ascii="宋体" w:hAnsi="宋体"/>
                <w:snapToGrid w:val="0"/>
                <w:color w:val="000000"/>
                <w:sz w:val="24"/>
                <w:szCs w:val="24"/>
              </w:rPr>
              <w:t>回复：</w:t>
            </w:r>
          </w:p>
          <w:p w14:paraId="364E06AF">
            <w:pPr>
              <w:pStyle w:val="16"/>
              <w:spacing w:before="120" w:beforeLines="50" w:after="120" w:afterLines="50"/>
              <w:ind w:left="23" w:right="23" w:firstLine="480" w:firstLineChars="200"/>
              <w:jc w:val="both"/>
              <w:rPr>
                <w:rFonts w:hint="eastAsia" w:ascii="宋体" w:hAnsi="宋体"/>
                <w:snapToGrid w:val="0"/>
                <w:color w:val="000000"/>
                <w:sz w:val="24"/>
                <w:szCs w:val="24"/>
              </w:rPr>
            </w:pPr>
            <w:r>
              <w:rPr>
                <w:rFonts w:hint="eastAsia" w:ascii="宋体" w:hAnsi="宋体"/>
                <w:snapToGrid w:val="0"/>
                <w:color w:val="000000"/>
                <w:sz w:val="24"/>
                <w:szCs w:val="24"/>
              </w:rPr>
              <w:t>2026年上半年，公司研发费用为1,007.95万元，占营业收入比例为10.69%，全部为费用化研发投入。</w:t>
            </w:r>
            <w:r>
              <w:rPr>
                <w:rFonts w:ascii="宋体" w:hAnsi="宋体"/>
                <w:sz w:val="24"/>
                <w:szCs w:val="24"/>
              </w:rPr>
              <w:t>公司已形成覆盖轨道交通减振降噪、声纹数字化监测和半导体精密加工的核心技术体系，有效推动现有产品不断迭代升级，为公司核心产品持续优化和新兴业务领域拓展提供了坚实保障。公司未来会动态优化研发资源配置，确保技术创新与业务发展需求相匹配。</w:t>
            </w:r>
          </w:p>
          <w:p w14:paraId="0C8AEB67">
            <w:pPr>
              <w:pStyle w:val="16"/>
              <w:spacing w:before="120" w:beforeLines="50" w:after="120" w:afterLines="50"/>
              <w:ind w:left="23" w:right="23" w:firstLine="482" w:firstLineChars="200"/>
              <w:rPr>
                <w:rFonts w:hint="eastAsia" w:ascii="宋体" w:hAnsi="宋体"/>
                <w:sz w:val="24"/>
                <w:szCs w:val="24"/>
              </w:rPr>
            </w:pPr>
            <w:r>
              <w:rPr>
                <w:rFonts w:hint="eastAsia" w:ascii="宋体" w:hAnsi="宋体"/>
                <w:b/>
                <w:bCs/>
                <w:sz w:val="24"/>
                <w:szCs w:val="24"/>
              </w:rPr>
              <w:t>五、</w:t>
            </w:r>
            <w:r>
              <w:rPr>
                <w:rFonts w:hint="eastAsia" w:ascii="Times New Roman" w:hAnsi="Times New Roman"/>
                <w:b/>
                <w:bCs/>
                <w:sz w:val="24"/>
                <w:szCs w:val="24"/>
              </w:rPr>
              <w:t>公司如何看待轨道交通减振降噪行业的未来发展趋势？公司将如何把握这些趋势？</w:t>
            </w:r>
          </w:p>
          <w:p w14:paraId="03347229">
            <w:pPr>
              <w:pStyle w:val="16"/>
              <w:spacing w:before="120" w:beforeLines="50" w:after="120" w:afterLines="50"/>
              <w:ind w:left="23" w:right="23" w:firstLine="480" w:firstLineChars="200"/>
              <w:rPr>
                <w:rFonts w:hint="eastAsia" w:ascii="宋体" w:hAnsi="宋体"/>
                <w:sz w:val="24"/>
                <w:szCs w:val="24"/>
              </w:rPr>
            </w:pPr>
            <w:r>
              <w:rPr>
                <w:rFonts w:hint="eastAsia" w:ascii="Times New Roman" w:hAnsi="Times New Roman"/>
                <w:sz w:val="24"/>
                <w:szCs w:val="24"/>
              </w:rPr>
              <w:t>回复：</w:t>
            </w:r>
          </w:p>
          <w:p w14:paraId="62976520">
            <w:pPr>
              <w:pStyle w:val="16"/>
              <w:spacing w:before="120" w:beforeLines="50" w:after="120" w:afterLines="50"/>
              <w:ind w:left="23" w:right="23" w:firstLine="480" w:firstLineChars="200"/>
              <w:jc w:val="both"/>
              <w:rPr>
                <w:rFonts w:hint="eastAsia" w:ascii="宋体" w:hAnsi="宋体"/>
                <w:sz w:val="24"/>
                <w:szCs w:val="24"/>
              </w:rPr>
            </w:pPr>
            <w:r>
              <w:rPr>
                <w:rFonts w:hint="eastAsia" w:ascii="宋体" w:hAnsi="宋体"/>
                <w:sz w:val="24"/>
                <w:szCs w:val="24"/>
              </w:rPr>
              <w:t>城市轨道交通减振降噪行业正在从高速增长转向高质量发展，既有线路更新改造需求日益迫切，目前我国城轨运营里程位居世界首位，其中</w:t>
            </w:r>
            <w:bookmarkStart w:id="0" w:name="OLE_LINK1"/>
            <w:r>
              <w:rPr>
                <w:rFonts w:hint="eastAsia" w:ascii="宋体" w:hAnsi="宋体"/>
                <w:sz w:val="24"/>
                <w:szCs w:val="24"/>
              </w:rPr>
              <w:t>2015年前投运的线路占比</w:t>
            </w:r>
            <w:bookmarkEnd w:id="0"/>
            <w:r>
              <w:rPr>
                <w:rFonts w:hint="eastAsia" w:ascii="宋体" w:hAnsi="宋体"/>
                <w:sz w:val="24"/>
                <w:szCs w:val="24"/>
              </w:rPr>
              <w:t>接近28%，已逐步进入设备老化、性能衰减阶段，钢轨波磨、结构渗漏等病害凸显，叠加早年线路集中投产的传导效应，存量线路改造需求正快速增长，行业正从“密集建设”向“品质运维”跨越，大规模更新改造将成为新时期主题之一，为行业注入长期可持续的增长动力；</w:t>
            </w:r>
            <w:r>
              <w:rPr>
                <w:rFonts w:ascii="宋体" w:hAnsi="宋体"/>
                <w:sz w:val="24"/>
                <w:szCs w:val="24"/>
              </w:rPr>
              <w:t>噪声投诉问题日益突出</w:t>
            </w:r>
            <w:r>
              <w:rPr>
                <w:rFonts w:hint="eastAsia" w:ascii="宋体" w:hAnsi="宋体"/>
                <w:sz w:val="24"/>
                <w:szCs w:val="24"/>
              </w:rPr>
              <w:t>，政策标准趋严驱动市场刚需加速释放，2025年全国</w:t>
            </w:r>
            <w:r>
              <w:rPr>
                <w:rFonts w:ascii="宋体" w:hAnsi="宋体"/>
                <w:sz w:val="24"/>
                <w:szCs w:val="24"/>
              </w:rPr>
              <w:t>338</w:t>
            </w:r>
            <w:r>
              <w:rPr>
                <w:rFonts w:hint="eastAsia" w:ascii="宋体" w:hAnsi="宋体"/>
                <w:sz w:val="24"/>
                <w:szCs w:val="24"/>
              </w:rPr>
              <w:t>个地级及以上城市（不含三沙市）</w:t>
            </w:r>
            <w:r>
              <w:rPr>
                <w:rFonts w:ascii="宋体" w:hAnsi="宋体"/>
                <w:sz w:val="24"/>
                <w:szCs w:val="24"/>
              </w:rPr>
              <w:t>12345</w:t>
            </w:r>
            <w:r>
              <w:rPr>
                <w:rFonts w:hint="eastAsia" w:ascii="宋体" w:hAnsi="宋体"/>
                <w:sz w:val="24"/>
                <w:szCs w:val="24"/>
              </w:rPr>
              <w:t>政务服务便民热线和生态环境、公安、</w:t>
            </w:r>
            <w:bookmarkStart w:id="1" w:name="OLE_LINK2"/>
            <w:r>
              <w:rPr>
                <w:rFonts w:hint="eastAsia" w:ascii="宋体" w:hAnsi="宋体"/>
                <w:sz w:val="24"/>
                <w:szCs w:val="24"/>
              </w:rPr>
              <w:t>住房城乡建设等部门受理的噪声投诉案件合计噪声投诉</w:t>
            </w:r>
            <w:bookmarkEnd w:id="1"/>
            <w:r>
              <w:rPr>
                <w:rFonts w:hint="eastAsia" w:ascii="宋体" w:hAnsi="宋体"/>
                <w:sz w:val="24"/>
                <w:szCs w:val="24"/>
              </w:rPr>
              <w:t>约683.3万件，较上年增加93.8万件。</w:t>
            </w:r>
            <w:r>
              <w:rPr>
                <w:rFonts w:ascii="宋体" w:hAnsi="宋体"/>
                <w:sz w:val="24"/>
                <w:szCs w:val="24"/>
              </w:rPr>
              <w:t>2025年11月，</w:t>
            </w:r>
            <w:bookmarkStart w:id="2" w:name="OLE_LINK3"/>
            <w:r>
              <w:rPr>
                <w:rFonts w:ascii="宋体" w:hAnsi="宋体"/>
                <w:sz w:val="24"/>
                <w:szCs w:val="24"/>
              </w:rPr>
              <w:t>生态环境部审议</w:t>
            </w:r>
            <w:bookmarkEnd w:id="2"/>
            <w:r>
              <w:rPr>
                <w:rFonts w:ascii="宋体" w:hAnsi="宋体"/>
                <w:sz w:val="24"/>
                <w:szCs w:val="24"/>
              </w:rPr>
              <w:t>并原则通过</w:t>
            </w:r>
            <w:r>
              <w:rPr>
                <w:rFonts w:hint="eastAsia" w:ascii="宋体" w:hAnsi="宋体"/>
                <w:sz w:val="24"/>
                <w:szCs w:val="24"/>
              </w:rPr>
              <w:t>《城市轨道交通噪声排放标准》，</w:t>
            </w:r>
            <w:r>
              <w:rPr>
                <w:rFonts w:ascii="宋体" w:hAnsi="宋体"/>
                <w:sz w:val="24"/>
                <w:szCs w:val="24"/>
              </w:rPr>
              <w:t>首次为全国轨道交通噪声治理划定统一、刚性的排放管控底线，补齐行业环保标准短板，推动全链条降噪提标升级</w:t>
            </w:r>
            <w:r>
              <w:rPr>
                <w:rFonts w:hint="eastAsia" w:ascii="宋体" w:hAnsi="宋体"/>
                <w:sz w:val="24"/>
                <w:szCs w:val="24"/>
              </w:rPr>
              <w:t>。</w:t>
            </w:r>
          </w:p>
          <w:p w14:paraId="4D3B1B8F">
            <w:pPr>
              <w:pStyle w:val="16"/>
              <w:spacing w:before="120" w:beforeLines="50" w:after="120" w:afterLines="50"/>
              <w:ind w:left="23" w:right="23" w:firstLine="480" w:firstLineChars="200"/>
              <w:jc w:val="both"/>
              <w:rPr>
                <w:rFonts w:hint="eastAsia" w:ascii="宋体" w:hAnsi="宋体"/>
                <w:sz w:val="24"/>
                <w:szCs w:val="24"/>
              </w:rPr>
            </w:pPr>
            <w:r>
              <w:rPr>
                <w:rFonts w:hint="eastAsia" w:ascii="宋体" w:hAnsi="宋体"/>
                <w:sz w:val="24"/>
                <w:szCs w:val="24"/>
              </w:rPr>
              <w:t>面对上述趋势，公司依托已构建的覆盖“研发-设计-生产-实施-运维”全流程的一体化服务能力，形成从技术研发到工程落地的完整产业链闭环，抢抓既有线改造机遇；深耕减振降噪核心技术，</w:t>
            </w:r>
            <w:r>
              <w:rPr>
                <w:rFonts w:ascii="宋体" w:hAnsi="宋体"/>
                <w:sz w:val="24"/>
                <w:szCs w:val="24"/>
              </w:rPr>
              <w:t>持续提升产品性能，适配不断趋严的环保标准</w:t>
            </w:r>
            <w:r>
              <w:rPr>
                <w:rFonts w:hint="eastAsia" w:ascii="宋体" w:hAnsi="宋体"/>
                <w:sz w:val="24"/>
                <w:szCs w:val="24"/>
              </w:rPr>
              <w:t>；</w:t>
            </w:r>
            <w:r>
              <w:rPr>
                <w:rFonts w:hint="eastAsia" w:ascii="Times New Roman" w:hAnsi="Times New Roman"/>
                <w:sz w:val="24"/>
                <w:szCs w:val="24"/>
              </w:rPr>
              <w:t>持续</w:t>
            </w:r>
            <w:r>
              <w:rPr>
                <w:rFonts w:ascii="宋体" w:hAnsi="宋体"/>
                <w:sz w:val="24"/>
                <w:szCs w:val="24"/>
              </w:rPr>
              <w:t>推进工业人工智能与轨道交通的深度融合</w:t>
            </w:r>
            <w:r>
              <w:rPr>
                <w:rFonts w:hint="eastAsia" w:ascii="Times New Roman" w:hAnsi="Times New Roman"/>
                <w:sz w:val="24"/>
                <w:szCs w:val="24"/>
              </w:rPr>
              <w:t>，加速推进声纹数字化监测与智慧运维业务的产业化落地</w:t>
            </w:r>
            <w:r>
              <w:rPr>
                <w:rFonts w:hint="eastAsia" w:ascii="宋体" w:hAnsi="宋体"/>
                <w:sz w:val="24"/>
                <w:szCs w:val="24"/>
              </w:rPr>
              <w:t>，提升公司核心竞争力。</w:t>
            </w:r>
          </w:p>
          <w:p w14:paraId="283FE58E">
            <w:pPr>
              <w:pStyle w:val="16"/>
              <w:numPr>
                <w:ilvl w:val="255"/>
                <w:numId w:val="0"/>
              </w:numPr>
              <w:spacing w:before="120" w:beforeLines="50" w:after="120" w:afterLines="50"/>
              <w:ind w:left="23" w:right="23" w:firstLine="470" w:firstLineChars="200"/>
              <w:rPr>
                <w:rFonts w:hint="eastAsia" w:ascii="宋体" w:hAnsi="宋体"/>
                <w:b/>
                <w:bCs/>
                <w:spacing w:val="-3"/>
                <w:sz w:val="24"/>
                <w:szCs w:val="24"/>
              </w:rPr>
            </w:pPr>
            <w:r>
              <w:rPr>
                <w:rFonts w:hint="eastAsia" w:ascii="宋体" w:hAnsi="宋体"/>
                <w:b/>
                <w:bCs/>
                <w:spacing w:val="-3"/>
                <w:sz w:val="24"/>
                <w:szCs w:val="24"/>
              </w:rPr>
              <w:t>六、公司目前募投项目和产能布局的进展如何？</w:t>
            </w:r>
          </w:p>
          <w:p w14:paraId="65D6C94D">
            <w:pPr>
              <w:pStyle w:val="16"/>
              <w:spacing w:before="120" w:beforeLines="50" w:after="120" w:afterLines="50"/>
              <w:ind w:left="23" w:right="23" w:firstLine="480" w:firstLineChars="200"/>
              <w:rPr>
                <w:rFonts w:hint="eastAsia" w:ascii="宋体" w:hAnsi="宋体"/>
                <w:sz w:val="24"/>
                <w:szCs w:val="24"/>
              </w:rPr>
            </w:pPr>
            <w:r>
              <w:rPr>
                <w:rFonts w:hint="eastAsia" w:ascii="Times New Roman" w:hAnsi="Times New Roman"/>
                <w:sz w:val="24"/>
                <w:szCs w:val="24"/>
              </w:rPr>
              <w:t>回复：</w:t>
            </w:r>
          </w:p>
          <w:p w14:paraId="2DA90E82">
            <w:pPr>
              <w:pStyle w:val="16"/>
              <w:spacing w:before="120" w:beforeLines="50" w:after="120" w:afterLines="50"/>
              <w:ind w:left="23" w:right="23" w:firstLine="480" w:firstLineChars="200"/>
              <w:jc w:val="both"/>
              <w:rPr>
                <w:rFonts w:hint="eastAsia" w:ascii="宋体" w:hAnsi="宋体"/>
                <w:sz w:val="24"/>
                <w:szCs w:val="24"/>
              </w:rPr>
            </w:pPr>
            <w:r>
              <w:rPr>
                <w:rFonts w:hint="eastAsia" w:ascii="宋体" w:hAnsi="宋体"/>
                <w:sz w:val="24"/>
                <w:szCs w:val="24"/>
              </w:rPr>
              <w:t>公司目前募投项目和产能布局稳步推进，北方布局方面，噪声与振动综合控制产研基地（二期）已顺利通过联合验收，公司结合业务发展需要推动生产制造业务向河北廊坊基地集聚、办公及研发物业集中至北京房山，同时将产研基地部分建成不动产出租给合资公司北京通创九州金刚石科技有限公司用于金刚石芯片基板产业化，这些统筹安排既优化了产能布局与成本管控，也提升了研发决策与执行的响应速度；在北方布局持续完善的基础上，广东聚氨酯新材料智能生产研发基地已顺利完成从广州白云至佛山的新址搬迁，围绕聚氨酯减振降噪材料持续夯实生产能力与研发实力，各项经营业务有序开展。总体来看，随着生产资源逐步整合，公司资源配置效率有效提升，“南北双中心”高效联动的战略布局持续深化，能够更好匹配现阶段业务发展及募投项目后续落地实施的需求。</w:t>
            </w:r>
          </w:p>
          <w:p w14:paraId="11921447">
            <w:pPr>
              <w:pStyle w:val="16"/>
              <w:spacing w:before="120" w:beforeLines="50" w:after="120" w:afterLines="50"/>
              <w:ind w:left="23" w:right="23" w:firstLine="470" w:firstLineChars="200"/>
              <w:rPr>
                <w:rFonts w:hint="eastAsia" w:ascii="宋体" w:hAnsi="宋体"/>
                <w:b/>
                <w:bCs/>
                <w:spacing w:val="-3"/>
                <w:sz w:val="24"/>
                <w:szCs w:val="24"/>
              </w:rPr>
            </w:pPr>
            <w:r>
              <w:rPr>
                <w:rFonts w:hint="eastAsia" w:ascii="宋体" w:hAnsi="宋体"/>
                <w:b/>
                <w:bCs/>
                <w:spacing w:val="-3"/>
                <w:sz w:val="24"/>
                <w:szCs w:val="24"/>
              </w:rPr>
              <w:t>七、请介绍一下通创九州的基本情况？</w:t>
            </w:r>
          </w:p>
          <w:p w14:paraId="164E5CB6">
            <w:pPr>
              <w:pStyle w:val="16"/>
              <w:spacing w:before="120" w:beforeLines="50" w:after="120" w:afterLines="50"/>
              <w:ind w:left="23" w:right="23" w:firstLine="480" w:firstLineChars="200"/>
              <w:rPr>
                <w:rFonts w:ascii="Times New Roman" w:hAnsi="Times New Roman"/>
                <w:sz w:val="24"/>
                <w:szCs w:val="24"/>
              </w:rPr>
            </w:pPr>
            <w:r>
              <w:rPr>
                <w:rFonts w:hint="eastAsia" w:ascii="Times New Roman" w:hAnsi="Times New Roman"/>
                <w:sz w:val="24"/>
                <w:szCs w:val="24"/>
              </w:rPr>
              <w:t>回复：</w:t>
            </w:r>
          </w:p>
          <w:p w14:paraId="3C158A12">
            <w:pPr>
              <w:pStyle w:val="16"/>
              <w:spacing w:before="120" w:beforeLines="50" w:after="120" w:afterLines="50"/>
              <w:ind w:left="23" w:right="23" w:firstLine="480" w:firstLineChars="200"/>
              <w:jc w:val="both"/>
              <w:rPr>
                <w:rFonts w:hint="eastAsia" w:ascii="宋体" w:hAnsi="宋体"/>
                <w:sz w:val="24"/>
                <w:szCs w:val="24"/>
              </w:rPr>
            </w:pPr>
            <w:r>
              <w:rPr>
                <w:rFonts w:hint="eastAsia" w:ascii="宋体" w:hAnsi="宋体"/>
                <w:sz w:val="24"/>
                <w:szCs w:val="24"/>
              </w:rPr>
              <w:t>北京通创九州金刚石科技有限公司（以下简称“通创九州”）是公司与江苏通用半导体有限公司（以下简称“通用半导体”）共同设立的合资公司，注册资本2亿元，通用半导体持股60%，公司持股40%，2026年4月完成工商登记。</w:t>
            </w:r>
            <w:r>
              <w:rPr>
                <w:rFonts w:ascii="宋体" w:hAnsi="宋体"/>
                <w:sz w:val="24"/>
                <w:szCs w:val="24"/>
              </w:rPr>
              <w:t>通创九州</w:t>
            </w:r>
            <w:r>
              <w:rPr>
                <w:rFonts w:hint="eastAsia" w:ascii="Times New Roman" w:hAnsi="Times New Roman"/>
                <w:sz w:val="24"/>
                <w:szCs w:val="24"/>
              </w:rPr>
              <w:t>主要从事第四代半导体材料金刚石的研发、制造及加工，</w:t>
            </w:r>
            <w:r>
              <w:rPr>
                <w:rFonts w:ascii="宋体" w:hAnsi="宋体"/>
                <w:sz w:val="24"/>
                <w:szCs w:val="24"/>
              </w:rPr>
              <w:t>并推动金刚石</w:t>
            </w:r>
            <w:r>
              <w:rPr>
                <w:rFonts w:hint="eastAsia" w:ascii="Times New Roman" w:hAnsi="Times New Roman"/>
                <w:sz w:val="24"/>
                <w:szCs w:val="24"/>
              </w:rPr>
              <w:t>在轨道交通、声纹传感等终端领域的产业化应用。</w:t>
            </w:r>
          </w:p>
          <w:p w14:paraId="33006280">
            <w:pPr>
              <w:pStyle w:val="16"/>
              <w:spacing w:before="120" w:beforeLines="50" w:after="120" w:afterLines="50"/>
              <w:ind w:left="23" w:right="23" w:firstLine="470" w:firstLineChars="200"/>
              <w:rPr>
                <w:rFonts w:hint="eastAsia" w:ascii="宋体" w:hAnsi="宋体"/>
                <w:b/>
                <w:bCs/>
                <w:spacing w:val="-3"/>
                <w:sz w:val="24"/>
                <w:szCs w:val="24"/>
              </w:rPr>
            </w:pPr>
            <w:r>
              <w:rPr>
                <w:rFonts w:hint="eastAsia" w:ascii="宋体" w:hAnsi="宋体"/>
                <w:b/>
                <w:bCs/>
                <w:spacing w:val="-3"/>
                <w:sz w:val="24"/>
                <w:szCs w:val="24"/>
              </w:rPr>
              <w:t>八、请介绍一下公司收购晶禧半导体的股权转让协议主要有哪些核心内容？</w:t>
            </w:r>
          </w:p>
          <w:p w14:paraId="5E7CA124">
            <w:pPr>
              <w:pStyle w:val="16"/>
              <w:spacing w:before="120" w:beforeLines="50" w:after="120" w:afterLines="50"/>
              <w:ind w:left="23" w:right="23" w:firstLine="480" w:firstLineChars="200"/>
              <w:rPr>
                <w:rFonts w:ascii="Times New Roman" w:hAnsi="Times New Roman"/>
                <w:sz w:val="24"/>
                <w:szCs w:val="24"/>
              </w:rPr>
            </w:pPr>
            <w:r>
              <w:rPr>
                <w:rFonts w:hint="eastAsia" w:ascii="Times New Roman" w:hAnsi="Times New Roman"/>
                <w:sz w:val="24"/>
                <w:szCs w:val="24"/>
              </w:rPr>
              <w:t>回复：</w:t>
            </w:r>
          </w:p>
          <w:p w14:paraId="023F230F">
            <w:pPr>
              <w:pStyle w:val="16"/>
              <w:spacing w:before="120" w:beforeLines="50" w:after="120" w:afterLines="50"/>
              <w:ind w:left="23" w:right="23" w:firstLine="480" w:firstLineChars="200"/>
              <w:jc w:val="both"/>
              <w:rPr>
                <w:rFonts w:hint="eastAsia" w:ascii="宋体" w:hAnsi="宋体"/>
                <w:sz w:val="24"/>
                <w:szCs w:val="24"/>
              </w:rPr>
            </w:pPr>
            <w:r>
              <w:rPr>
                <w:rFonts w:hint="eastAsia" w:ascii="宋体" w:hAnsi="宋体"/>
                <w:sz w:val="24"/>
                <w:szCs w:val="24"/>
              </w:rPr>
              <w:t>根据《北京九州一轨环境科技股份有限公司收购苏州晶禧半导体科技有限公司之股权转让协议》，</w:t>
            </w:r>
            <w:r>
              <w:rPr>
                <w:rFonts w:ascii="宋体" w:hAnsi="宋体"/>
                <w:sz w:val="24"/>
                <w:szCs w:val="24"/>
              </w:rPr>
              <w:t>本次收购的交易对方为陶为银</w:t>
            </w:r>
            <w:r>
              <w:rPr>
                <w:rFonts w:hint="eastAsia" w:ascii="宋体" w:hAnsi="宋体"/>
                <w:sz w:val="24"/>
                <w:szCs w:val="24"/>
              </w:rPr>
              <w:t>先生</w:t>
            </w:r>
            <w:r>
              <w:rPr>
                <w:rFonts w:ascii="宋体" w:hAnsi="宋体"/>
                <w:sz w:val="24"/>
                <w:szCs w:val="24"/>
              </w:rPr>
              <w:t>，公司以现金方式收购其持有的晶禧半导体100%股权，</w:t>
            </w:r>
            <w:r>
              <w:rPr>
                <w:rFonts w:hint="eastAsia" w:ascii="宋体" w:hAnsi="宋体"/>
                <w:sz w:val="24"/>
                <w:szCs w:val="24"/>
              </w:rPr>
              <w:t>交割日后</w:t>
            </w:r>
            <w:r>
              <w:rPr>
                <w:rFonts w:ascii="宋体" w:hAnsi="宋体"/>
                <w:sz w:val="24"/>
                <w:szCs w:val="24"/>
              </w:rPr>
              <w:t>向晶禧半导体增资，主要用于晶禧半导体补充流动资金、新产品研发和生产线改造升级。业绩承诺方面，陶为银承诺晶禧半导体2026年、2027年、2028年净利润分别不低于3000万元、4000万元、5000万元，若未完成承诺将按协议约定进行补偿，同时设置了超额业绩奖励机制，若超额完成承诺可对</w:t>
            </w:r>
            <w:r>
              <w:rPr>
                <w:rFonts w:hint="eastAsia" w:ascii="宋体" w:hAnsi="宋体"/>
                <w:sz w:val="24"/>
                <w:szCs w:val="24"/>
              </w:rPr>
              <w:t>奖励接受人</w:t>
            </w:r>
            <w:r>
              <w:rPr>
                <w:rFonts w:ascii="宋体" w:hAnsi="宋体"/>
                <w:sz w:val="24"/>
                <w:szCs w:val="24"/>
              </w:rPr>
              <w:t>进行奖励。公司治理方面，收购后晶禧半导体由公司委派执行</w:t>
            </w:r>
            <w:r>
              <w:rPr>
                <w:rFonts w:hint="eastAsia" w:ascii="宋体" w:hAnsi="宋体"/>
                <w:sz w:val="24"/>
                <w:szCs w:val="24"/>
              </w:rPr>
              <w:t>公司事务的</w:t>
            </w:r>
            <w:r>
              <w:rPr>
                <w:rFonts w:ascii="宋体" w:hAnsi="宋体"/>
                <w:sz w:val="24"/>
                <w:szCs w:val="24"/>
              </w:rPr>
              <w:t>董事</w:t>
            </w:r>
            <w:r>
              <w:rPr>
                <w:rFonts w:hint="eastAsia" w:ascii="宋体" w:hAnsi="宋体"/>
                <w:sz w:val="24"/>
                <w:szCs w:val="24"/>
              </w:rPr>
              <w:t>为晶禧半导体的</w:t>
            </w:r>
            <w:r>
              <w:rPr>
                <w:rFonts w:ascii="宋体" w:hAnsi="宋体"/>
                <w:sz w:val="24"/>
                <w:szCs w:val="24"/>
              </w:rPr>
              <w:t>法定代表人，</w:t>
            </w:r>
            <w:r>
              <w:rPr>
                <w:rFonts w:hint="eastAsia" w:ascii="宋体" w:hAnsi="宋体"/>
                <w:sz w:val="24"/>
                <w:szCs w:val="24"/>
              </w:rPr>
              <w:t>公司</w:t>
            </w:r>
            <w:r>
              <w:rPr>
                <w:rFonts w:ascii="宋体" w:hAnsi="宋体"/>
                <w:sz w:val="24"/>
                <w:szCs w:val="24"/>
              </w:rPr>
              <w:t>有权向</w:t>
            </w:r>
            <w:r>
              <w:rPr>
                <w:rFonts w:hint="eastAsia" w:ascii="宋体" w:hAnsi="宋体"/>
                <w:sz w:val="24"/>
                <w:szCs w:val="24"/>
              </w:rPr>
              <w:t>晶禧半导体</w:t>
            </w:r>
            <w:r>
              <w:rPr>
                <w:rFonts w:ascii="宋体" w:hAnsi="宋体"/>
                <w:sz w:val="24"/>
                <w:szCs w:val="24"/>
              </w:rPr>
              <w:t>委派财务总监（即财务负责人），经</w:t>
            </w:r>
            <w:r>
              <w:rPr>
                <w:rFonts w:hint="eastAsia" w:ascii="宋体" w:hAnsi="宋体"/>
                <w:sz w:val="24"/>
                <w:szCs w:val="24"/>
              </w:rPr>
              <w:t>晶禧半导体</w:t>
            </w:r>
            <w:r>
              <w:rPr>
                <w:rFonts w:ascii="宋体" w:hAnsi="宋体"/>
                <w:sz w:val="24"/>
                <w:szCs w:val="24"/>
              </w:rPr>
              <w:t>执行公司事务的董事决定后聘任，负责</w:t>
            </w:r>
            <w:r>
              <w:rPr>
                <w:rFonts w:hint="eastAsia" w:ascii="宋体" w:hAnsi="宋体"/>
                <w:sz w:val="24"/>
                <w:szCs w:val="24"/>
              </w:rPr>
              <w:t>晶禧半导体</w:t>
            </w:r>
            <w:r>
              <w:rPr>
                <w:rFonts w:ascii="宋体" w:hAnsi="宋体"/>
                <w:sz w:val="24"/>
                <w:szCs w:val="24"/>
              </w:rPr>
              <w:t>的核算和监督等相关财务工作；</w:t>
            </w:r>
            <w:r>
              <w:rPr>
                <w:rFonts w:hint="eastAsia" w:ascii="宋体" w:hAnsi="宋体"/>
                <w:sz w:val="24"/>
                <w:szCs w:val="24"/>
              </w:rPr>
              <w:t>晶禧半导体</w:t>
            </w:r>
            <w:r>
              <w:rPr>
                <w:rFonts w:ascii="宋体" w:hAnsi="宋体"/>
                <w:sz w:val="24"/>
                <w:szCs w:val="24"/>
              </w:rPr>
              <w:t>副总经理及其他核心人员按《中华人民共和国公司法》和上市公司监管体系的相关规定要求进行设定和安排。</w:t>
            </w:r>
            <w:r>
              <w:rPr>
                <w:rFonts w:hint="eastAsia" w:ascii="宋体" w:hAnsi="宋体"/>
                <w:sz w:val="24"/>
                <w:szCs w:val="24"/>
              </w:rPr>
              <w:t>详见公司于2026年3月28日披露的《</w:t>
            </w:r>
            <w:r>
              <w:rPr>
                <w:rFonts w:ascii="宋体" w:hAnsi="宋体"/>
                <w:sz w:val="24"/>
                <w:szCs w:val="24"/>
              </w:rPr>
              <w:t>北京九州一轨环境科技股份有限公司</w:t>
            </w:r>
            <w:bookmarkStart w:id="3" w:name="OLE_LINK4"/>
            <w:r>
              <w:rPr>
                <w:rFonts w:hint="eastAsia" w:ascii="宋体" w:hAnsi="宋体"/>
                <w:sz w:val="24"/>
                <w:szCs w:val="24"/>
              </w:rPr>
              <w:t>关于收购苏州晶禧半导体科技有限公司股权并增资暨开展新业务的公告</w:t>
            </w:r>
            <w:bookmarkEnd w:id="3"/>
            <w:r>
              <w:rPr>
                <w:rFonts w:hint="eastAsia" w:ascii="宋体" w:hAnsi="宋体"/>
                <w:sz w:val="24"/>
                <w:szCs w:val="24"/>
              </w:rPr>
              <w:t>》（公告编号：2026-012）。</w:t>
            </w:r>
          </w:p>
          <w:p w14:paraId="2F6671EC">
            <w:pPr>
              <w:pStyle w:val="16"/>
              <w:spacing w:before="120" w:beforeLines="50" w:after="120" w:afterLines="50"/>
              <w:ind w:left="23" w:right="23" w:firstLine="482" w:firstLineChars="200"/>
              <w:rPr>
                <w:rFonts w:ascii="Times New Roman" w:hAnsi="Times New Roman"/>
                <w:b/>
                <w:bCs/>
                <w:sz w:val="24"/>
                <w:szCs w:val="24"/>
              </w:rPr>
            </w:pPr>
            <w:r>
              <w:rPr>
                <w:rFonts w:hint="eastAsia" w:ascii="Times New Roman" w:hAnsi="Times New Roman"/>
                <w:b/>
                <w:bCs/>
                <w:sz w:val="24"/>
                <w:szCs w:val="24"/>
              </w:rPr>
              <w:t>九、请介绍晶禧半导体的销售模式？</w:t>
            </w:r>
          </w:p>
          <w:p w14:paraId="04E84EA5">
            <w:pPr>
              <w:pStyle w:val="16"/>
              <w:spacing w:before="120" w:beforeLines="50" w:after="120" w:afterLines="50"/>
              <w:ind w:left="23" w:right="23" w:firstLine="480" w:firstLineChars="200"/>
              <w:rPr>
                <w:rFonts w:ascii="Times New Roman" w:hAnsi="Times New Roman"/>
                <w:b/>
                <w:bCs/>
                <w:sz w:val="24"/>
                <w:szCs w:val="24"/>
              </w:rPr>
            </w:pPr>
            <w:r>
              <w:rPr>
                <w:rFonts w:hint="eastAsia" w:ascii="Times New Roman" w:hAnsi="Times New Roman"/>
                <w:sz w:val="24"/>
                <w:szCs w:val="24"/>
              </w:rPr>
              <w:t>回复：</w:t>
            </w:r>
          </w:p>
          <w:p w14:paraId="1CD4BD90">
            <w:pPr>
              <w:pStyle w:val="16"/>
              <w:spacing w:before="120" w:beforeLines="50" w:after="120" w:afterLines="50"/>
              <w:ind w:left="23" w:right="23" w:firstLine="480" w:firstLineChars="200"/>
              <w:jc w:val="both"/>
              <w:rPr>
                <w:rFonts w:hint="eastAsia" w:ascii="宋体" w:hAnsi="宋体"/>
                <w:sz w:val="24"/>
                <w:szCs w:val="24"/>
              </w:rPr>
            </w:pPr>
            <w:r>
              <w:rPr>
                <w:rFonts w:ascii="宋体" w:hAnsi="宋体"/>
                <w:sz w:val="24"/>
                <w:szCs w:val="24"/>
              </w:rPr>
              <w:t>晶禧半导体在客户芯片结构设计阶段即介入评估与方案优化，从源头保障后续切割环节可精准匹配客户产品的量产需求，通过多轮认证、商务洽谈等方式获得订单后，晶禧半导体会根据客户订单需求，提供晶圆高精度隐形切割、晶圆减薄、芯片分选检测等全流程、一站式、专业化精密加工解决方案。经过多年的发展，晶禧半导体已经积累了稳定的客户资源、成熟的运营体系、专业的核心团队，在细分领域形成一定的竞争优势。</w:t>
            </w:r>
          </w:p>
          <w:p w14:paraId="542C6A5A">
            <w:pPr>
              <w:pStyle w:val="16"/>
              <w:spacing w:before="120" w:beforeLines="50" w:after="120" w:afterLines="50"/>
              <w:ind w:left="23" w:right="23" w:firstLine="470" w:firstLineChars="200"/>
              <w:rPr>
                <w:rFonts w:hint="eastAsia" w:ascii="宋体" w:hAnsi="宋体"/>
                <w:b/>
                <w:bCs/>
                <w:spacing w:val="-3"/>
                <w:sz w:val="24"/>
                <w:szCs w:val="24"/>
              </w:rPr>
            </w:pPr>
            <w:r>
              <w:rPr>
                <w:rFonts w:hint="eastAsia" w:ascii="宋体" w:hAnsi="宋体"/>
                <w:b/>
                <w:bCs/>
                <w:spacing w:val="-3"/>
                <w:sz w:val="24"/>
                <w:szCs w:val="24"/>
              </w:rPr>
              <w:t>十、晶禧半导体的核心竞争优势体现在哪些方面？</w:t>
            </w:r>
          </w:p>
          <w:p w14:paraId="12396B7F">
            <w:pPr>
              <w:pStyle w:val="16"/>
              <w:spacing w:before="120" w:beforeLines="50" w:after="120" w:afterLines="50"/>
              <w:ind w:left="23" w:right="23" w:firstLine="480" w:firstLineChars="200"/>
              <w:rPr>
                <w:rFonts w:ascii="Times New Roman" w:hAnsi="Times New Roman"/>
                <w:sz w:val="24"/>
                <w:szCs w:val="24"/>
              </w:rPr>
            </w:pPr>
            <w:r>
              <w:rPr>
                <w:rFonts w:hint="eastAsia" w:ascii="Times New Roman" w:hAnsi="Times New Roman"/>
                <w:sz w:val="24"/>
                <w:szCs w:val="24"/>
              </w:rPr>
              <w:t>回复：</w:t>
            </w:r>
          </w:p>
          <w:p w14:paraId="24928E76">
            <w:pPr>
              <w:pStyle w:val="16"/>
              <w:spacing w:before="120" w:beforeLines="50" w:after="120" w:afterLines="50"/>
              <w:ind w:left="23" w:right="23" w:firstLine="480" w:firstLineChars="200"/>
              <w:jc w:val="both"/>
              <w:rPr>
                <w:rFonts w:hint="eastAsia" w:ascii="宋体" w:hAnsi="宋体"/>
                <w:sz w:val="24"/>
                <w:szCs w:val="24"/>
              </w:rPr>
            </w:pPr>
            <w:r>
              <w:rPr>
                <w:rFonts w:ascii="宋体" w:hAnsi="宋体"/>
                <w:sz w:val="24"/>
                <w:szCs w:val="24"/>
              </w:rPr>
              <w:t>晶禧半导体的核心技术壁垒主要体现在以下几个方面</w:t>
            </w:r>
            <w:r>
              <w:rPr>
                <w:rFonts w:hint="eastAsia" w:ascii="宋体" w:hAnsi="宋体"/>
                <w:sz w:val="24"/>
                <w:szCs w:val="24"/>
              </w:rPr>
              <w:t>，一是业界领先的良率控制水平，晶禧半导体凭借99.8%的良率水平、微米级切割</w:t>
            </w:r>
            <w:bookmarkStart w:id="4" w:name="_GoBack"/>
            <w:bookmarkEnd w:id="4"/>
            <w:r>
              <w:rPr>
                <w:rFonts w:hint="eastAsia" w:ascii="宋体" w:hAnsi="宋体"/>
                <w:sz w:val="24"/>
                <w:szCs w:val="24"/>
              </w:rPr>
              <w:t>精度和国内稀缺的硅光晶圆激光隐形切割量产能力，已建立技术与客户双重壁垒；</w:t>
            </w:r>
            <w:r>
              <w:rPr>
                <w:rFonts w:ascii="宋体" w:hAnsi="宋体"/>
                <w:sz w:val="24"/>
                <w:szCs w:val="24"/>
              </w:rPr>
              <w:t>二是</w:t>
            </w:r>
            <w:r>
              <w:rPr>
                <w:rFonts w:hint="eastAsia" w:ascii="宋体" w:hAnsi="宋体"/>
                <w:sz w:val="24"/>
                <w:szCs w:val="24"/>
              </w:rPr>
              <w:t>“</w:t>
            </w:r>
            <w:r>
              <w:rPr>
                <w:rFonts w:ascii="宋体" w:hAnsi="宋体"/>
                <w:sz w:val="24"/>
                <w:szCs w:val="24"/>
              </w:rPr>
              <w:t>设计阶段介入</w:t>
            </w:r>
            <w:r>
              <w:rPr>
                <w:rFonts w:hint="eastAsia" w:ascii="宋体" w:hAnsi="宋体"/>
                <w:sz w:val="24"/>
                <w:szCs w:val="24"/>
              </w:rPr>
              <w:t>”</w:t>
            </w:r>
            <w:r>
              <w:rPr>
                <w:rFonts w:ascii="宋体" w:hAnsi="宋体"/>
                <w:sz w:val="24"/>
                <w:szCs w:val="24"/>
              </w:rPr>
              <w:t>的深度协同服务模式，晶禧半导体凭借业界领先的良率控制水平与</w:t>
            </w:r>
            <w:r>
              <w:rPr>
                <w:rFonts w:hint="eastAsia" w:ascii="宋体" w:hAnsi="宋体"/>
                <w:sz w:val="24"/>
                <w:szCs w:val="24"/>
              </w:rPr>
              <w:t>“</w:t>
            </w:r>
            <w:r>
              <w:rPr>
                <w:rFonts w:ascii="宋体" w:hAnsi="宋体"/>
                <w:sz w:val="24"/>
                <w:szCs w:val="24"/>
              </w:rPr>
              <w:t>设计阶段介入</w:t>
            </w:r>
            <w:r>
              <w:rPr>
                <w:rFonts w:hint="eastAsia" w:ascii="宋体" w:hAnsi="宋体"/>
                <w:sz w:val="24"/>
                <w:szCs w:val="24"/>
              </w:rPr>
              <w:t>”</w:t>
            </w:r>
            <w:r>
              <w:rPr>
                <w:rFonts w:ascii="宋体" w:hAnsi="宋体"/>
                <w:sz w:val="24"/>
                <w:szCs w:val="24"/>
              </w:rPr>
              <w:t>的深度协同服务模式，在客户芯片设计阶段即介入工艺评估与优化，从源头保障产品性能指标，与客户实现深度绑定，成为激光隐形切割技术在光模块/光通信领域的重要产业化应用平台；</w:t>
            </w:r>
            <w:r>
              <w:rPr>
                <w:rFonts w:hint="eastAsia" w:ascii="宋体" w:hAnsi="宋体"/>
                <w:sz w:val="24"/>
                <w:szCs w:val="24"/>
              </w:rPr>
              <w:t>三</w:t>
            </w:r>
            <w:r>
              <w:rPr>
                <w:rFonts w:ascii="宋体" w:hAnsi="宋体"/>
                <w:sz w:val="24"/>
                <w:szCs w:val="24"/>
              </w:rPr>
              <w:t>是稳定的客户资源与成熟的运营体系，晶禧半导体积累了稳定的客户资源、成熟的运营体系、专业的核心团队，</w:t>
            </w:r>
            <w:r>
              <w:rPr>
                <w:rFonts w:hint="eastAsia" w:ascii="宋体" w:hAnsi="宋体"/>
                <w:sz w:val="24"/>
                <w:szCs w:val="24"/>
                <w:lang w:val="en-US" w:eastAsia="zh-CN"/>
              </w:rPr>
              <w:t>通过持续多年深耕</w:t>
            </w:r>
            <w:r>
              <w:rPr>
                <w:rFonts w:ascii="宋体" w:hAnsi="宋体"/>
                <w:sz w:val="24"/>
                <w:szCs w:val="24"/>
              </w:rPr>
              <w:t>细分领域</w:t>
            </w:r>
            <w:r>
              <w:rPr>
                <w:rFonts w:hint="eastAsia" w:ascii="宋体" w:hAnsi="宋体"/>
                <w:sz w:val="24"/>
                <w:szCs w:val="24"/>
                <w:lang w:eastAsia="zh-CN"/>
              </w:rPr>
              <w:t>，</w:t>
            </w:r>
            <w:r>
              <w:rPr>
                <w:rFonts w:ascii="宋体" w:hAnsi="宋体"/>
                <w:sz w:val="24"/>
                <w:szCs w:val="24"/>
              </w:rPr>
              <w:t>形成</w:t>
            </w:r>
            <w:r>
              <w:rPr>
                <w:rFonts w:hint="eastAsia" w:ascii="宋体" w:hAnsi="宋体"/>
                <w:sz w:val="24"/>
                <w:szCs w:val="24"/>
                <w:lang w:val="en-US" w:eastAsia="zh-CN"/>
              </w:rPr>
              <w:t>了</w:t>
            </w:r>
            <w:r>
              <w:rPr>
                <w:rFonts w:ascii="宋体" w:hAnsi="宋体"/>
                <w:sz w:val="24"/>
                <w:szCs w:val="24"/>
              </w:rPr>
              <w:t>一定</w:t>
            </w:r>
            <w:r>
              <w:rPr>
                <w:rFonts w:hint="eastAsia" w:ascii="宋体" w:hAnsi="宋体"/>
                <w:sz w:val="24"/>
                <w:szCs w:val="24"/>
                <w:lang w:val="en-US" w:eastAsia="zh-CN"/>
              </w:rPr>
              <w:t>的差异化</w:t>
            </w:r>
            <w:r>
              <w:rPr>
                <w:rFonts w:ascii="宋体" w:hAnsi="宋体"/>
                <w:sz w:val="24"/>
                <w:szCs w:val="24"/>
              </w:rPr>
              <w:t>优势。</w:t>
            </w:r>
          </w:p>
        </w:tc>
      </w:tr>
      <w:tr w14:paraId="620623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2171" w:type="dxa"/>
            <w:vAlign w:val="center"/>
          </w:tcPr>
          <w:p w14:paraId="35C45A1D">
            <w:pPr>
              <w:pStyle w:val="15"/>
              <w:autoSpaceDE/>
              <w:autoSpaceDN/>
              <w:jc w:val="center"/>
              <w:rPr>
                <w:rFonts w:ascii="Times New Roman" w:hAnsi="Times New Roman"/>
                <w:b/>
                <w:bCs/>
                <w:spacing w:val="-4"/>
                <w:lang w:eastAsia="zh-CN"/>
              </w:rPr>
            </w:pPr>
            <w:r>
              <w:rPr>
                <w:rFonts w:hint="eastAsia" w:ascii="Times New Roman" w:hAnsi="Times New Roman"/>
                <w:b/>
                <w:bCs/>
                <w:spacing w:val="-28"/>
                <w:lang w:eastAsia="zh-CN"/>
              </w:rPr>
              <w:t>是否涉及应当披露的重大信息</w:t>
            </w:r>
          </w:p>
        </w:tc>
        <w:tc>
          <w:tcPr>
            <w:tcW w:w="6124" w:type="dxa"/>
            <w:gridSpan w:val="2"/>
          </w:tcPr>
          <w:p w14:paraId="3EF3A0BD">
            <w:pPr>
              <w:pStyle w:val="16"/>
              <w:spacing w:before="120" w:beforeLines="50" w:after="120" w:afterLines="50"/>
              <w:ind w:left="23" w:right="23"/>
              <w:jc w:val="center"/>
              <w:rPr>
                <w:rFonts w:ascii="Times New Roman" w:hAnsi="Times New Roman"/>
                <w:sz w:val="24"/>
                <w:szCs w:val="24"/>
              </w:rPr>
            </w:pPr>
            <w:r>
              <w:rPr>
                <w:rFonts w:hint="eastAsia" w:ascii="Times New Roman" w:hAnsi="Times New Roman"/>
                <w:sz w:val="24"/>
                <w:szCs w:val="24"/>
              </w:rPr>
              <w:t>否</w:t>
            </w:r>
          </w:p>
        </w:tc>
      </w:tr>
      <w:tr w14:paraId="55431E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7" w:hRule="atLeast"/>
        </w:trPr>
        <w:tc>
          <w:tcPr>
            <w:tcW w:w="2171" w:type="dxa"/>
            <w:vAlign w:val="center"/>
          </w:tcPr>
          <w:p w14:paraId="31022D0C">
            <w:pPr>
              <w:pStyle w:val="15"/>
              <w:jc w:val="center"/>
              <w:rPr>
                <w:rFonts w:ascii="Times New Roman" w:hAnsi="Times New Roman"/>
                <w:lang w:eastAsia="zh-CN"/>
              </w:rPr>
            </w:pPr>
            <w:r>
              <w:rPr>
                <w:rFonts w:hint="eastAsia" w:ascii="Times New Roman" w:hAnsi="Times New Roman"/>
                <w:b/>
                <w:bCs/>
                <w:spacing w:val="-28"/>
                <w:lang w:eastAsia="zh-CN"/>
              </w:rPr>
              <w:t>附件清单（如有）</w:t>
            </w:r>
          </w:p>
        </w:tc>
        <w:tc>
          <w:tcPr>
            <w:tcW w:w="6124" w:type="dxa"/>
            <w:gridSpan w:val="2"/>
            <w:vAlign w:val="center"/>
          </w:tcPr>
          <w:p w14:paraId="407B4CEE">
            <w:pPr>
              <w:pStyle w:val="15"/>
              <w:jc w:val="center"/>
              <w:rPr>
                <w:rFonts w:ascii="Times New Roman" w:hAnsi="Times New Roman"/>
                <w:lang w:eastAsia="zh-CN"/>
              </w:rPr>
            </w:pPr>
            <w:r>
              <w:rPr>
                <w:rFonts w:hint="eastAsia" w:ascii="Times New Roman" w:hAnsi="Times New Roman"/>
              </w:rPr>
              <w:t>无</w:t>
            </w:r>
          </w:p>
        </w:tc>
      </w:tr>
      <w:tr w14:paraId="60C5A8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7" w:hRule="atLeast"/>
        </w:trPr>
        <w:tc>
          <w:tcPr>
            <w:tcW w:w="2171" w:type="dxa"/>
            <w:vAlign w:val="center"/>
          </w:tcPr>
          <w:p w14:paraId="76C7A8BC">
            <w:pPr>
              <w:pStyle w:val="15"/>
              <w:jc w:val="center"/>
              <w:rPr>
                <w:rFonts w:ascii="Times New Roman" w:hAnsi="Times New Roman"/>
              </w:rPr>
            </w:pPr>
            <w:r>
              <w:rPr>
                <w:rFonts w:hint="eastAsia" w:ascii="Times New Roman" w:hAnsi="Times New Roman"/>
                <w:b/>
                <w:bCs/>
                <w:spacing w:val="-28"/>
              </w:rPr>
              <w:t>日期</w:t>
            </w:r>
          </w:p>
        </w:tc>
        <w:tc>
          <w:tcPr>
            <w:tcW w:w="6124" w:type="dxa"/>
            <w:gridSpan w:val="2"/>
            <w:vAlign w:val="center"/>
          </w:tcPr>
          <w:p w14:paraId="146E2672">
            <w:pPr>
              <w:pStyle w:val="15"/>
              <w:jc w:val="center"/>
              <w:rPr>
                <w:rFonts w:ascii="Times New Roman" w:hAnsi="Times New Roman"/>
                <w:lang w:eastAsia="zh-CN"/>
              </w:rPr>
            </w:pPr>
            <w:r>
              <w:rPr>
                <w:rFonts w:hint="eastAsia" w:ascii="Times New Roman" w:hAnsi="Times New Roman"/>
                <w:lang w:eastAsia="zh-CN"/>
              </w:rPr>
              <w:t>2026年9月1</w:t>
            </w:r>
            <w:r>
              <w:rPr>
                <w:rFonts w:hint="eastAsia" w:ascii="Times New Roman" w:hAnsi="Times New Roman"/>
                <w:lang w:val="en-US" w:eastAsia="zh-CN"/>
              </w:rPr>
              <w:t>6</w:t>
            </w:r>
            <w:r>
              <w:rPr>
                <w:rFonts w:hint="eastAsia" w:ascii="Times New Roman" w:hAnsi="Times New Roman"/>
                <w:lang w:eastAsia="zh-CN"/>
              </w:rPr>
              <w:t>日</w:t>
            </w:r>
          </w:p>
        </w:tc>
      </w:tr>
    </w:tbl>
    <w:p w14:paraId="19D83C5F">
      <w:pPr>
        <w:rPr>
          <w:rFonts w:ascii="Times New Roman" w:hAnsi="Times New Roman"/>
        </w:rPr>
      </w:pPr>
    </w:p>
    <w:p w14:paraId="1790BA6B">
      <w:pPr>
        <w:spacing w:line="91" w:lineRule="auto"/>
        <w:rPr>
          <w:rFonts w:ascii="Times New Roman" w:hAnsi="Times New Roman"/>
          <w:sz w:val="2"/>
        </w:rPr>
      </w:pPr>
    </w:p>
    <w:p w14:paraId="264C4D4D">
      <w:pPr>
        <w:rPr>
          <w:rFonts w:ascii="Times New Roman" w:hAnsi="Times New Roman"/>
          <w:lang w:eastAsia="zh-CN"/>
        </w:rPr>
      </w:pPr>
    </w:p>
    <w:sectPr>
      <w:pgSz w:w="11906" w:h="16839"/>
      <w:pgMar w:top="1431" w:right="1785" w:bottom="0" w:left="1785" w:header="0"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ppleSystemUIFont">
    <w:altName w:val="Cambria"/>
    <w:panose1 w:val="00000000000000000000"/>
    <w:charset w:val="00"/>
    <w:family w:val="roman"/>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UICTFontTextStyleBody">
    <w:altName w:val="Cambria"/>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9"/>
  <w:displayBackgroundShape w:val="1"/>
  <w:documentProtection w:enforcement="0"/>
  <w:defaultTabStop w:val="500"/>
  <w:noPunctuationKerning w:val="1"/>
  <w:characterSpacingControl w:val="doNotCompress"/>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Q1NGMyNjljNGQ0MzY2ZDU4ODViMDc2NGY3NDFhNTkifQ=="/>
  </w:docVars>
  <w:rsids>
    <w:rsidRoot w:val="00AD411E"/>
    <w:rsid w:val="00042552"/>
    <w:rsid w:val="000E4E9A"/>
    <w:rsid w:val="000F0F8B"/>
    <w:rsid w:val="001B362F"/>
    <w:rsid w:val="001B43DB"/>
    <w:rsid w:val="001F503A"/>
    <w:rsid w:val="002631C6"/>
    <w:rsid w:val="002D18D8"/>
    <w:rsid w:val="0030593D"/>
    <w:rsid w:val="00337319"/>
    <w:rsid w:val="00383673"/>
    <w:rsid w:val="003F6F3E"/>
    <w:rsid w:val="00420F84"/>
    <w:rsid w:val="00461BE6"/>
    <w:rsid w:val="004A754A"/>
    <w:rsid w:val="004E1FE2"/>
    <w:rsid w:val="005248CC"/>
    <w:rsid w:val="00527F4F"/>
    <w:rsid w:val="005420FE"/>
    <w:rsid w:val="005C31AA"/>
    <w:rsid w:val="006330FF"/>
    <w:rsid w:val="006D4684"/>
    <w:rsid w:val="007257BA"/>
    <w:rsid w:val="00727F56"/>
    <w:rsid w:val="007303C5"/>
    <w:rsid w:val="00775721"/>
    <w:rsid w:val="007C0F2D"/>
    <w:rsid w:val="007E50B8"/>
    <w:rsid w:val="008835EE"/>
    <w:rsid w:val="008A0110"/>
    <w:rsid w:val="00926B34"/>
    <w:rsid w:val="00952547"/>
    <w:rsid w:val="00973ED9"/>
    <w:rsid w:val="00A30B16"/>
    <w:rsid w:val="00A614BD"/>
    <w:rsid w:val="00A65C80"/>
    <w:rsid w:val="00AA6936"/>
    <w:rsid w:val="00AD411E"/>
    <w:rsid w:val="00B02EEA"/>
    <w:rsid w:val="00B160BA"/>
    <w:rsid w:val="00BE14BF"/>
    <w:rsid w:val="00C64F35"/>
    <w:rsid w:val="00C82932"/>
    <w:rsid w:val="00CE2392"/>
    <w:rsid w:val="00DF2EBD"/>
    <w:rsid w:val="00E23650"/>
    <w:rsid w:val="00E97073"/>
    <w:rsid w:val="00EA0563"/>
    <w:rsid w:val="00EB19A6"/>
    <w:rsid w:val="00F75FED"/>
    <w:rsid w:val="00FB496F"/>
    <w:rsid w:val="01102D92"/>
    <w:rsid w:val="01476561"/>
    <w:rsid w:val="014821F1"/>
    <w:rsid w:val="015E533E"/>
    <w:rsid w:val="016C0FA1"/>
    <w:rsid w:val="01852593"/>
    <w:rsid w:val="0190108A"/>
    <w:rsid w:val="01CD53CD"/>
    <w:rsid w:val="023D46EC"/>
    <w:rsid w:val="03385D0B"/>
    <w:rsid w:val="034B0503"/>
    <w:rsid w:val="03510060"/>
    <w:rsid w:val="04513546"/>
    <w:rsid w:val="0458352F"/>
    <w:rsid w:val="04AC5B58"/>
    <w:rsid w:val="04BB10B7"/>
    <w:rsid w:val="05857F74"/>
    <w:rsid w:val="05945126"/>
    <w:rsid w:val="065D710A"/>
    <w:rsid w:val="0689144B"/>
    <w:rsid w:val="073562D9"/>
    <w:rsid w:val="07487DBA"/>
    <w:rsid w:val="084E3DF5"/>
    <w:rsid w:val="086E3851"/>
    <w:rsid w:val="087936BC"/>
    <w:rsid w:val="08874912"/>
    <w:rsid w:val="089332B7"/>
    <w:rsid w:val="08F66C03"/>
    <w:rsid w:val="0A0A1357"/>
    <w:rsid w:val="0A1246B0"/>
    <w:rsid w:val="0A4A3E4A"/>
    <w:rsid w:val="0AF802D2"/>
    <w:rsid w:val="0C40306C"/>
    <w:rsid w:val="0C774C9E"/>
    <w:rsid w:val="0C9870EE"/>
    <w:rsid w:val="0CC257D5"/>
    <w:rsid w:val="0CCA4D93"/>
    <w:rsid w:val="0CDF0EFD"/>
    <w:rsid w:val="0D3037CB"/>
    <w:rsid w:val="0D3B772F"/>
    <w:rsid w:val="0D4E3C51"/>
    <w:rsid w:val="0E4F45D8"/>
    <w:rsid w:val="0EA53D44"/>
    <w:rsid w:val="0F02798F"/>
    <w:rsid w:val="0F07012F"/>
    <w:rsid w:val="0F2E02EC"/>
    <w:rsid w:val="0F31382A"/>
    <w:rsid w:val="0FC41FA8"/>
    <w:rsid w:val="101572A9"/>
    <w:rsid w:val="10505F32"/>
    <w:rsid w:val="10710382"/>
    <w:rsid w:val="111B0B47"/>
    <w:rsid w:val="112A4BB7"/>
    <w:rsid w:val="11407D54"/>
    <w:rsid w:val="11E132E5"/>
    <w:rsid w:val="11EC0610"/>
    <w:rsid w:val="11EC3A38"/>
    <w:rsid w:val="12692205"/>
    <w:rsid w:val="12B17E9B"/>
    <w:rsid w:val="12B544C5"/>
    <w:rsid w:val="13916645"/>
    <w:rsid w:val="14952100"/>
    <w:rsid w:val="14B00B11"/>
    <w:rsid w:val="14E51974"/>
    <w:rsid w:val="15065412"/>
    <w:rsid w:val="15470135"/>
    <w:rsid w:val="15604521"/>
    <w:rsid w:val="157E2FAD"/>
    <w:rsid w:val="158762E9"/>
    <w:rsid w:val="158F3058"/>
    <w:rsid w:val="15915022"/>
    <w:rsid w:val="15BB3E4D"/>
    <w:rsid w:val="15BF393E"/>
    <w:rsid w:val="15DF7B3C"/>
    <w:rsid w:val="16153CF4"/>
    <w:rsid w:val="16BA5EB3"/>
    <w:rsid w:val="17C92852"/>
    <w:rsid w:val="17FA17FC"/>
    <w:rsid w:val="18474669"/>
    <w:rsid w:val="18D21BDA"/>
    <w:rsid w:val="19045B0B"/>
    <w:rsid w:val="192F382B"/>
    <w:rsid w:val="19FD3FDF"/>
    <w:rsid w:val="1A12650C"/>
    <w:rsid w:val="1AB126A6"/>
    <w:rsid w:val="1AB677DE"/>
    <w:rsid w:val="1ACE45C4"/>
    <w:rsid w:val="1AF114D7"/>
    <w:rsid w:val="1B123F0C"/>
    <w:rsid w:val="1B2D1349"/>
    <w:rsid w:val="1B5A1A13"/>
    <w:rsid w:val="1BA40757"/>
    <w:rsid w:val="1C077DEC"/>
    <w:rsid w:val="1C8D752E"/>
    <w:rsid w:val="1D091942"/>
    <w:rsid w:val="1D3A7D4E"/>
    <w:rsid w:val="1DAF4AFC"/>
    <w:rsid w:val="1DDB508D"/>
    <w:rsid w:val="1E322697"/>
    <w:rsid w:val="1EE26681"/>
    <w:rsid w:val="1F0601A8"/>
    <w:rsid w:val="201E5705"/>
    <w:rsid w:val="20C95363"/>
    <w:rsid w:val="21094ABC"/>
    <w:rsid w:val="2147798C"/>
    <w:rsid w:val="22364E1D"/>
    <w:rsid w:val="22821F7B"/>
    <w:rsid w:val="231B417D"/>
    <w:rsid w:val="23203542"/>
    <w:rsid w:val="24BE1264"/>
    <w:rsid w:val="250E527E"/>
    <w:rsid w:val="25B9690B"/>
    <w:rsid w:val="25DA3E7C"/>
    <w:rsid w:val="26485289"/>
    <w:rsid w:val="268A3AF4"/>
    <w:rsid w:val="2698258D"/>
    <w:rsid w:val="270A69E3"/>
    <w:rsid w:val="27A26C1B"/>
    <w:rsid w:val="27A42993"/>
    <w:rsid w:val="27D5362B"/>
    <w:rsid w:val="28527FD1"/>
    <w:rsid w:val="28736730"/>
    <w:rsid w:val="28FE60D3"/>
    <w:rsid w:val="29341AF5"/>
    <w:rsid w:val="2A346ACA"/>
    <w:rsid w:val="2A391AB9"/>
    <w:rsid w:val="2A952A67"/>
    <w:rsid w:val="2ABC3C34"/>
    <w:rsid w:val="2AE71DF0"/>
    <w:rsid w:val="2B152B7E"/>
    <w:rsid w:val="2BAA0794"/>
    <w:rsid w:val="2BDE7D13"/>
    <w:rsid w:val="2BE23A8A"/>
    <w:rsid w:val="2C864D5D"/>
    <w:rsid w:val="2CB022D6"/>
    <w:rsid w:val="2D216834"/>
    <w:rsid w:val="2D2D19CD"/>
    <w:rsid w:val="2D74105A"/>
    <w:rsid w:val="2DB33930"/>
    <w:rsid w:val="2DE75388"/>
    <w:rsid w:val="2DEB0301"/>
    <w:rsid w:val="2F300FB0"/>
    <w:rsid w:val="2F890169"/>
    <w:rsid w:val="2FA6143A"/>
    <w:rsid w:val="2FC65E53"/>
    <w:rsid w:val="2FE04785"/>
    <w:rsid w:val="2FE9188B"/>
    <w:rsid w:val="30152810"/>
    <w:rsid w:val="30AC4667"/>
    <w:rsid w:val="30F06952"/>
    <w:rsid w:val="312A215B"/>
    <w:rsid w:val="31C22C39"/>
    <w:rsid w:val="32D11EE7"/>
    <w:rsid w:val="333D5A4A"/>
    <w:rsid w:val="33B06E98"/>
    <w:rsid w:val="345C4F2B"/>
    <w:rsid w:val="34605E94"/>
    <w:rsid w:val="346534AA"/>
    <w:rsid w:val="34713BFD"/>
    <w:rsid w:val="34DB376C"/>
    <w:rsid w:val="34E70363"/>
    <w:rsid w:val="34F12F90"/>
    <w:rsid w:val="34FD7B87"/>
    <w:rsid w:val="351C000D"/>
    <w:rsid w:val="35200667"/>
    <w:rsid w:val="35CB6621"/>
    <w:rsid w:val="36015455"/>
    <w:rsid w:val="360D538C"/>
    <w:rsid w:val="36802258"/>
    <w:rsid w:val="36EA5EE9"/>
    <w:rsid w:val="36F93E8A"/>
    <w:rsid w:val="379D0487"/>
    <w:rsid w:val="38DD5D05"/>
    <w:rsid w:val="39700927"/>
    <w:rsid w:val="39A16D33"/>
    <w:rsid w:val="3A033549"/>
    <w:rsid w:val="3A0B4AF4"/>
    <w:rsid w:val="3A8723CC"/>
    <w:rsid w:val="3AEF3ACE"/>
    <w:rsid w:val="3B173D7F"/>
    <w:rsid w:val="3B7A3CDF"/>
    <w:rsid w:val="3B893F22"/>
    <w:rsid w:val="3C36192E"/>
    <w:rsid w:val="3C7A1ABD"/>
    <w:rsid w:val="3D7529B0"/>
    <w:rsid w:val="3E2E0DB1"/>
    <w:rsid w:val="3E410AE4"/>
    <w:rsid w:val="3E5C147A"/>
    <w:rsid w:val="3E622809"/>
    <w:rsid w:val="3EB23790"/>
    <w:rsid w:val="3EBA0228"/>
    <w:rsid w:val="3F055FB6"/>
    <w:rsid w:val="3F3D6E1B"/>
    <w:rsid w:val="3F4563B2"/>
    <w:rsid w:val="3F680149"/>
    <w:rsid w:val="406D4DCA"/>
    <w:rsid w:val="4090609D"/>
    <w:rsid w:val="40B437EF"/>
    <w:rsid w:val="40F24318"/>
    <w:rsid w:val="4105404B"/>
    <w:rsid w:val="411779C2"/>
    <w:rsid w:val="41336BCB"/>
    <w:rsid w:val="41534A38"/>
    <w:rsid w:val="4168285C"/>
    <w:rsid w:val="430A1DED"/>
    <w:rsid w:val="438E33F7"/>
    <w:rsid w:val="439711A6"/>
    <w:rsid w:val="43E443EC"/>
    <w:rsid w:val="443F68DF"/>
    <w:rsid w:val="448C6831"/>
    <w:rsid w:val="44F06DC0"/>
    <w:rsid w:val="45156827"/>
    <w:rsid w:val="455E254D"/>
    <w:rsid w:val="456B6447"/>
    <w:rsid w:val="45A84FAE"/>
    <w:rsid w:val="45B822D1"/>
    <w:rsid w:val="45C56ECB"/>
    <w:rsid w:val="46935C55"/>
    <w:rsid w:val="46C6427C"/>
    <w:rsid w:val="470513F8"/>
    <w:rsid w:val="47252CB6"/>
    <w:rsid w:val="474653BD"/>
    <w:rsid w:val="47541888"/>
    <w:rsid w:val="4764741D"/>
    <w:rsid w:val="488251E8"/>
    <w:rsid w:val="48843C31"/>
    <w:rsid w:val="48BD345D"/>
    <w:rsid w:val="48C04CFB"/>
    <w:rsid w:val="48C100C6"/>
    <w:rsid w:val="48C53BE2"/>
    <w:rsid w:val="4968161B"/>
    <w:rsid w:val="497C3C51"/>
    <w:rsid w:val="499E328F"/>
    <w:rsid w:val="49AB775A"/>
    <w:rsid w:val="49E31136"/>
    <w:rsid w:val="49FE054C"/>
    <w:rsid w:val="4A031344"/>
    <w:rsid w:val="4A0B01F8"/>
    <w:rsid w:val="4A4C728D"/>
    <w:rsid w:val="4A875AD1"/>
    <w:rsid w:val="4B0C4228"/>
    <w:rsid w:val="4B78366B"/>
    <w:rsid w:val="4BCF2B77"/>
    <w:rsid w:val="4BE62CCB"/>
    <w:rsid w:val="4C082549"/>
    <w:rsid w:val="4C1E06B7"/>
    <w:rsid w:val="4CBD7ED0"/>
    <w:rsid w:val="4CE51D54"/>
    <w:rsid w:val="4D0258E3"/>
    <w:rsid w:val="4D7C5695"/>
    <w:rsid w:val="4DF25957"/>
    <w:rsid w:val="4E263853"/>
    <w:rsid w:val="4E7445BE"/>
    <w:rsid w:val="4F833FDC"/>
    <w:rsid w:val="4FA86246"/>
    <w:rsid w:val="4FCC2CDE"/>
    <w:rsid w:val="500B0F52"/>
    <w:rsid w:val="50487AB0"/>
    <w:rsid w:val="505C355C"/>
    <w:rsid w:val="507E7A1A"/>
    <w:rsid w:val="514566E6"/>
    <w:rsid w:val="51582E6C"/>
    <w:rsid w:val="5167040A"/>
    <w:rsid w:val="51AF590D"/>
    <w:rsid w:val="51C25640"/>
    <w:rsid w:val="51D75253"/>
    <w:rsid w:val="51E74D80"/>
    <w:rsid w:val="5217598C"/>
    <w:rsid w:val="525E180D"/>
    <w:rsid w:val="52701540"/>
    <w:rsid w:val="52A511EA"/>
    <w:rsid w:val="52B21AD1"/>
    <w:rsid w:val="52CA29FF"/>
    <w:rsid w:val="52CC6734"/>
    <w:rsid w:val="5301473C"/>
    <w:rsid w:val="53177C0E"/>
    <w:rsid w:val="537D3C18"/>
    <w:rsid w:val="5410147D"/>
    <w:rsid w:val="54970998"/>
    <w:rsid w:val="54D51AA7"/>
    <w:rsid w:val="54FF44A5"/>
    <w:rsid w:val="55475A19"/>
    <w:rsid w:val="55A16ED2"/>
    <w:rsid w:val="55BF16ED"/>
    <w:rsid w:val="55CD58BC"/>
    <w:rsid w:val="560C1580"/>
    <w:rsid w:val="56A33C92"/>
    <w:rsid w:val="56AD0E89"/>
    <w:rsid w:val="56F15B99"/>
    <w:rsid w:val="571802DA"/>
    <w:rsid w:val="574305EE"/>
    <w:rsid w:val="583A3C95"/>
    <w:rsid w:val="58467E50"/>
    <w:rsid w:val="59A01F0B"/>
    <w:rsid w:val="59C503C4"/>
    <w:rsid w:val="59D86349"/>
    <w:rsid w:val="5AAB5D5D"/>
    <w:rsid w:val="5B060C94"/>
    <w:rsid w:val="5BC052E6"/>
    <w:rsid w:val="5C0A6562"/>
    <w:rsid w:val="5C6747DA"/>
    <w:rsid w:val="5CB32755"/>
    <w:rsid w:val="5CE4546A"/>
    <w:rsid w:val="5D916F3A"/>
    <w:rsid w:val="5D9711A4"/>
    <w:rsid w:val="5D9C768D"/>
    <w:rsid w:val="5E113BD7"/>
    <w:rsid w:val="5E4265FD"/>
    <w:rsid w:val="5EE96902"/>
    <w:rsid w:val="5F517ABE"/>
    <w:rsid w:val="5F8421A1"/>
    <w:rsid w:val="60372BC2"/>
    <w:rsid w:val="604F73A7"/>
    <w:rsid w:val="610633E6"/>
    <w:rsid w:val="618F75C3"/>
    <w:rsid w:val="61D1008C"/>
    <w:rsid w:val="62606EDB"/>
    <w:rsid w:val="626D5C19"/>
    <w:rsid w:val="62B80639"/>
    <w:rsid w:val="6321792E"/>
    <w:rsid w:val="63B7511B"/>
    <w:rsid w:val="63BF3862"/>
    <w:rsid w:val="6416019A"/>
    <w:rsid w:val="646A5DEF"/>
    <w:rsid w:val="649A50CC"/>
    <w:rsid w:val="64AC6408"/>
    <w:rsid w:val="64CA2D32"/>
    <w:rsid w:val="64CF659A"/>
    <w:rsid w:val="65670518"/>
    <w:rsid w:val="65BB4075"/>
    <w:rsid w:val="65E55731"/>
    <w:rsid w:val="66042274"/>
    <w:rsid w:val="66662834"/>
    <w:rsid w:val="66BA0643"/>
    <w:rsid w:val="66F44096"/>
    <w:rsid w:val="66F553A6"/>
    <w:rsid w:val="674E064D"/>
    <w:rsid w:val="67E1286C"/>
    <w:rsid w:val="685275F3"/>
    <w:rsid w:val="68623356"/>
    <w:rsid w:val="68B65AA7"/>
    <w:rsid w:val="69004F74"/>
    <w:rsid w:val="6955518E"/>
    <w:rsid w:val="69A67DB5"/>
    <w:rsid w:val="69B83A0D"/>
    <w:rsid w:val="69BD7D10"/>
    <w:rsid w:val="6ACF2A05"/>
    <w:rsid w:val="6AED32D6"/>
    <w:rsid w:val="6AF0478A"/>
    <w:rsid w:val="6B206150"/>
    <w:rsid w:val="6C615D2A"/>
    <w:rsid w:val="6C860F1A"/>
    <w:rsid w:val="6C9132B7"/>
    <w:rsid w:val="6D18628B"/>
    <w:rsid w:val="6D910628"/>
    <w:rsid w:val="6DED6714"/>
    <w:rsid w:val="6E494CC8"/>
    <w:rsid w:val="6E6B4FA6"/>
    <w:rsid w:val="6E7E1C6A"/>
    <w:rsid w:val="6EC8494C"/>
    <w:rsid w:val="6F0357BE"/>
    <w:rsid w:val="6F2E1014"/>
    <w:rsid w:val="6F70543C"/>
    <w:rsid w:val="704A2F79"/>
    <w:rsid w:val="70810852"/>
    <w:rsid w:val="715A71EC"/>
    <w:rsid w:val="71787AB8"/>
    <w:rsid w:val="719A3A8C"/>
    <w:rsid w:val="71CA1FE3"/>
    <w:rsid w:val="72534E9D"/>
    <w:rsid w:val="72EB27F1"/>
    <w:rsid w:val="731036E9"/>
    <w:rsid w:val="732C1A70"/>
    <w:rsid w:val="732E6B82"/>
    <w:rsid w:val="73493CAC"/>
    <w:rsid w:val="7358775B"/>
    <w:rsid w:val="73EB05CF"/>
    <w:rsid w:val="73FB4E65"/>
    <w:rsid w:val="741B7106"/>
    <w:rsid w:val="7530788B"/>
    <w:rsid w:val="75422471"/>
    <w:rsid w:val="75936E7F"/>
    <w:rsid w:val="759A61FC"/>
    <w:rsid w:val="7605205B"/>
    <w:rsid w:val="76237A75"/>
    <w:rsid w:val="76426BCC"/>
    <w:rsid w:val="769557B6"/>
    <w:rsid w:val="771A36A5"/>
    <w:rsid w:val="778620F0"/>
    <w:rsid w:val="77884AB3"/>
    <w:rsid w:val="78EB552B"/>
    <w:rsid w:val="79783C64"/>
    <w:rsid w:val="7993773F"/>
    <w:rsid w:val="79AB4A88"/>
    <w:rsid w:val="79BD371A"/>
    <w:rsid w:val="7A526335"/>
    <w:rsid w:val="7A8D0117"/>
    <w:rsid w:val="7BB51BEE"/>
    <w:rsid w:val="7C2154D6"/>
    <w:rsid w:val="7C8D4919"/>
    <w:rsid w:val="7CA90BA0"/>
    <w:rsid w:val="7CB20C21"/>
    <w:rsid w:val="7CE55D78"/>
    <w:rsid w:val="7D7809E9"/>
    <w:rsid w:val="7D8C697F"/>
    <w:rsid w:val="7D9E7B82"/>
    <w:rsid w:val="7DBD5782"/>
    <w:rsid w:val="7E046E5D"/>
    <w:rsid w:val="7E152E18"/>
    <w:rsid w:val="7E2D681A"/>
    <w:rsid w:val="7E2E6314"/>
    <w:rsid w:val="7E324E10"/>
    <w:rsid w:val="7E3F60E7"/>
    <w:rsid w:val="7F4C286A"/>
    <w:rsid w:val="7F4C4618"/>
    <w:rsid w:val="7F664645"/>
    <w:rsid w:val="7F9554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2"/>
    <w:basedOn w:val="1"/>
    <w:next w:val="1"/>
    <w:qFormat/>
    <w:uiPriority w:val="0"/>
    <w:pPr>
      <w:spacing w:before="100" w:beforeAutospacing="1" w:after="100" w:afterAutospacing="1"/>
      <w:outlineLvl w:val="1"/>
    </w:pPr>
    <w:rPr>
      <w:rFonts w:hint="eastAsia" w:ascii="宋体" w:hAnsi="宋体" w:eastAsia="宋体" w:cs="Times New Roman"/>
      <w:b/>
      <w:bCs/>
      <w:sz w:val="36"/>
      <w:szCs w:val="36"/>
      <w:lang w:eastAsia="zh-CN"/>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4"/>
    <w:qFormat/>
    <w:uiPriority w:val="0"/>
  </w:style>
  <w:style w:type="paragraph" w:styleId="4">
    <w:name w:val="footer"/>
    <w:basedOn w:val="1"/>
    <w:link w:val="22"/>
    <w:qFormat/>
    <w:uiPriority w:val="0"/>
    <w:pPr>
      <w:tabs>
        <w:tab w:val="center" w:pos="4153"/>
        <w:tab w:val="right" w:pos="8306"/>
      </w:tabs>
    </w:pPr>
    <w:rPr>
      <w:sz w:val="18"/>
      <w:szCs w:val="18"/>
    </w:rPr>
  </w:style>
  <w:style w:type="paragraph" w:styleId="5">
    <w:name w:val="header"/>
    <w:basedOn w:val="1"/>
    <w:link w:val="21"/>
    <w:qFormat/>
    <w:uiPriority w:val="0"/>
    <w:pPr>
      <w:tabs>
        <w:tab w:val="center" w:pos="4153"/>
        <w:tab w:val="right" w:pos="8306"/>
      </w:tabs>
      <w:jc w:val="center"/>
    </w:pPr>
    <w:rPr>
      <w:sz w:val="18"/>
      <w:szCs w:val="18"/>
    </w:r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ascii="宋体" w:hAnsi="宋体" w:eastAsia="宋体" w:cs="Times New Roman"/>
      <w:sz w:val="24"/>
      <w:szCs w:val="24"/>
      <w:lang w:eastAsia="zh-CN"/>
    </w:rPr>
  </w:style>
  <w:style w:type="paragraph" w:styleId="7">
    <w:name w:val="Normal (Web)"/>
    <w:basedOn w:val="1"/>
    <w:qFormat/>
    <w:uiPriority w:val="0"/>
    <w:pPr>
      <w:spacing w:beforeAutospacing="1" w:afterAutospacing="1"/>
    </w:pPr>
    <w:rPr>
      <w:rFonts w:cs="Times New Roman"/>
      <w:sz w:val="24"/>
      <w:lang w:eastAsia="zh-CN"/>
    </w:rPr>
  </w:style>
  <w:style w:type="paragraph" w:styleId="8">
    <w:name w:val="annotation subject"/>
    <w:basedOn w:val="3"/>
    <w:next w:val="3"/>
    <w:link w:val="25"/>
    <w:qFormat/>
    <w:uiPriority w:val="0"/>
    <w:rPr>
      <w:b/>
      <w:bCs/>
    </w:rPr>
  </w:style>
  <w:style w:type="character" w:styleId="11">
    <w:name w:val="Strong"/>
    <w:basedOn w:val="10"/>
    <w:qFormat/>
    <w:uiPriority w:val="0"/>
    <w:rPr>
      <w:b/>
    </w:rPr>
  </w:style>
  <w:style w:type="character" w:styleId="12">
    <w:name w:val="Hyperlink"/>
    <w:basedOn w:val="10"/>
    <w:qFormat/>
    <w:uiPriority w:val="0"/>
    <w:rPr>
      <w:color w:val="0000FF"/>
      <w:u w:val="single"/>
    </w:rPr>
  </w:style>
  <w:style w:type="character" w:styleId="13">
    <w:name w:val="annotation reference"/>
    <w:basedOn w:val="10"/>
    <w:qFormat/>
    <w:uiPriority w:val="0"/>
    <w:rPr>
      <w:sz w:val="21"/>
      <w:szCs w:val="21"/>
    </w:rPr>
  </w:style>
  <w:style w:type="table" w:customStyle="1" w:styleId="14">
    <w:name w:val="Table Normal"/>
    <w:unhideWhenUsed/>
    <w:qFormat/>
    <w:uiPriority w:val="0"/>
    <w:tblPr>
      <w:tblCellMar>
        <w:top w:w="0" w:type="dxa"/>
        <w:left w:w="0" w:type="dxa"/>
        <w:bottom w:w="0" w:type="dxa"/>
        <w:right w:w="0" w:type="dxa"/>
      </w:tblCellMar>
    </w:tblPr>
  </w:style>
  <w:style w:type="paragraph" w:customStyle="1" w:styleId="15">
    <w:name w:val="Table Text"/>
    <w:basedOn w:val="1"/>
    <w:semiHidden/>
    <w:qFormat/>
    <w:uiPriority w:val="0"/>
    <w:rPr>
      <w:rFonts w:ascii="宋体" w:hAnsi="宋体" w:eastAsia="宋体" w:cs="宋体"/>
      <w:sz w:val="24"/>
      <w:szCs w:val="24"/>
    </w:rPr>
  </w:style>
  <w:style w:type="paragraph" w:customStyle="1" w:styleId="16">
    <w:name w:val="p1"/>
    <w:basedOn w:val="1"/>
    <w:qFormat/>
    <w:uiPriority w:val="0"/>
    <w:pPr>
      <w:kinsoku/>
      <w:autoSpaceDE/>
      <w:autoSpaceDN/>
      <w:adjustRightInd/>
      <w:snapToGrid/>
      <w:textAlignment w:val="auto"/>
    </w:pPr>
    <w:rPr>
      <w:rFonts w:ascii=".AppleSystemUIFont" w:hAnsi=".AppleSystemUIFont" w:eastAsia="宋体" w:cs="宋体"/>
      <w:snapToGrid/>
      <w:color w:val="111111"/>
      <w:sz w:val="26"/>
      <w:szCs w:val="26"/>
      <w:lang w:eastAsia="zh-CN"/>
    </w:rPr>
  </w:style>
  <w:style w:type="paragraph" w:customStyle="1" w:styleId="17">
    <w:name w:val="p2"/>
    <w:basedOn w:val="1"/>
    <w:qFormat/>
    <w:uiPriority w:val="0"/>
    <w:pPr>
      <w:kinsoku/>
      <w:autoSpaceDE/>
      <w:autoSpaceDN/>
      <w:adjustRightInd/>
      <w:snapToGrid/>
      <w:textAlignment w:val="auto"/>
    </w:pPr>
    <w:rPr>
      <w:rFonts w:ascii=".AppleSystemUIFont" w:hAnsi=".AppleSystemUIFont" w:eastAsia="宋体" w:cs="宋体"/>
      <w:snapToGrid/>
      <w:color w:val="111111"/>
      <w:sz w:val="26"/>
      <w:szCs w:val="26"/>
      <w:lang w:eastAsia="zh-CN"/>
    </w:rPr>
  </w:style>
  <w:style w:type="character" w:customStyle="1" w:styleId="18">
    <w:name w:val="s1"/>
    <w:basedOn w:val="10"/>
    <w:qFormat/>
    <w:uiPriority w:val="0"/>
    <w:rPr>
      <w:rFonts w:hint="default" w:ascii="UICTFontTextStyleBody" w:hAnsi="UICTFontTextStyleBody"/>
      <w:sz w:val="26"/>
      <w:szCs w:val="26"/>
    </w:rPr>
  </w:style>
  <w:style w:type="paragraph" w:customStyle="1" w:styleId="19">
    <w:name w:val="修订1"/>
    <w:hidden/>
    <w:unhideWhenUsed/>
    <w:qFormat/>
    <w:uiPriority w:val="99"/>
    <w:rPr>
      <w:rFonts w:ascii="Arial" w:hAnsi="Arial" w:eastAsia="Arial" w:cs="Arial"/>
      <w:snapToGrid w:val="0"/>
      <w:color w:val="000000"/>
      <w:sz w:val="21"/>
      <w:szCs w:val="21"/>
      <w:lang w:val="en-US" w:eastAsia="en-US" w:bidi="ar-SA"/>
    </w:rPr>
  </w:style>
  <w:style w:type="paragraph" w:customStyle="1" w:styleId="20">
    <w:name w:val="修订2"/>
    <w:hidden/>
    <w:unhideWhenUsed/>
    <w:qFormat/>
    <w:uiPriority w:val="99"/>
    <w:rPr>
      <w:rFonts w:ascii="Arial" w:hAnsi="Arial" w:eastAsia="Arial" w:cs="Arial"/>
      <w:snapToGrid w:val="0"/>
      <w:color w:val="000000"/>
      <w:sz w:val="21"/>
      <w:szCs w:val="21"/>
      <w:lang w:val="en-US" w:eastAsia="en-US" w:bidi="ar-SA"/>
    </w:rPr>
  </w:style>
  <w:style w:type="character" w:customStyle="1" w:styleId="21">
    <w:name w:val="页眉 字符"/>
    <w:basedOn w:val="10"/>
    <w:link w:val="5"/>
    <w:qFormat/>
    <w:uiPriority w:val="0"/>
    <w:rPr>
      <w:rFonts w:ascii="Arial" w:hAnsi="Arial" w:eastAsia="Arial" w:cs="Arial"/>
      <w:snapToGrid w:val="0"/>
      <w:color w:val="000000"/>
      <w:sz w:val="18"/>
      <w:szCs w:val="18"/>
      <w:lang w:eastAsia="en-US"/>
    </w:rPr>
  </w:style>
  <w:style w:type="character" w:customStyle="1" w:styleId="22">
    <w:name w:val="页脚 字符"/>
    <w:basedOn w:val="10"/>
    <w:link w:val="4"/>
    <w:qFormat/>
    <w:uiPriority w:val="0"/>
    <w:rPr>
      <w:rFonts w:ascii="Arial" w:hAnsi="Arial" w:eastAsia="Arial" w:cs="Arial"/>
      <w:snapToGrid w:val="0"/>
      <w:color w:val="000000"/>
      <w:sz w:val="18"/>
      <w:szCs w:val="18"/>
      <w:lang w:eastAsia="en-US"/>
    </w:rPr>
  </w:style>
  <w:style w:type="paragraph" w:customStyle="1" w:styleId="23">
    <w:name w:val="修订3"/>
    <w:hidden/>
    <w:unhideWhenUsed/>
    <w:qFormat/>
    <w:uiPriority w:val="99"/>
    <w:rPr>
      <w:rFonts w:ascii="Arial" w:hAnsi="Arial" w:eastAsia="Arial" w:cs="Arial"/>
      <w:snapToGrid w:val="0"/>
      <w:color w:val="000000"/>
      <w:sz w:val="21"/>
      <w:szCs w:val="21"/>
      <w:lang w:val="en-US" w:eastAsia="en-US" w:bidi="ar-SA"/>
    </w:rPr>
  </w:style>
  <w:style w:type="character" w:customStyle="1" w:styleId="24">
    <w:name w:val="批注文字 字符"/>
    <w:basedOn w:val="10"/>
    <w:link w:val="3"/>
    <w:qFormat/>
    <w:uiPriority w:val="0"/>
    <w:rPr>
      <w:rFonts w:ascii="Arial" w:hAnsi="Arial" w:eastAsia="Arial" w:cs="Arial"/>
      <w:snapToGrid w:val="0"/>
      <w:color w:val="000000"/>
      <w:sz w:val="21"/>
      <w:szCs w:val="21"/>
      <w:lang w:eastAsia="en-US"/>
    </w:rPr>
  </w:style>
  <w:style w:type="character" w:customStyle="1" w:styleId="25">
    <w:name w:val="批注主题 字符"/>
    <w:basedOn w:val="24"/>
    <w:link w:val="8"/>
    <w:qFormat/>
    <w:uiPriority w:val="0"/>
    <w:rPr>
      <w:rFonts w:ascii="Arial" w:hAnsi="Arial" w:eastAsia="Arial" w:cs="Arial"/>
      <w:b/>
      <w:bCs/>
      <w:snapToGrid w:val="0"/>
      <w:color w:val="000000"/>
      <w:sz w:val="21"/>
      <w:szCs w:val="21"/>
      <w:lang w:eastAsia="en-US"/>
    </w:rPr>
  </w:style>
  <w:style w:type="paragraph" w:customStyle="1" w:styleId="26">
    <w:name w:val="Revision"/>
    <w:hidden/>
    <w:unhideWhenUsed/>
    <w:qFormat/>
    <w:uiPriority w:val="99"/>
    <w:rPr>
      <w:rFonts w:ascii="Arial" w:hAnsi="Arial" w:eastAsia="Arial" w:cs="Arial"/>
      <w:snapToGrid w:val="0"/>
      <w:color w:val="000000"/>
      <w:sz w:val="21"/>
      <w:szCs w:val="21"/>
      <w:lang w:val="en-US"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038eb8bf-fbf0-4422-84ba-cb4abf39b82a</errorID>
      <errorWord>-</errorWord>
      <group>L1_Format</group>
      <groupName>格式问题</groupName>
      <ability>L2_HalfPunc_CN</ability>
      <abilityName>全半角问题</abilityName>
      <candidateList>
        <item>－</item>
      </candidateList>
      <explain>文本全半角错误。</explain>
      <paraID>4F1D35A2</paraID>
      <start>107</start>
      <end>108</end>
      <status>unmodified</status>
      <modifiedWord/>
      <trackRevisions>false</trackRevisions>
    </reviewItem>
    <reviewItem>
      <errorID>2c9a45db-a2d3-4929-83f1-aac979f5e812</errorID>
      <errorWord>-</errorWord>
      <group>L1_Format</group>
      <groupName>格式问题</groupName>
      <ability>L2_HalfPunc_CN</ability>
      <abilityName>全半角问题</abilityName>
      <candidateList>
        <item>－</item>
      </candidateList>
      <explain>文本全半角错误。</explain>
      <paraID>4F1D35A2</paraID>
      <start>112</start>
      <end>113</end>
      <status>unmodified</status>
      <modifiedWord/>
      <trackRevisions>false</trackRevisions>
    </reviewItem>
    <reviewItem>
      <errorID>259f11d9-a385-48bd-b175-3ec361aff25d</errorID>
      <errorWord>-</errorWord>
      <group>L1_Format</group>
      <groupName>格式问题</groupName>
      <ability>L2_HalfPunc_CN</ability>
      <abilityName>全半角问题</abilityName>
      <candidateList>
        <item>－</item>
      </candidateList>
      <explain>文本全半角错误。</explain>
      <paraID>4F1D35A2</paraID>
      <start>117</start>
      <end>118</end>
      <status>unmodified</status>
      <modifiedWord/>
      <trackRevisions>false</trackRevisions>
    </reviewItem>
    <reviewItem>
      <errorID>1fabb65d-884b-4958-a2fb-8e2b0e1db8ed</errorID>
      <errorWord>-</errorWord>
      <group>L1_Format</group>
      <groupName>格式问题</groupName>
      <ability>L2_HalfPunc_CN</ability>
      <abilityName>全半角问题</abilityName>
      <candidateList>
        <item>－</item>
      </candidateList>
      <explain>文本全半角错误。</explain>
      <paraID>4F1D35A2</paraID>
      <start>20</start>
      <end>21</end>
      <status>unmodified</status>
      <modifiedWord/>
      <trackRevisions>false</trackRevisions>
    </reviewItem>
    <reviewItem>
      <errorID>366af293-5158-4ab0-b485-a9ce2db12a9a</errorID>
      <errorWord>-</errorWord>
      <group>L1_Format</group>
      <groupName>格式问题</groupName>
      <ability>L2_HalfPunc_CN</ability>
      <abilityName>全半角问题</abilityName>
      <candidateList>
        <item>－</item>
      </candidateList>
      <explain>文本全半角错误。</explain>
      <paraID>4F1D35A2</paraID>
      <start>23</start>
      <end>24</end>
      <status>unmodified</status>
      <modifiedWord/>
      <trackRevisions>false</trackRevisions>
    </reviewItem>
    <reviewItem>
      <errorID>4f747c72-36ef-469a-853e-669a59fc6354</errorID>
      <errorWord>-</errorWord>
      <group>L1_Format</group>
      <groupName>格式问题</groupName>
      <ability>L2_HalfPunc_CN</ability>
      <abilityName>全半角问题</abilityName>
      <candidateList>
        <item>－</item>
      </candidateList>
      <explain>文本全半角错误。</explain>
      <paraID>4F1D35A2</paraID>
      <start>26</start>
      <end>27</end>
      <status>unmodified</status>
      <modifiedWord/>
      <trackRevisions>false</trackRevisions>
    </reviewItem>
    <reviewItem>
      <errorID>0a6fdc01-73d2-441d-9ca0-48fbb59a8040</errorID>
      <errorWord>-</errorWord>
      <group>L1_Format</group>
      <groupName>格式问题</groupName>
      <ability>L2_HalfPunc_CN</ability>
      <abilityName>全半角问题</abilityName>
      <candidateList>
        <item>－</item>
      </candidateList>
      <explain>文本全半角错误。</explain>
      <paraID>4F1D35A2</paraID>
      <start>29</start>
      <end>30</end>
      <status>unmodified</status>
      <modifiedWord/>
      <trackRevisions>false</trackRevisions>
    </reviewItem>
    <reviewItem>
      <errorID>a6a0576d-abc8-4cf2-8766-253bd877eef3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146E2672</paraID>
      <start>10</start>
      <end>11</end>
      <status>unmodified</status>
      <modifiedWord/>
      <trackRevisions>false</trackRevisions>
    </reviewItem>
  </reviewItems>
  <config/>
</contractReview>
</file>

<file path=customXml/itemProps1.xml><?xml version="1.0" encoding="utf-8"?>
<ds:datastoreItem xmlns:ds="http://schemas.openxmlformats.org/officeDocument/2006/customXml" ds:itemID="{355CFB16-93E4-45D7-9417-9A5E11A044B2}">
  <ds:schemaRefs/>
</ds:datastoreItem>
</file>

<file path=docProps/app.xml><?xml version="1.0" encoding="utf-8"?>
<Properties xmlns="http://schemas.openxmlformats.org/officeDocument/2006/extended-properties" xmlns:vt="http://schemas.openxmlformats.org/officeDocument/2006/docPropsVTypes">
  <Template>Normal</Template>
  <Pages>5</Pages>
  <Words>3879</Words>
  <Characters>4048</Characters>
  <Lines>29</Lines>
  <Paragraphs>8</Paragraphs>
  <TotalTime>36</TotalTime>
  <ScaleCrop>false</ScaleCrop>
  <LinksUpToDate>false</LinksUpToDate>
  <CharactersWithSpaces>4114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2026-09-16T06:25:00Z</dcterms:created>
  <dc:creator>荣大-李雷</dc:creator>
  <cp:lastModifiedBy>Melody</cp:lastModifiedBy>
  <dcterms:modified xsi:type="dcterms:W3CDTF">2026-09-16T09:46:12Z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2024-07-26T02:33:54Z</vt:filetime>
  </property>
  <property fmtid="{D5CDD505-2E9C-101B-9397-08002B2CF9AE}" pid="4" name="KSOProductBuildVer">
    <vt:lpwstr>2052-12.1.0.28505</vt:lpwstr>
  </property>
  <property fmtid="{D5CDD505-2E9C-101B-9397-08002B2CF9AE}" pid="5" name="ICV">
    <vt:lpwstr>380A1AF2DDBC49699B85D6D347D184B4_13</vt:lpwstr>
  </property>
  <property fmtid="{D5CDD505-2E9C-101B-9397-08002B2CF9AE}" pid="6" name="KSOTemplateDocerSaveRecord">
    <vt:lpwstr>eyJoZGlkIjoiYmM4YTI2YzdmNDcxYmFlYzY0ZDcyMzE0OGYyY2ZlMDQiLCJ1c2VySWQiOiIyNzA1NzQyMTkifQ==</vt:lpwstr>
  </property>
</Properties>
</file>