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4E6FA">
      <w:pPr>
        <w:spacing w:before="156" w:beforeLines="50" w:after="156" w:afterLines="50" w:line="360" w:lineRule="auto"/>
        <w:rPr>
          <w:rFonts w:hint="eastAsia" w:ascii="宋体" w:hAnsi="宋体"/>
          <w:bCs/>
          <w:iCs/>
          <w:color w:val="000000"/>
          <w:sz w:val="28"/>
        </w:rPr>
      </w:pPr>
      <w:bookmarkStart w:id="0" w:name="_GoBack"/>
      <w:r>
        <w:rPr>
          <w:rFonts w:hint="eastAsia" w:ascii="宋体" w:hAnsi="宋体"/>
          <w:bCs/>
          <w:iCs/>
          <w:color w:val="000000"/>
          <w:sz w:val="28"/>
        </w:rPr>
        <w:t>证券代码：</w:t>
      </w:r>
      <w:r>
        <w:rPr>
          <w:rFonts w:ascii="宋体" w:hAnsi="宋体"/>
          <w:bCs/>
          <w:iCs/>
          <w:color w:val="000000"/>
          <w:sz w:val="28"/>
        </w:rPr>
        <w:t>688</w:t>
      </w:r>
      <w:r>
        <w:rPr>
          <w:rFonts w:hint="eastAsia" w:ascii="宋体" w:hAnsi="宋体"/>
          <w:bCs/>
          <w:iCs/>
          <w:color w:val="000000"/>
          <w:sz w:val="28"/>
        </w:rPr>
        <w:t>5</w:t>
      </w:r>
      <w:r>
        <w:rPr>
          <w:rFonts w:ascii="宋体" w:hAnsi="宋体"/>
          <w:bCs/>
          <w:iCs/>
          <w:color w:val="000000"/>
          <w:sz w:val="28"/>
        </w:rPr>
        <w:t>48</w:t>
      </w:r>
      <w:r>
        <w:rPr>
          <w:rFonts w:hint="eastAsia" w:ascii="宋体" w:hAnsi="宋体"/>
          <w:bCs/>
          <w:iCs/>
          <w:color w:val="000000"/>
          <w:sz w:val="28"/>
        </w:rPr>
        <w:t xml:space="preserve">                         证券简称：广钢气体</w:t>
      </w:r>
    </w:p>
    <w:p w14:paraId="5D1DD2F8">
      <w:pPr>
        <w:spacing w:before="156" w:beforeLines="50" w:after="156" w:afterLines="50" w:line="360" w:lineRule="auto"/>
        <w:jc w:val="center"/>
        <w:rPr>
          <w:rFonts w:hint="eastAsia" w:ascii="宋体" w:hAnsi="宋体"/>
          <w:b/>
          <w:bCs/>
          <w:iCs/>
          <w:color w:val="000000"/>
          <w:sz w:val="32"/>
          <w:szCs w:val="32"/>
        </w:rPr>
      </w:pPr>
    </w:p>
    <w:p w14:paraId="5C335F3D">
      <w:pPr>
        <w:spacing w:before="156" w:beforeLines="50" w:after="156" w:afterLines="50" w:line="360" w:lineRule="auto"/>
        <w:jc w:val="center"/>
        <w:rPr>
          <w:rFonts w:hint="eastAsia" w:ascii="宋体" w:hAnsi="宋体"/>
          <w:b/>
          <w:bCs/>
          <w:iCs/>
          <w:color w:val="000000"/>
          <w:sz w:val="32"/>
          <w:szCs w:val="32"/>
        </w:rPr>
      </w:pPr>
      <w:r>
        <w:rPr>
          <w:rFonts w:hint="eastAsia" w:ascii="宋体" w:hAnsi="宋体"/>
          <w:b/>
          <w:bCs/>
          <w:iCs/>
          <w:color w:val="000000"/>
          <w:sz w:val="32"/>
          <w:szCs w:val="32"/>
        </w:rPr>
        <w:t>广州广钢气体能源股份有限公司</w:t>
      </w:r>
    </w:p>
    <w:p w14:paraId="39D99D9F">
      <w:pPr>
        <w:spacing w:before="156" w:beforeLines="50" w:after="156" w:afterLines="50" w:line="360" w:lineRule="auto"/>
        <w:jc w:val="center"/>
        <w:rPr>
          <w:rFonts w:hint="eastAsia" w:ascii="宋体" w:hAnsi="宋体"/>
          <w:b/>
          <w:bCs/>
          <w:iCs/>
          <w:color w:val="000000"/>
          <w:sz w:val="32"/>
          <w:szCs w:val="32"/>
        </w:rPr>
      </w:pPr>
      <w:r>
        <w:rPr>
          <w:rFonts w:hint="eastAsia" w:ascii="宋体" w:hAnsi="宋体"/>
          <w:b/>
          <w:bCs/>
          <w:iCs/>
          <w:color w:val="000000"/>
          <w:sz w:val="32"/>
          <w:szCs w:val="32"/>
        </w:rPr>
        <w:t>投资者关系活动记录表</w:t>
      </w:r>
    </w:p>
    <w:p w14:paraId="6C80BD44">
      <w:pPr>
        <w:spacing w:line="360" w:lineRule="auto"/>
        <w:rPr>
          <w:rFonts w:hint="eastAsia" w:ascii="宋体" w:hAnsi="宋体" w:eastAsia="宋体"/>
          <w:bCs/>
          <w:iCs/>
          <w:color w:val="000000"/>
          <w:sz w:val="24"/>
          <w:lang w:eastAsia="zh-CN"/>
        </w:rPr>
      </w:pPr>
      <w:r>
        <w:rPr>
          <w:rFonts w:hint="eastAsia" w:ascii="宋体" w:hAnsi="宋体"/>
          <w:bCs/>
          <w:iCs/>
          <w:color w:val="000000"/>
          <w:sz w:val="24"/>
        </w:rPr>
        <w:t xml:space="preserve">                                                        编号：2</w:t>
      </w:r>
      <w:r>
        <w:rPr>
          <w:rFonts w:ascii="宋体" w:hAnsi="宋体"/>
          <w:bCs/>
          <w:iCs/>
          <w:color w:val="000000"/>
          <w:sz w:val="24"/>
        </w:rPr>
        <w:t>02</w:t>
      </w:r>
      <w:r>
        <w:rPr>
          <w:rFonts w:hint="eastAsia" w:ascii="宋体" w:hAnsi="宋体"/>
          <w:bCs/>
          <w:iCs/>
          <w:color w:val="000000"/>
          <w:sz w:val="24"/>
        </w:rPr>
        <w:t>6-</w:t>
      </w:r>
      <w:r>
        <w:rPr>
          <w:rFonts w:ascii="宋体" w:hAnsi="宋体"/>
          <w:bCs/>
          <w:iCs/>
          <w:color w:val="000000"/>
          <w:sz w:val="24"/>
        </w:rPr>
        <w:t>00</w:t>
      </w:r>
      <w:r>
        <w:rPr>
          <w:rFonts w:hint="eastAsia" w:ascii="宋体" w:hAnsi="宋体"/>
          <w:bCs/>
          <w:iCs/>
          <w:color w:val="000000"/>
          <w:sz w:val="24"/>
          <w:lang w:val="en-US" w:eastAsia="zh-CN"/>
        </w:rPr>
        <w:t>5</w:t>
      </w:r>
    </w:p>
    <w:tbl>
      <w:tblPr>
        <w:tblStyle w:val="9"/>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6631"/>
      </w:tblGrid>
      <w:tr w14:paraId="59FA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21E9D81C">
            <w:pPr>
              <w:spacing w:line="360" w:lineRule="auto"/>
              <w:rPr>
                <w:rFonts w:hint="eastAsia" w:ascii="宋体" w:hAnsi="宋体"/>
                <w:bCs/>
                <w:iCs/>
                <w:color w:val="000000"/>
                <w:sz w:val="24"/>
              </w:rPr>
            </w:pPr>
            <w:r>
              <w:rPr>
                <w:rFonts w:hint="eastAsia" w:ascii="宋体" w:hAnsi="宋体"/>
                <w:bCs/>
                <w:iCs/>
                <w:color w:val="000000"/>
                <w:sz w:val="24"/>
              </w:rPr>
              <w:t>投资者关系活动类别</w:t>
            </w:r>
          </w:p>
          <w:p w14:paraId="23146E22">
            <w:pPr>
              <w:spacing w:line="360" w:lineRule="auto"/>
              <w:rPr>
                <w:rFonts w:hint="eastAsia" w:ascii="宋体" w:hAnsi="宋体"/>
                <w:bCs/>
                <w:iCs/>
                <w:color w:val="000000"/>
                <w:sz w:val="24"/>
              </w:rPr>
            </w:pPr>
          </w:p>
        </w:tc>
        <w:tc>
          <w:tcPr>
            <w:tcW w:w="6631" w:type="dxa"/>
            <w:tcBorders>
              <w:top w:val="single" w:color="auto" w:sz="4" w:space="0"/>
              <w:left w:val="single" w:color="auto" w:sz="4" w:space="0"/>
              <w:bottom w:val="single" w:color="auto" w:sz="4" w:space="0"/>
              <w:right w:val="single" w:color="auto" w:sz="4" w:space="0"/>
            </w:tcBorders>
          </w:tcPr>
          <w:p w14:paraId="61D1DE86">
            <w:pPr>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 xml:space="preserve">特定对象调研        </w:t>
            </w:r>
            <w:r>
              <w:rPr>
                <w:rFonts w:hint="eastAsia" w:ascii="宋体" w:hAnsi="宋体"/>
                <w:bCs/>
                <w:iCs/>
                <w:color w:val="000000"/>
                <w:sz w:val="24"/>
              </w:rPr>
              <w:t>□</w:t>
            </w:r>
            <w:r>
              <w:rPr>
                <w:rFonts w:hint="eastAsia" w:ascii="宋体" w:hAnsi="宋体"/>
                <w:sz w:val="24"/>
              </w:rPr>
              <w:t>分析师会议</w:t>
            </w:r>
          </w:p>
          <w:p w14:paraId="4B52A228">
            <w:pPr>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 xml:space="preserve">媒体采访            </w:t>
            </w:r>
            <w:r>
              <w:rPr>
                <w:rFonts w:hint="eastAsia" w:ascii="宋体" w:hAnsi="宋体"/>
                <w:bCs/>
                <w:iCs/>
                <w:color w:val="000000"/>
                <w:sz w:val="24"/>
                <w:lang w:val="en-US" w:eastAsia="zh-CN"/>
              </w:rPr>
              <w:t>√</w:t>
            </w:r>
            <w:r>
              <w:rPr>
                <w:rFonts w:hint="eastAsia" w:ascii="宋体" w:hAnsi="宋体"/>
                <w:sz w:val="24"/>
              </w:rPr>
              <w:t>业绩说明会</w:t>
            </w:r>
          </w:p>
          <w:p w14:paraId="3C23AC74">
            <w:pPr>
              <w:spacing w:line="360" w:lineRule="auto"/>
              <w:rPr>
                <w:rFonts w:hint="eastAsia" w:ascii="宋体" w:hAnsi="宋体"/>
                <w:sz w:val="24"/>
              </w:rPr>
            </w:pPr>
            <w:r>
              <w:rPr>
                <w:rFonts w:hint="eastAsia" w:ascii="宋体" w:hAnsi="宋体"/>
                <w:bCs/>
                <w:iCs/>
                <w:color w:val="000000"/>
                <w:sz w:val="24"/>
              </w:rPr>
              <w:t>□</w:t>
            </w:r>
            <w:r>
              <w:rPr>
                <w:rFonts w:hint="eastAsia" w:ascii="宋体" w:hAnsi="宋体"/>
                <w:sz w:val="24"/>
              </w:rPr>
              <w:t xml:space="preserve">新闻发布会          </w:t>
            </w:r>
            <w:r>
              <w:rPr>
                <w:rFonts w:hint="eastAsia" w:ascii="宋体" w:hAnsi="宋体"/>
                <w:bCs/>
                <w:iCs/>
                <w:color w:val="000000"/>
                <w:sz w:val="24"/>
              </w:rPr>
              <w:t>□</w:t>
            </w:r>
            <w:r>
              <w:rPr>
                <w:rFonts w:hint="eastAsia" w:ascii="宋体" w:hAnsi="宋体"/>
                <w:sz w:val="24"/>
              </w:rPr>
              <w:t>路演活动</w:t>
            </w:r>
          </w:p>
          <w:p w14:paraId="3F9BA267">
            <w:pPr>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 xml:space="preserve">现场参观          </w:t>
            </w:r>
            <w:r>
              <w:rPr>
                <w:rFonts w:ascii="宋体" w:hAnsi="宋体"/>
                <w:sz w:val="24"/>
              </w:rPr>
              <w:t xml:space="preserve">  </w:t>
            </w:r>
            <w:r>
              <w:rPr>
                <w:rFonts w:hint="eastAsia" w:ascii="宋体" w:hAnsi="宋体"/>
                <w:bCs/>
                <w:iCs/>
                <w:color w:val="000000"/>
                <w:sz w:val="24"/>
              </w:rPr>
              <w:t>□</w:t>
            </w:r>
            <w:r>
              <w:rPr>
                <w:rFonts w:hint="eastAsia" w:ascii="宋体" w:hAnsi="宋体"/>
                <w:sz w:val="24"/>
              </w:rPr>
              <w:t>电话会议</w:t>
            </w:r>
          </w:p>
          <w:p w14:paraId="50B20F1A">
            <w:pPr>
              <w:tabs>
                <w:tab w:val="center" w:pos="3199"/>
              </w:tabs>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其他 （</w:t>
            </w:r>
            <w:r>
              <w:rPr>
                <w:rFonts w:hint="eastAsia" w:ascii="宋体" w:hAnsi="宋体"/>
                <w:sz w:val="24"/>
                <w:u w:val="single"/>
              </w:rPr>
              <w:t>请文字说明其他活动内容）</w:t>
            </w:r>
          </w:p>
        </w:tc>
      </w:tr>
      <w:tr w14:paraId="0995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6DFAB11A">
            <w:pPr>
              <w:spacing w:line="360" w:lineRule="auto"/>
              <w:rPr>
                <w:rFonts w:hint="eastAsia" w:ascii="宋体" w:hAnsi="宋体"/>
                <w:bCs/>
                <w:iCs/>
                <w:color w:val="000000"/>
                <w:sz w:val="24"/>
              </w:rPr>
            </w:pPr>
            <w:r>
              <w:rPr>
                <w:rFonts w:hint="eastAsia" w:ascii="宋体" w:hAnsi="宋体"/>
                <w:bCs/>
                <w:iCs/>
                <w:color w:val="000000"/>
                <w:sz w:val="24"/>
              </w:rPr>
              <w:t>参与单位名称</w:t>
            </w:r>
          </w:p>
          <w:p w14:paraId="45693558">
            <w:pPr>
              <w:spacing w:line="360" w:lineRule="auto"/>
              <w:rPr>
                <w:rFonts w:hint="eastAsia" w:ascii="宋体" w:hAnsi="宋体"/>
                <w:bCs/>
                <w:iCs/>
                <w:color w:val="000000"/>
                <w:sz w:val="24"/>
              </w:rPr>
            </w:pPr>
            <w:r>
              <w:rPr>
                <w:rFonts w:hint="eastAsia" w:ascii="宋体" w:hAnsi="宋体"/>
                <w:bCs/>
                <w:iCs/>
                <w:color w:val="000000"/>
                <w:sz w:val="24"/>
              </w:rPr>
              <w:t>（排名不分先后）</w:t>
            </w:r>
          </w:p>
        </w:tc>
        <w:tc>
          <w:tcPr>
            <w:tcW w:w="6631" w:type="dxa"/>
            <w:tcBorders>
              <w:top w:val="single" w:color="auto" w:sz="4" w:space="0"/>
              <w:left w:val="single" w:color="auto" w:sz="4" w:space="0"/>
              <w:bottom w:val="single" w:color="auto" w:sz="4" w:space="0"/>
              <w:right w:val="single" w:color="auto" w:sz="4" w:space="0"/>
            </w:tcBorders>
            <w:vAlign w:val="center"/>
          </w:tcPr>
          <w:p w14:paraId="70305765">
            <w:pPr>
              <w:spacing w:line="360" w:lineRule="auto"/>
              <w:jc w:val="both"/>
              <w:rPr>
                <w:rFonts w:hint="eastAsia" w:ascii="宋体" w:hAnsi="宋体"/>
                <w:bCs/>
                <w:iCs/>
                <w:color w:val="000000"/>
                <w:sz w:val="24"/>
              </w:rPr>
            </w:pPr>
            <w:r>
              <w:rPr>
                <w:rFonts w:ascii="宋体" w:hAnsi="宋体"/>
                <w:bCs/>
                <w:iCs/>
                <w:color w:val="000000"/>
                <w:sz w:val="24"/>
              </w:rPr>
              <w:t>通过</w:t>
            </w:r>
            <w:r>
              <w:rPr>
                <w:rFonts w:hint="eastAsia" w:ascii="宋体" w:hAnsi="宋体"/>
                <w:bCs/>
                <w:iCs/>
                <w:color w:val="000000"/>
                <w:sz w:val="24"/>
              </w:rPr>
              <w:t>“全景路演”网络文字互动</w:t>
            </w:r>
            <w:r>
              <w:rPr>
                <w:rFonts w:ascii="宋体" w:hAnsi="宋体"/>
                <w:bCs/>
                <w:iCs/>
                <w:color w:val="000000"/>
                <w:sz w:val="24"/>
              </w:rPr>
              <w:t>参与</w:t>
            </w:r>
            <w:r>
              <w:rPr>
                <w:rFonts w:hint="eastAsia" w:ascii="宋体" w:hAnsi="宋体"/>
                <w:bCs/>
                <w:iCs/>
                <w:color w:val="000000"/>
                <w:sz w:val="24"/>
                <w:lang w:eastAsia="zh-CN"/>
              </w:rPr>
              <w:t>“2026年广东上市公司投资者集体接待日暨半年报业绩说明会”</w:t>
            </w:r>
            <w:r>
              <w:rPr>
                <w:rFonts w:ascii="宋体" w:hAnsi="宋体"/>
                <w:bCs/>
                <w:iCs/>
                <w:color w:val="000000"/>
                <w:sz w:val="24"/>
              </w:rPr>
              <w:t>的投资者</w:t>
            </w:r>
          </w:p>
        </w:tc>
      </w:tr>
      <w:tr w14:paraId="0554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4CA09A2F">
            <w:pPr>
              <w:spacing w:line="360" w:lineRule="auto"/>
              <w:rPr>
                <w:rFonts w:hint="eastAsia" w:ascii="宋体" w:hAnsi="宋体"/>
                <w:bCs/>
                <w:iCs/>
                <w:color w:val="000000"/>
                <w:sz w:val="24"/>
              </w:rPr>
            </w:pPr>
            <w:r>
              <w:rPr>
                <w:rFonts w:hint="eastAsia" w:ascii="宋体" w:hAnsi="宋体"/>
                <w:bCs/>
                <w:iCs/>
                <w:color w:val="000000"/>
                <w:sz w:val="24"/>
              </w:rPr>
              <w:t>时间</w:t>
            </w:r>
          </w:p>
        </w:tc>
        <w:tc>
          <w:tcPr>
            <w:tcW w:w="6631" w:type="dxa"/>
            <w:tcBorders>
              <w:top w:val="single" w:color="auto" w:sz="4" w:space="0"/>
              <w:left w:val="single" w:color="auto" w:sz="4" w:space="0"/>
              <w:bottom w:val="single" w:color="auto" w:sz="4" w:space="0"/>
              <w:right w:val="single" w:color="auto" w:sz="4" w:space="0"/>
            </w:tcBorders>
          </w:tcPr>
          <w:p w14:paraId="4847CB73">
            <w:pPr>
              <w:spacing w:line="360" w:lineRule="auto"/>
              <w:rPr>
                <w:rFonts w:hint="default" w:ascii="宋体" w:hAnsi="宋体"/>
                <w:bCs/>
                <w:iCs/>
                <w:color w:val="000000"/>
                <w:sz w:val="24"/>
                <w:lang w:val="en-US"/>
              </w:rPr>
            </w:pPr>
            <w:r>
              <w:rPr>
                <w:rFonts w:hint="eastAsia" w:ascii="宋体" w:hAnsi="宋体"/>
                <w:bCs/>
                <w:iCs/>
                <w:color w:val="000000"/>
                <w:sz w:val="24"/>
              </w:rPr>
              <w:t>2</w:t>
            </w:r>
            <w:r>
              <w:rPr>
                <w:rFonts w:ascii="宋体" w:hAnsi="宋体"/>
                <w:bCs/>
                <w:iCs/>
                <w:color w:val="000000"/>
                <w:sz w:val="24"/>
              </w:rPr>
              <w:t>02</w:t>
            </w:r>
            <w:r>
              <w:rPr>
                <w:rFonts w:hint="eastAsia" w:ascii="宋体" w:hAnsi="宋体"/>
                <w:bCs/>
                <w:iCs/>
                <w:color w:val="000000"/>
                <w:sz w:val="24"/>
              </w:rPr>
              <w:t>6年</w:t>
            </w:r>
            <w:r>
              <w:rPr>
                <w:rFonts w:hint="eastAsia" w:ascii="宋体" w:hAnsi="宋体"/>
                <w:bCs/>
                <w:iCs/>
                <w:color w:val="000000"/>
                <w:sz w:val="24"/>
                <w:lang w:val="en-US" w:eastAsia="zh-CN"/>
              </w:rPr>
              <w:t>9</w:t>
            </w:r>
            <w:r>
              <w:rPr>
                <w:rFonts w:hint="eastAsia" w:ascii="宋体" w:hAnsi="宋体"/>
                <w:bCs/>
                <w:iCs/>
                <w:color w:val="000000"/>
                <w:sz w:val="24"/>
              </w:rPr>
              <w:t>月</w:t>
            </w:r>
            <w:r>
              <w:rPr>
                <w:rFonts w:hint="eastAsia" w:ascii="宋体" w:hAnsi="宋体"/>
                <w:bCs/>
                <w:iCs/>
                <w:color w:val="000000"/>
                <w:sz w:val="24"/>
                <w:lang w:val="en-US" w:eastAsia="zh-CN"/>
              </w:rPr>
              <w:t>15</w:t>
            </w:r>
            <w:r>
              <w:rPr>
                <w:rFonts w:hint="eastAsia" w:ascii="宋体" w:hAnsi="宋体"/>
                <w:bCs/>
                <w:iCs/>
                <w:color w:val="000000"/>
                <w:sz w:val="24"/>
              </w:rPr>
              <w:t>日</w:t>
            </w:r>
            <w:r>
              <w:rPr>
                <w:rFonts w:hint="default" w:ascii="宋体" w:hAnsi="宋体"/>
                <w:bCs/>
                <w:iCs/>
                <w:color w:val="000000"/>
                <w:sz w:val="24"/>
                <w:lang w:val="en-US"/>
              </w:rPr>
              <w:t>15:</w:t>
            </w:r>
            <w:r>
              <w:rPr>
                <w:rFonts w:hint="eastAsia" w:ascii="宋体" w:hAnsi="宋体"/>
                <w:bCs/>
                <w:iCs/>
                <w:color w:val="000000"/>
                <w:sz w:val="24"/>
                <w:lang w:val="en-US" w:eastAsia="zh-CN"/>
              </w:rPr>
              <w:t>3</w:t>
            </w:r>
            <w:r>
              <w:rPr>
                <w:rFonts w:hint="default" w:ascii="宋体" w:hAnsi="宋体"/>
                <w:bCs/>
                <w:iCs/>
                <w:color w:val="000000"/>
                <w:sz w:val="24"/>
                <w:lang w:val="en-US"/>
              </w:rPr>
              <w:t>0-17:00</w:t>
            </w:r>
          </w:p>
        </w:tc>
      </w:tr>
      <w:tr w14:paraId="5692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2267C355">
            <w:pPr>
              <w:spacing w:line="360" w:lineRule="auto"/>
              <w:rPr>
                <w:rFonts w:hint="eastAsia" w:ascii="宋体" w:hAnsi="宋体"/>
                <w:bCs/>
                <w:iCs/>
                <w:color w:val="000000"/>
                <w:sz w:val="24"/>
              </w:rPr>
            </w:pPr>
            <w:r>
              <w:rPr>
                <w:rFonts w:hint="eastAsia" w:ascii="宋体" w:hAnsi="宋体"/>
                <w:bCs/>
                <w:iCs/>
                <w:color w:val="000000"/>
                <w:sz w:val="24"/>
              </w:rPr>
              <w:t>地点</w:t>
            </w:r>
          </w:p>
        </w:tc>
        <w:tc>
          <w:tcPr>
            <w:tcW w:w="6631" w:type="dxa"/>
            <w:tcBorders>
              <w:top w:val="single" w:color="auto" w:sz="4" w:space="0"/>
              <w:left w:val="single" w:color="auto" w:sz="4" w:space="0"/>
              <w:bottom w:val="single" w:color="auto" w:sz="4" w:space="0"/>
              <w:right w:val="single" w:color="auto" w:sz="4" w:space="0"/>
            </w:tcBorders>
          </w:tcPr>
          <w:p w14:paraId="01BD4F27">
            <w:pPr>
              <w:spacing w:line="360" w:lineRule="auto"/>
              <w:rPr>
                <w:rFonts w:hint="eastAsia" w:ascii="宋体" w:hAnsi="宋体" w:eastAsia="宋体"/>
                <w:bCs/>
                <w:iCs/>
                <w:color w:val="000000"/>
                <w:sz w:val="24"/>
                <w:lang w:eastAsia="zh-CN"/>
              </w:rPr>
            </w:pPr>
            <w:r>
              <w:rPr>
                <w:rFonts w:hint="eastAsia" w:ascii="宋体" w:hAnsi="宋体"/>
                <w:bCs/>
                <w:iCs/>
                <w:color w:val="000000"/>
                <w:sz w:val="24"/>
              </w:rPr>
              <w:t>“全景路演”网站(http://rs.p5w.net</w:t>
            </w:r>
            <w:r>
              <w:rPr>
                <w:rFonts w:hint="eastAsia" w:ascii="宋体" w:hAnsi="宋体"/>
                <w:bCs/>
                <w:iCs/>
                <w:color w:val="000000"/>
                <w:sz w:val="24"/>
                <w:lang w:eastAsia="zh-CN"/>
              </w:rPr>
              <w:t>）</w:t>
            </w:r>
          </w:p>
        </w:tc>
      </w:tr>
      <w:tr w14:paraId="2C82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419FC6F4">
            <w:pPr>
              <w:spacing w:line="360" w:lineRule="auto"/>
              <w:rPr>
                <w:rFonts w:hint="eastAsia" w:ascii="宋体" w:hAnsi="宋体"/>
                <w:bCs/>
                <w:iCs/>
                <w:color w:val="000000"/>
                <w:sz w:val="24"/>
              </w:rPr>
            </w:pPr>
            <w:r>
              <w:rPr>
                <w:rFonts w:hint="eastAsia" w:ascii="宋体" w:hAnsi="宋体"/>
                <w:bCs/>
                <w:iCs/>
                <w:color w:val="000000"/>
                <w:sz w:val="24"/>
              </w:rPr>
              <w:t>上市公司接待人员</w:t>
            </w:r>
          </w:p>
        </w:tc>
        <w:tc>
          <w:tcPr>
            <w:tcW w:w="6631" w:type="dxa"/>
            <w:tcBorders>
              <w:top w:val="single" w:color="auto" w:sz="4" w:space="0"/>
              <w:left w:val="single" w:color="auto" w:sz="4" w:space="0"/>
              <w:bottom w:val="single" w:color="auto" w:sz="4" w:space="0"/>
              <w:right w:val="single" w:color="auto" w:sz="4" w:space="0"/>
            </w:tcBorders>
          </w:tcPr>
          <w:p w14:paraId="29A06478">
            <w:pPr>
              <w:spacing w:line="360" w:lineRule="auto"/>
              <w:rPr>
                <w:rFonts w:hint="eastAsia" w:ascii="宋体" w:hAnsi="宋体"/>
                <w:bCs/>
                <w:iCs/>
                <w:color w:val="000000"/>
                <w:sz w:val="24"/>
              </w:rPr>
            </w:pPr>
            <w:r>
              <w:rPr>
                <w:rFonts w:ascii="宋体" w:hAnsi="宋体"/>
                <w:bCs/>
                <w:iCs/>
                <w:color w:val="000000"/>
                <w:sz w:val="24"/>
              </w:rPr>
              <w:t>党委书记</w:t>
            </w:r>
            <w:r>
              <w:rPr>
                <w:rFonts w:hint="eastAsia" w:ascii="宋体" w:hAnsi="宋体"/>
                <w:bCs/>
                <w:iCs/>
                <w:color w:val="000000"/>
                <w:sz w:val="24"/>
              </w:rPr>
              <w:t>、董事长、首席科学家：邓韬先生</w:t>
            </w:r>
          </w:p>
          <w:p w14:paraId="093B23AB">
            <w:pPr>
              <w:spacing w:line="360" w:lineRule="auto"/>
              <w:rPr>
                <w:rFonts w:hint="eastAsia" w:ascii="宋体" w:hAnsi="宋体"/>
                <w:bCs/>
                <w:iCs/>
                <w:color w:val="000000"/>
                <w:sz w:val="24"/>
              </w:rPr>
            </w:pPr>
            <w:r>
              <w:rPr>
                <w:rFonts w:hint="eastAsia" w:ascii="宋体" w:hAnsi="宋体"/>
                <w:bCs/>
                <w:iCs/>
                <w:color w:val="000000"/>
                <w:sz w:val="24"/>
              </w:rPr>
              <w:t>总会计师（财务负责人）：施海光先生</w:t>
            </w:r>
          </w:p>
          <w:p w14:paraId="3CD402F4">
            <w:pPr>
              <w:spacing w:line="360" w:lineRule="auto"/>
              <w:rPr>
                <w:rFonts w:hint="eastAsia" w:ascii="宋体" w:hAnsi="宋体"/>
                <w:bCs/>
                <w:iCs/>
                <w:color w:val="000000"/>
                <w:sz w:val="24"/>
              </w:rPr>
            </w:pPr>
            <w:r>
              <w:rPr>
                <w:rFonts w:hint="eastAsia" w:ascii="宋体" w:hAnsi="宋体"/>
                <w:bCs/>
                <w:iCs/>
                <w:color w:val="000000"/>
                <w:sz w:val="24"/>
              </w:rPr>
              <w:t>董事会秘书、</w:t>
            </w:r>
            <w:r>
              <w:rPr>
                <w:rFonts w:ascii="宋体" w:hAnsi="宋体"/>
                <w:bCs/>
                <w:iCs/>
                <w:color w:val="000000"/>
                <w:sz w:val="24"/>
              </w:rPr>
              <w:t>总法律顾问</w:t>
            </w:r>
            <w:r>
              <w:rPr>
                <w:rFonts w:hint="eastAsia" w:ascii="宋体" w:hAnsi="宋体"/>
                <w:bCs/>
                <w:iCs/>
                <w:color w:val="000000"/>
                <w:sz w:val="24"/>
              </w:rPr>
              <w:t>：贺新先生</w:t>
            </w:r>
          </w:p>
        </w:tc>
      </w:tr>
      <w:tr w14:paraId="67A9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193CA328">
            <w:pPr>
              <w:spacing w:line="360" w:lineRule="auto"/>
              <w:rPr>
                <w:rFonts w:hint="eastAsia" w:ascii="宋体" w:hAnsi="宋体"/>
                <w:bCs/>
                <w:iCs/>
                <w:color w:val="000000"/>
                <w:sz w:val="24"/>
              </w:rPr>
            </w:pPr>
            <w:r>
              <w:rPr>
                <w:rFonts w:hint="eastAsia" w:ascii="宋体" w:hAnsi="宋体"/>
                <w:bCs/>
                <w:iCs/>
                <w:color w:val="000000"/>
                <w:sz w:val="24"/>
              </w:rPr>
              <w:t>投资者关系活动主要内容介绍</w:t>
            </w:r>
          </w:p>
        </w:tc>
        <w:tc>
          <w:tcPr>
            <w:tcW w:w="6631" w:type="dxa"/>
            <w:tcBorders>
              <w:top w:val="single" w:color="auto" w:sz="4" w:space="0"/>
              <w:left w:val="single" w:color="auto" w:sz="4" w:space="0"/>
              <w:bottom w:val="single" w:color="auto" w:sz="4" w:space="0"/>
              <w:right w:val="single" w:color="auto" w:sz="4" w:space="0"/>
            </w:tcBorders>
          </w:tcPr>
          <w:p w14:paraId="464C03E8">
            <w:pPr>
              <w:spacing w:line="360" w:lineRule="auto"/>
              <w:rPr>
                <w:rFonts w:hint="eastAsia" w:ascii="宋体" w:hAnsi="宋体"/>
                <w:b/>
                <w:iCs/>
                <w:color w:val="000000"/>
                <w:sz w:val="24"/>
              </w:rPr>
            </w:pPr>
            <w:r>
              <w:rPr>
                <w:rFonts w:hint="eastAsia" w:ascii="宋体" w:hAnsi="宋体"/>
                <w:b/>
                <w:iCs/>
                <w:color w:val="000000"/>
                <w:sz w:val="24"/>
              </w:rPr>
              <w:t>一、经营情况简介：</w:t>
            </w:r>
          </w:p>
          <w:p w14:paraId="5160B013">
            <w:pPr>
              <w:spacing w:line="360" w:lineRule="auto"/>
              <w:ind w:firstLine="480" w:firstLineChars="200"/>
              <w:rPr>
                <w:rFonts w:hint="eastAsia" w:ascii="宋体" w:hAnsi="宋体"/>
                <w:bCs/>
                <w:iCs/>
                <w:color w:val="000000"/>
                <w:sz w:val="24"/>
              </w:rPr>
            </w:pPr>
            <w:r>
              <w:rPr>
                <w:rFonts w:hint="eastAsia" w:ascii="宋体" w:hAnsi="宋体"/>
                <w:bCs/>
                <w:iCs/>
                <w:color w:val="000000"/>
                <w:sz w:val="24"/>
              </w:rPr>
              <w:t>2026年上半年公司实现营业收入13.33亿元，同比增长19.62%；归母净利润2.56亿元，同比增长117.73%；扣非归母净利润2.29亿元，同比增长121.63%；基本每股收益0.19元，同比增长111.11%；加权平均净资产收益率4.17%，较上年同期提升2.17个百分点，利润增速远超收入增速，盈利弹性充分释放。经营活动现金流净额3.61亿元，持续保持强劲水平；资产负债率33.61%，财务杠杆稳健。</w:t>
            </w:r>
          </w:p>
          <w:p w14:paraId="318BB69C">
            <w:pPr>
              <w:spacing w:line="360" w:lineRule="auto"/>
              <w:ind w:firstLine="480" w:firstLineChars="200"/>
              <w:rPr>
                <w:rFonts w:hint="eastAsia" w:ascii="宋体" w:hAnsi="宋体"/>
                <w:bCs/>
                <w:iCs/>
                <w:color w:val="000000"/>
                <w:sz w:val="24"/>
              </w:rPr>
            </w:pPr>
            <w:r>
              <w:rPr>
                <w:rFonts w:hint="eastAsia" w:ascii="宋体" w:hAnsi="宋体"/>
                <w:bCs/>
                <w:iCs/>
                <w:color w:val="000000"/>
                <w:sz w:val="24"/>
                <w:lang w:val="en-US" w:eastAsia="zh-CN"/>
              </w:rPr>
              <w:t>2026年</w:t>
            </w:r>
            <w:r>
              <w:rPr>
                <w:rFonts w:hint="eastAsia" w:ascii="宋体" w:hAnsi="宋体"/>
                <w:bCs/>
                <w:iCs/>
                <w:color w:val="000000"/>
                <w:sz w:val="24"/>
              </w:rPr>
              <w:t>上半年电子大宗气体业务实现收入10.56亿元，同比增长30.18%。通用工业气体业务作为重要补充，上半年实现收入2.17亿元。</w:t>
            </w:r>
          </w:p>
          <w:p w14:paraId="4E13334E">
            <w:pPr>
              <w:spacing w:line="360" w:lineRule="auto"/>
              <w:ind w:firstLine="482" w:firstLineChars="200"/>
              <w:rPr>
                <w:rFonts w:hint="eastAsia" w:ascii="宋体" w:hAnsi="宋体"/>
                <w:bCs/>
                <w:iCs/>
                <w:color w:val="000000"/>
                <w:sz w:val="24"/>
              </w:rPr>
            </w:pPr>
            <w:r>
              <w:rPr>
                <w:rFonts w:hint="eastAsia" w:ascii="宋体" w:hAnsi="宋体"/>
                <w:b/>
                <w:iCs/>
                <w:color w:val="000000"/>
                <w:sz w:val="24"/>
              </w:rPr>
              <w:t>持续股东回报，创造长期价值。</w:t>
            </w:r>
            <w:r>
              <w:rPr>
                <w:rFonts w:hint="eastAsia" w:ascii="宋体" w:hAnsi="宋体"/>
                <w:bCs/>
                <w:iCs/>
                <w:color w:val="000000"/>
                <w:sz w:val="24"/>
              </w:rPr>
              <w:t>2026年半年度，公司拟向全体股东每10股派发现金红利0.78元（含税），占2026年半年度合并报表归母净利润的40.21%。</w:t>
            </w:r>
          </w:p>
          <w:p w14:paraId="0FD96F6E">
            <w:pPr>
              <w:spacing w:line="360" w:lineRule="auto"/>
              <w:ind w:firstLine="480" w:firstLineChars="200"/>
              <w:rPr>
                <w:rFonts w:hint="eastAsia" w:ascii="宋体" w:hAnsi="宋体"/>
                <w:bCs/>
                <w:iCs/>
                <w:color w:val="000000"/>
                <w:sz w:val="24"/>
              </w:rPr>
            </w:pPr>
          </w:p>
          <w:p w14:paraId="76B1E0E3">
            <w:pPr>
              <w:spacing w:line="360" w:lineRule="auto"/>
              <w:rPr>
                <w:rFonts w:hint="eastAsia" w:ascii="宋体" w:hAnsi="宋体"/>
                <w:b/>
                <w:iCs/>
                <w:color w:val="000000"/>
                <w:sz w:val="24"/>
              </w:rPr>
            </w:pPr>
            <w:r>
              <w:rPr>
                <w:rFonts w:hint="eastAsia" w:ascii="宋体" w:hAnsi="宋体"/>
                <w:b/>
                <w:iCs/>
                <w:color w:val="000000"/>
                <w:sz w:val="24"/>
              </w:rPr>
              <w:t>二、问答环节主要内容：</w:t>
            </w:r>
          </w:p>
          <w:p w14:paraId="741C8ACD">
            <w:pPr>
              <w:widowControl/>
              <w:spacing w:line="360" w:lineRule="auto"/>
              <w:rPr>
                <w:rFonts w:hint="eastAsia" w:ascii="宋体" w:hAnsi="宋体" w:eastAsia="宋体" w:cs="宋体"/>
                <w:b/>
                <w:bCs w:val="0"/>
                <w:iCs/>
                <w:color w:val="000000"/>
                <w:sz w:val="24"/>
                <w:lang w:eastAsia="zh-CN"/>
              </w:rPr>
            </w:pPr>
            <w:r>
              <w:rPr>
                <w:rFonts w:hint="eastAsia" w:ascii="宋体" w:hAnsi="宋体" w:cs="宋体"/>
                <w:b/>
                <w:bCs w:val="0"/>
                <w:iCs/>
                <w:color w:val="000000"/>
                <w:sz w:val="24"/>
                <w:lang w:val="en-US" w:eastAsia="zh-CN"/>
              </w:rPr>
              <w:t>Q</w:t>
            </w:r>
            <w:r>
              <w:rPr>
                <w:rFonts w:hint="eastAsia" w:ascii="宋体" w:hAnsi="宋体" w:eastAsia="宋体" w:cs="宋体"/>
                <w:b/>
                <w:bCs w:val="0"/>
                <w:iCs/>
                <w:color w:val="000000"/>
                <w:sz w:val="24"/>
              </w:rPr>
              <w:t>1、上半年公司电子大宗气体业务在收入和利润中的占比是多少？</w:t>
            </w:r>
          </w:p>
          <w:p w14:paraId="144F9C9E">
            <w:pPr>
              <w:widowControl/>
              <w:spacing w:line="360" w:lineRule="auto"/>
              <w:rPr>
                <w:rFonts w:hint="eastAsia" w:ascii="宋体" w:hAnsi="宋体"/>
                <w:bCs/>
                <w:iCs/>
                <w:color w:val="000000"/>
                <w:sz w:val="24"/>
              </w:rPr>
            </w:pPr>
            <w:r>
              <w:rPr>
                <w:rFonts w:hint="eastAsia" w:ascii="宋体" w:hAnsi="宋体"/>
                <w:bCs/>
                <w:iCs/>
                <w:color w:val="000000"/>
                <w:sz w:val="24"/>
              </w:rPr>
              <w:t>答：2026年上半年，公司电子大宗气体业务实现营业收入10.56亿元，占营业收入的比例为79.20%。相关财务数据请查阅公司定期报告。</w:t>
            </w:r>
          </w:p>
          <w:p w14:paraId="34452242">
            <w:pPr>
              <w:widowControl/>
              <w:spacing w:line="360" w:lineRule="auto"/>
              <w:rPr>
                <w:rFonts w:hint="eastAsia" w:ascii="宋体" w:hAnsi="宋体"/>
                <w:bCs/>
                <w:iCs/>
                <w:color w:val="000000"/>
                <w:sz w:val="24"/>
              </w:rPr>
            </w:pPr>
          </w:p>
          <w:p w14:paraId="61E57752">
            <w:pPr>
              <w:widowControl/>
              <w:spacing w:line="360" w:lineRule="auto"/>
              <w:rPr>
                <w:rFonts w:hint="eastAsia" w:ascii="宋体" w:hAnsi="宋体" w:cs="宋体"/>
                <w:b/>
                <w:bCs w:val="0"/>
                <w:iCs/>
                <w:color w:val="000000"/>
                <w:sz w:val="24"/>
                <w:lang w:val="en-US" w:eastAsia="zh-CN"/>
              </w:rPr>
            </w:pPr>
            <w:r>
              <w:rPr>
                <w:rFonts w:hint="eastAsia" w:ascii="宋体" w:hAnsi="宋体" w:cs="宋体"/>
                <w:b/>
                <w:bCs w:val="0"/>
                <w:iCs/>
                <w:color w:val="000000"/>
                <w:sz w:val="24"/>
                <w:lang w:val="en-US" w:eastAsia="zh-CN"/>
              </w:rPr>
              <w:t>Q2、上半年公司净利润同比大增117.73%，前期投建的电子大宗气体项目陆续投产供气是核心驱动力。公司在电子大宗气体领域已服务哪些半导体、面板客户？</w:t>
            </w:r>
          </w:p>
          <w:p w14:paraId="78360508">
            <w:pPr>
              <w:widowControl/>
              <w:spacing w:line="360" w:lineRule="auto"/>
              <w:rPr>
                <w:rFonts w:hint="eastAsia" w:ascii="宋体" w:hAnsi="宋体"/>
                <w:bCs/>
                <w:iCs/>
                <w:color w:val="000000"/>
                <w:sz w:val="24"/>
              </w:rPr>
            </w:pPr>
            <w:r>
              <w:rPr>
                <w:rFonts w:hint="eastAsia" w:ascii="宋体" w:hAnsi="宋体"/>
                <w:bCs/>
                <w:iCs/>
                <w:color w:val="000000"/>
                <w:sz w:val="24"/>
              </w:rPr>
              <w:t>答：公司聚焦电子大宗气体业务，截至2026年6月30日，公司成功落地11个12英寸晶圆厂现场供气项目，深度布局国内半导体产业，与头部晶圆企业建立长期稳定合作。公司服务华星光电、惠科等头部面板客户，并为华星光电首条规模化8.6代印刷OLED半导体显示产线提供电子大宗气体服务，截至目前，公司已为8条高世代显示产线供应电子大宗气体。</w:t>
            </w:r>
          </w:p>
          <w:p w14:paraId="1542F262">
            <w:pPr>
              <w:widowControl/>
              <w:spacing w:line="360" w:lineRule="auto"/>
              <w:rPr>
                <w:rFonts w:hint="eastAsia" w:ascii="宋体" w:hAnsi="宋体"/>
                <w:bCs/>
                <w:iCs/>
                <w:color w:val="000000"/>
                <w:sz w:val="24"/>
              </w:rPr>
            </w:pPr>
          </w:p>
          <w:p w14:paraId="53965A00">
            <w:pPr>
              <w:widowControl/>
              <w:spacing w:line="360" w:lineRule="auto"/>
              <w:rPr>
                <w:rFonts w:hint="eastAsia" w:ascii="宋体" w:hAnsi="宋体" w:cs="宋体"/>
                <w:b/>
                <w:bCs w:val="0"/>
                <w:iCs/>
                <w:color w:val="000000"/>
                <w:sz w:val="24"/>
                <w:lang w:val="en-US" w:eastAsia="zh-CN"/>
              </w:rPr>
            </w:pPr>
            <w:r>
              <w:rPr>
                <w:rFonts w:hint="eastAsia" w:ascii="宋体" w:hAnsi="宋体" w:cs="宋体"/>
                <w:b/>
                <w:bCs w:val="0"/>
                <w:iCs/>
                <w:color w:val="000000"/>
                <w:sz w:val="24"/>
                <w:lang w:val="en-US" w:eastAsia="zh-CN"/>
              </w:rPr>
              <w:t>Q3、（1）目前已投产的12寸芯片配套供气项目有几个?下半年有投产的吗？（2）目前公司氦气的资源采购和生产销售情况如何？和上半年相比，采购成本和销售价格有何变化？（3）赤峰高新区的两个项目何时投产？</w:t>
            </w:r>
          </w:p>
          <w:p w14:paraId="4224A64B">
            <w:pPr>
              <w:widowControl/>
              <w:spacing w:line="360" w:lineRule="auto"/>
              <w:rPr>
                <w:rFonts w:hint="eastAsia" w:ascii="宋体" w:hAnsi="宋体"/>
                <w:bCs/>
                <w:iCs/>
                <w:color w:val="000000"/>
                <w:sz w:val="24"/>
              </w:rPr>
            </w:pPr>
            <w:r>
              <w:rPr>
                <w:rFonts w:hint="eastAsia" w:ascii="宋体" w:hAnsi="宋体"/>
                <w:bCs/>
                <w:iCs/>
                <w:color w:val="000000"/>
                <w:sz w:val="24"/>
              </w:rPr>
              <w:t>答：截至上半年，公司已落地11个12寸芯片项目，目前，公司在合肥、武汉、成都等半导体重点区域项目仍在投入建设，有望在下半年陆续建成投入运营。氦气行业受多重国际事件影响，因中东地缘冲突加剧及海外出口管制，全球氦气供应出现明显波动。公司及时调用全球氦气供应链系统，依托多元化一手气源布局，加大北美、欧洲气源的采购力度，同时释放液氦战略储备，优先保障国内集成电路、新型显示面板等关键行业的氦气需求。目前全球氦气供应仍未恢复正常水平，公司将提前做好各项安排，保障重点客户的供应服务。赤峰空分项目建设正常推进。</w:t>
            </w:r>
          </w:p>
          <w:p w14:paraId="178EA45D">
            <w:pPr>
              <w:widowControl/>
              <w:spacing w:line="360" w:lineRule="auto"/>
              <w:rPr>
                <w:rFonts w:hint="eastAsia" w:ascii="宋体" w:hAnsi="宋体"/>
                <w:bCs/>
                <w:iCs/>
                <w:color w:val="000000"/>
                <w:sz w:val="24"/>
              </w:rPr>
            </w:pPr>
          </w:p>
          <w:p w14:paraId="6D9B3F8F">
            <w:pPr>
              <w:widowControl/>
              <w:spacing w:line="360" w:lineRule="auto"/>
              <w:rPr>
                <w:rFonts w:hint="eastAsia" w:ascii="宋体" w:hAnsi="宋体" w:cs="宋体"/>
                <w:b/>
                <w:bCs w:val="0"/>
                <w:iCs/>
                <w:color w:val="000000"/>
                <w:sz w:val="24"/>
                <w:lang w:val="en-US" w:eastAsia="zh-CN"/>
              </w:rPr>
            </w:pPr>
            <w:r>
              <w:rPr>
                <w:rFonts w:hint="eastAsia" w:ascii="宋体" w:hAnsi="宋体" w:cs="宋体"/>
                <w:b/>
                <w:bCs w:val="0"/>
                <w:iCs/>
                <w:color w:val="000000"/>
                <w:sz w:val="24"/>
                <w:lang w:val="en-US" w:eastAsia="zh-CN"/>
              </w:rPr>
              <w:t>Q4、上半年拟10派0.78元。想了解公司未来的分红政策和股东回报规划？</w:t>
            </w:r>
          </w:p>
          <w:p w14:paraId="26A9A2FD">
            <w:pPr>
              <w:widowControl/>
              <w:spacing w:line="360" w:lineRule="auto"/>
              <w:rPr>
                <w:rFonts w:hint="eastAsia" w:ascii="宋体" w:hAnsi="宋体"/>
                <w:bCs/>
                <w:iCs/>
                <w:color w:val="000000"/>
                <w:sz w:val="24"/>
              </w:rPr>
            </w:pPr>
            <w:r>
              <w:rPr>
                <w:rFonts w:hint="eastAsia" w:ascii="宋体" w:hAnsi="宋体"/>
                <w:bCs/>
                <w:iCs/>
                <w:color w:val="000000"/>
                <w:sz w:val="24"/>
              </w:rPr>
              <w:t>答：公司重视对投资者的合理回报，秉承“以投资者为本”的发展理念，积极为全体股东创造更多回报价值。2026年上半年，公司拟每10股派发现金红利0.78元（含税）。未来公司将继续聚焦主业、提质增效，努力提升盈利能力和现金流水平，争取为股东创造持续、稳定、可预期的回报。涉及利润分配的具体事项，公司将严格按照规定履行审议程序和信息披露义务。</w:t>
            </w:r>
          </w:p>
          <w:p w14:paraId="7C55017C">
            <w:pPr>
              <w:widowControl/>
              <w:spacing w:line="360" w:lineRule="auto"/>
              <w:rPr>
                <w:rFonts w:hint="eastAsia" w:ascii="宋体" w:hAnsi="宋体"/>
                <w:bCs/>
                <w:iCs/>
                <w:color w:val="000000"/>
                <w:sz w:val="24"/>
              </w:rPr>
            </w:pPr>
          </w:p>
          <w:p w14:paraId="10C97D26">
            <w:pPr>
              <w:widowControl/>
              <w:spacing w:line="360" w:lineRule="auto"/>
              <w:rPr>
                <w:rFonts w:hint="eastAsia" w:ascii="宋体" w:hAnsi="宋体" w:cs="宋体"/>
                <w:b/>
                <w:bCs w:val="0"/>
                <w:iCs/>
                <w:color w:val="000000"/>
                <w:sz w:val="24"/>
                <w:lang w:val="en-US" w:eastAsia="zh-CN"/>
              </w:rPr>
            </w:pPr>
            <w:r>
              <w:rPr>
                <w:rFonts w:hint="eastAsia" w:ascii="宋体" w:hAnsi="宋体" w:cs="宋体"/>
                <w:b/>
                <w:bCs w:val="0"/>
                <w:iCs/>
                <w:color w:val="000000"/>
                <w:sz w:val="24"/>
                <w:lang w:val="en-US" w:eastAsia="zh-CN"/>
              </w:rPr>
              <w:t>Q5、想请教管理层，在建和储备项目的进展如何？</w:t>
            </w:r>
          </w:p>
          <w:p w14:paraId="30CA6C9F">
            <w:pPr>
              <w:widowControl/>
              <w:spacing w:line="360" w:lineRule="auto"/>
              <w:rPr>
                <w:rFonts w:hint="eastAsia" w:ascii="宋体" w:hAnsi="宋体"/>
                <w:bCs/>
                <w:iCs/>
                <w:color w:val="000000"/>
                <w:sz w:val="24"/>
              </w:rPr>
            </w:pPr>
            <w:r>
              <w:rPr>
                <w:rFonts w:hint="eastAsia" w:ascii="宋体" w:hAnsi="宋体"/>
                <w:bCs/>
                <w:iCs/>
                <w:color w:val="000000"/>
                <w:sz w:val="24"/>
              </w:rPr>
              <w:t>答：目前，公司在合肥、武汉、成都等半导体重点区域项目仍在投入建设，有望在下半年陆续建成投入运营。</w:t>
            </w:r>
          </w:p>
          <w:p w14:paraId="0624950A">
            <w:pPr>
              <w:widowControl/>
              <w:spacing w:line="360" w:lineRule="auto"/>
              <w:rPr>
                <w:rFonts w:hint="eastAsia" w:ascii="宋体" w:hAnsi="宋体"/>
                <w:bCs/>
                <w:iCs/>
                <w:color w:val="000000"/>
                <w:sz w:val="24"/>
              </w:rPr>
            </w:pPr>
          </w:p>
          <w:p w14:paraId="6DBF11AE">
            <w:pPr>
              <w:widowControl/>
              <w:spacing w:line="360" w:lineRule="auto"/>
              <w:rPr>
                <w:rFonts w:hint="eastAsia" w:ascii="宋体" w:hAnsi="宋体" w:cs="宋体"/>
                <w:b/>
                <w:bCs w:val="0"/>
                <w:iCs/>
                <w:color w:val="000000"/>
                <w:sz w:val="24"/>
                <w:lang w:val="en-US" w:eastAsia="zh-CN"/>
              </w:rPr>
            </w:pPr>
            <w:r>
              <w:rPr>
                <w:rFonts w:hint="eastAsia" w:ascii="宋体" w:hAnsi="宋体" w:cs="宋体"/>
                <w:b/>
                <w:bCs w:val="0"/>
                <w:iCs/>
                <w:color w:val="000000"/>
                <w:sz w:val="24"/>
                <w:lang w:val="en-US" w:eastAsia="zh-CN"/>
              </w:rPr>
              <w:t>Q6、在保持高分红的同时，公司如何平衡产能扩张的再投资需求与股东回报？</w:t>
            </w:r>
          </w:p>
          <w:p w14:paraId="5C2DBA31">
            <w:pPr>
              <w:widowControl/>
              <w:spacing w:line="360" w:lineRule="auto"/>
              <w:rPr>
                <w:rFonts w:hint="eastAsia" w:ascii="宋体" w:hAnsi="宋体"/>
                <w:bCs/>
                <w:iCs/>
                <w:color w:val="000000"/>
                <w:sz w:val="24"/>
              </w:rPr>
            </w:pPr>
            <w:r>
              <w:rPr>
                <w:rFonts w:hint="eastAsia" w:ascii="宋体" w:hAnsi="宋体"/>
                <w:bCs/>
                <w:iCs/>
                <w:color w:val="000000"/>
                <w:sz w:val="24"/>
              </w:rPr>
              <w:t>答：公司2025年度、2026年上半年经营性现金净流入分别为8.05亿元、3.61亿元，经营现金流保持良好态势；截至2026年6月30日，资产负债率33.61%，财务结构稳健。2026年上半年拟派发现金红利1.03亿元，占上半年合并报表归母净利润的40.21%。电子大宗现场制气业务持续稳定贡献经营性现金净流入，为公司高速发展与股东回报提供支撑。未来公司将继续聚焦主业、提质增效，努力提升盈利能力和现金流水平，争取为股东创造持续、稳定、可预期的回报。</w:t>
            </w:r>
          </w:p>
          <w:p w14:paraId="078751AA">
            <w:pPr>
              <w:widowControl/>
              <w:spacing w:line="360" w:lineRule="auto"/>
              <w:rPr>
                <w:rFonts w:hint="eastAsia" w:ascii="宋体" w:hAnsi="宋体"/>
                <w:bCs/>
                <w:iCs/>
                <w:color w:val="000000"/>
                <w:sz w:val="24"/>
              </w:rPr>
            </w:pPr>
          </w:p>
          <w:p w14:paraId="4FCBCAC6">
            <w:pPr>
              <w:widowControl/>
              <w:spacing w:line="360" w:lineRule="auto"/>
              <w:rPr>
                <w:rFonts w:hint="eastAsia" w:ascii="宋体" w:hAnsi="宋体" w:cs="宋体"/>
                <w:b/>
                <w:bCs w:val="0"/>
                <w:iCs/>
                <w:color w:val="000000"/>
                <w:sz w:val="24"/>
                <w:lang w:val="en-US" w:eastAsia="zh-CN"/>
              </w:rPr>
            </w:pPr>
            <w:r>
              <w:rPr>
                <w:rFonts w:hint="eastAsia" w:ascii="宋体" w:hAnsi="宋体" w:cs="宋体"/>
                <w:b/>
                <w:bCs w:val="0"/>
                <w:iCs/>
                <w:color w:val="000000"/>
                <w:sz w:val="24"/>
                <w:lang w:val="en-US" w:eastAsia="zh-CN"/>
              </w:rPr>
              <w:t>Q7、在国产替代和"卡脖子"气体品种（如高纯电子特气）的研发和产业化方面有哪些规划？</w:t>
            </w:r>
          </w:p>
          <w:p w14:paraId="334D171C">
            <w:pPr>
              <w:widowControl/>
              <w:spacing w:line="360" w:lineRule="auto"/>
              <w:rPr>
                <w:rFonts w:hint="eastAsia" w:ascii="宋体" w:hAnsi="宋体"/>
                <w:bCs/>
                <w:iCs/>
                <w:color w:val="000000"/>
                <w:sz w:val="24"/>
              </w:rPr>
            </w:pPr>
            <w:r>
              <w:rPr>
                <w:rFonts w:hint="eastAsia" w:ascii="宋体" w:hAnsi="宋体"/>
                <w:bCs/>
                <w:iCs/>
                <w:color w:val="000000"/>
                <w:sz w:val="24"/>
              </w:rPr>
              <w:t>答：公司是全球极少数具有超临界二氧化碳输送系统解决方案的气体公司，相关方案可用于高端芯片的清洗工艺，已在国内客户现场实现商业化落地。在电子特气领域重点布局三个主要品种，分别为六氟丁二烯（C4F6）、溴化氢（HBr）及氯化氢（HCl）。其中，C4F6在潜江布局，正开展工艺调试与优化工作；HBr在合肥布局，已完成机械竣工，即将进入调试环节；HCl在上海布局，正处于工艺调试阶段。</w:t>
            </w:r>
          </w:p>
          <w:p w14:paraId="5CA50FF7">
            <w:pPr>
              <w:widowControl/>
              <w:spacing w:line="360" w:lineRule="auto"/>
              <w:rPr>
                <w:rFonts w:hint="eastAsia" w:ascii="宋体" w:hAnsi="宋体"/>
                <w:bCs/>
                <w:iCs/>
                <w:color w:val="000000"/>
                <w:sz w:val="24"/>
              </w:rPr>
            </w:pPr>
          </w:p>
          <w:p w14:paraId="0547BBAD">
            <w:pPr>
              <w:widowControl/>
              <w:spacing w:line="360" w:lineRule="auto"/>
              <w:rPr>
                <w:rFonts w:hint="eastAsia" w:ascii="宋体" w:hAnsi="宋体" w:cs="宋体"/>
                <w:b/>
                <w:bCs w:val="0"/>
                <w:iCs/>
                <w:color w:val="000000"/>
                <w:sz w:val="24"/>
                <w:lang w:val="en-US" w:eastAsia="zh-CN"/>
              </w:rPr>
            </w:pPr>
            <w:r>
              <w:rPr>
                <w:rFonts w:hint="eastAsia" w:ascii="宋体" w:hAnsi="宋体" w:cs="宋体"/>
                <w:b/>
                <w:bCs w:val="0"/>
                <w:iCs/>
                <w:color w:val="000000"/>
                <w:sz w:val="24"/>
                <w:lang w:val="en-US" w:eastAsia="zh-CN"/>
              </w:rPr>
              <w:t>Q8、贵司的目前市值体量是否完全体现出了当前贵司的电子气技术水平和业务能力，未来是否有更进一步开拓这类高景气赛道行业？</w:t>
            </w:r>
          </w:p>
          <w:p w14:paraId="4BC92292">
            <w:pPr>
              <w:widowControl/>
              <w:spacing w:line="360" w:lineRule="auto"/>
              <w:rPr>
                <w:rFonts w:hint="eastAsia" w:ascii="宋体" w:hAnsi="宋体"/>
                <w:bCs/>
                <w:iCs/>
                <w:color w:val="000000"/>
                <w:sz w:val="24"/>
              </w:rPr>
            </w:pPr>
            <w:r>
              <w:rPr>
                <w:rFonts w:hint="eastAsia" w:ascii="宋体" w:hAnsi="宋体"/>
                <w:bCs/>
                <w:iCs/>
                <w:color w:val="000000"/>
                <w:sz w:val="24"/>
              </w:rPr>
              <w:t>答：公司始终重视研发创新，不断加大研发投入力度，搭建完善的创新体系。公司开发的Super-N系列超高纯制氮装置可以直接产出9N级氮气，性能和参数指标领跑同行。建成杭州建德智能制造基地，作为创新解决方案的落地平台，该基地已取得ASME、KGS等国际认证，获得了进入国际市场的通行证。未来，公司仍将加大研发投入，开发前沿产品和解决方案，不断增强行业竞争力。</w:t>
            </w:r>
          </w:p>
          <w:p w14:paraId="0F47C49C">
            <w:pPr>
              <w:widowControl/>
              <w:spacing w:line="360" w:lineRule="auto"/>
              <w:rPr>
                <w:rFonts w:hint="eastAsia" w:ascii="宋体" w:hAnsi="宋体"/>
                <w:bCs/>
                <w:iCs/>
                <w:color w:val="000000"/>
                <w:sz w:val="24"/>
              </w:rPr>
            </w:pPr>
          </w:p>
          <w:p w14:paraId="014EDE68">
            <w:pPr>
              <w:widowControl/>
              <w:spacing w:line="360" w:lineRule="auto"/>
              <w:rPr>
                <w:rFonts w:hint="eastAsia" w:ascii="宋体" w:hAnsi="宋体" w:cs="宋体"/>
                <w:b/>
                <w:bCs w:val="0"/>
                <w:iCs/>
                <w:color w:val="000000"/>
                <w:sz w:val="24"/>
                <w:lang w:val="en-US" w:eastAsia="zh-CN"/>
              </w:rPr>
            </w:pPr>
            <w:r>
              <w:rPr>
                <w:rFonts w:hint="eastAsia" w:ascii="宋体" w:hAnsi="宋体" w:cs="宋体"/>
                <w:b/>
                <w:bCs w:val="0"/>
                <w:iCs/>
                <w:color w:val="000000"/>
                <w:sz w:val="24"/>
                <w:lang w:val="en-US" w:eastAsia="zh-CN"/>
              </w:rPr>
              <w:t>Q9、由于美伊冲突，卡塔尔两条特定LNG生产线以及配套氦气设施遭到物理性、结构性严重损毁，其官方评估修复需3至5年。另据路透社近日报道，卡塔尔能源寻求美国LNG长约至2031年，侧面验证了氦气设施受损严重，短期无修复预期。请问公司如何看待国内当前氦气供需情况？公司采取了哪些措施保证国内氦气供应？</w:t>
            </w:r>
          </w:p>
          <w:p w14:paraId="22A29569">
            <w:pPr>
              <w:widowControl/>
              <w:spacing w:line="360" w:lineRule="auto"/>
              <w:rPr>
                <w:rFonts w:hint="eastAsia" w:ascii="宋体" w:hAnsi="宋体"/>
                <w:bCs/>
                <w:iCs/>
                <w:color w:val="000000"/>
                <w:sz w:val="24"/>
              </w:rPr>
            </w:pPr>
            <w:r>
              <w:rPr>
                <w:rFonts w:hint="eastAsia" w:ascii="宋体" w:hAnsi="宋体"/>
                <w:bCs/>
                <w:iCs/>
                <w:color w:val="000000"/>
                <w:sz w:val="24"/>
              </w:rPr>
              <w:t>答：面对复杂多变的全球地缘政治与能源市场格局，公司紧紧围绕服务国家重大战略需求，已构建全球化、多渠道、抗风险的氦气供应保障体系。气源布局方面，公司已构建涵盖中东、欧洲、北美等多区域气源的全球化氦气供应体系。公司积极进行全球资源调配。值得注意的是，卡塔尔能源的一个氦气工厂已在2026年6月底恢复部分生产，广钢气体按照其生产供应计划进行提货。</w:t>
            </w:r>
          </w:p>
          <w:p w14:paraId="320633DF">
            <w:pPr>
              <w:widowControl/>
              <w:spacing w:line="360" w:lineRule="auto"/>
              <w:rPr>
                <w:rFonts w:hint="eastAsia" w:ascii="宋体" w:hAnsi="宋体"/>
                <w:bCs/>
                <w:iCs/>
                <w:color w:val="000000"/>
                <w:sz w:val="24"/>
              </w:rPr>
            </w:pPr>
          </w:p>
          <w:p w14:paraId="6BA11267">
            <w:pPr>
              <w:widowControl/>
              <w:spacing w:line="360" w:lineRule="auto"/>
              <w:rPr>
                <w:rFonts w:hint="eastAsia" w:ascii="宋体" w:hAnsi="宋体" w:cs="宋体"/>
                <w:b/>
                <w:bCs w:val="0"/>
                <w:iCs/>
                <w:color w:val="000000"/>
                <w:sz w:val="24"/>
                <w:lang w:val="en-US" w:eastAsia="zh-CN"/>
              </w:rPr>
            </w:pPr>
            <w:r>
              <w:rPr>
                <w:rFonts w:hint="eastAsia" w:ascii="宋体" w:hAnsi="宋体" w:cs="宋体"/>
                <w:b/>
                <w:bCs w:val="0"/>
                <w:iCs/>
                <w:color w:val="000000"/>
                <w:sz w:val="24"/>
                <w:lang w:val="en-US" w:eastAsia="zh-CN"/>
              </w:rPr>
              <w:t>Q10、根据公开资料，当前工业级氦气价格距年内价格高点已回落较多，而半导体用6N超高纯氦气售价仍维持在高位。请问公司是否会调整产能、升级技术，提升公司在半导体用6N超高纯氦气领域的市场份额？</w:t>
            </w:r>
          </w:p>
          <w:p w14:paraId="531A4A53">
            <w:pPr>
              <w:widowControl/>
              <w:spacing w:line="360" w:lineRule="auto"/>
              <w:rPr>
                <w:rFonts w:hint="eastAsia" w:ascii="宋体" w:hAnsi="宋体"/>
                <w:bCs/>
                <w:iCs/>
                <w:color w:val="000000"/>
                <w:sz w:val="24"/>
              </w:rPr>
            </w:pPr>
            <w:r>
              <w:rPr>
                <w:rFonts w:hint="eastAsia" w:ascii="宋体" w:hAnsi="宋体"/>
                <w:bCs/>
                <w:iCs/>
                <w:color w:val="000000"/>
                <w:sz w:val="24"/>
              </w:rPr>
              <w:t>答：公司的超高纯氦气纯化技术可将5N级氦气提纯至9N级，满足集成电路制造、半导体显示等行业客户的严苛要求。伴随着国内半导体产业发展，行业产能持续提升，氦气需求逐步增长，公司将持续加大在半导体领域的资源投入与业务布局，以更优质的服务支撑国家重点产业的发展。</w:t>
            </w:r>
          </w:p>
          <w:p w14:paraId="7DEE4CBA">
            <w:pPr>
              <w:widowControl/>
              <w:spacing w:line="360" w:lineRule="auto"/>
              <w:rPr>
                <w:rFonts w:hint="eastAsia" w:ascii="宋体" w:hAnsi="宋体"/>
                <w:bCs/>
                <w:iCs/>
                <w:color w:val="000000"/>
                <w:sz w:val="24"/>
              </w:rPr>
            </w:pPr>
          </w:p>
          <w:p w14:paraId="6308BB95">
            <w:pPr>
              <w:widowControl/>
              <w:spacing w:line="360" w:lineRule="auto"/>
              <w:rPr>
                <w:rFonts w:hint="eastAsia" w:ascii="宋体" w:hAnsi="宋体" w:cs="宋体"/>
                <w:b/>
                <w:bCs w:val="0"/>
                <w:iCs/>
                <w:color w:val="000000"/>
                <w:sz w:val="24"/>
                <w:lang w:val="en-US" w:eastAsia="zh-CN"/>
              </w:rPr>
            </w:pPr>
            <w:r>
              <w:rPr>
                <w:rFonts w:hint="eastAsia" w:ascii="宋体" w:hAnsi="宋体" w:cs="宋体"/>
                <w:b/>
                <w:bCs w:val="0"/>
                <w:iCs/>
                <w:color w:val="000000"/>
                <w:sz w:val="24"/>
                <w:lang w:val="en-US" w:eastAsia="zh-CN"/>
              </w:rPr>
              <w:t>Q11、全球氦气供需格局变化，公司如何保障氦气供应链的安全稳定？全球氦气供需格局变化带来价格上涨，为公司贡献了增量利润。想了解公司在氦气资源获取、长协锁定、储运设施建设方面的布局？</w:t>
            </w:r>
          </w:p>
          <w:p w14:paraId="1B03A955">
            <w:pPr>
              <w:widowControl/>
              <w:spacing w:line="360" w:lineRule="auto"/>
              <w:rPr>
                <w:rFonts w:hint="eastAsia" w:ascii="宋体" w:hAnsi="宋体" w:cs="宋体"/>
                <w:b/>
                <w:bCs w:val="0"/>
                <w:iCs/>
                <w:color w:val="000000"/>
                <w:sz w:val="24"/>
                <w:lang w:val="en-US" w:eastAsia="zh-CN"/>
              </w:rPr>
            </w:pPr>
            <w:r>
              <w:rPr>
                <w:rFonts w:hint="eastAsia" w:ascii="宋体" w:hAnsi="宋体"/>
                <w:bCs/>
                <w:iCs/>
                <w:color w:val="000000"/>
                <w:sz w:val="24"/>
              </w:rPr>
              <w:t>答：面对复杂多变的全球地缘政治与能源市场格局，公司紧紧围绕服务国家重大战略需求，构建了全球化、多渠道、抗风险的氦气供应保障体系。在气源布局上，公司积极推动与中东、北美、欧洲等核心气源地国家建立长期合作关系，公司是国内唯一实现大批量、长期稳定协议及多区域气源集中采购的内资气体企业，可有效对冲单一气源供应波动风险。公司与中国科学院紧密合作，全力推进国内首个小分子深地存储项目建设，着力打造“氦气银行（Helium Bank）”、“中华第一库”，进一步夯实国内氦气战略储备能力。同时，公司在上海、武汉、广州等地建成集智能化充装、混配、存储、回收及纯化于一体的零损耗氦气绿色工厂，持续提升氦气储备能力，夯实重点产业保供基础。</w:t>
            </w:r>
          </w:p>
          <w:p w14:paraId="36B7EED0">
            <w:pPr>
              <w:widowControl/>
              <w:spacing w:line="360" w:lineRule="auto"/>
              <w:rPr>
                <w:rFonts w:hint="eastAsia" w:ascii="宋体" w:hAnsi="宋体"/>
                <w:bCs/>
                <w:iCs/>
                <w:color w:val="000000"/>
                <w:sz w:val="24"/>
              </w:rPr>
            </w:pPr>
          </w:p>
          <w:p w14:paraId="77B4A19F">
            <w:pPr>
              <w:widowControl/>
              <w:spacing w:line="360" w:lineRule="auto"/>
              <w:rPr>
                <w:rFonts w:hint="eastAsia" w:ascii="宋体" w:hAnsi="宋体"/>
                <w:bCs/>
                <w:iCs/>
                <w:color w:val="000000"/>
                <w:sz w:val="24"/>
              </w:rPr>
            </w:pPr>
            <w:r>
              <w:rPr>
                <w:rFonts w:hint="eastAsia" w:ascii="宋体" w:hAnsi="宋体"/>
                <w:bCs/>
                <w:iCs/>
                <w:color w:val="000000"/>
                <w:sz w:val="24"/>
              </w:rPr>
              <w:t>欢迎关注公司微信公众号“广钢气体”，了解更多公司动态。</w:t>
            </w:r>
          </w:p>
        </w:tc>
      </w:tr>
      <w:tr w14:paraId="7D6A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654C08C9">
            <w:pPr>
              <w:spacing w:line="360" w:lineRule="auto"/>
              <w:rPr>
                <w:rFonts w:hint="eastAsia" w:ascii="宋体" w:hAnsi="宋体"/>
                <w:bCs/>
                <w:iCs/>
                <w:color w:val="000000"/>
                <w:sz w:val="24"/>
              </w:rPr>
            </w:pPr>
            <w:r>
              <w:rPr>
                <w:rFonts w:hint="eastAsia" w:ascii="宋体" w:hAnsi="宋体"/>
                <w:bCs/>
                <w:iCs/>
                <w:color w:val="000000"/>
                <w:sz w:val="24"/>
              </w:rPr>
              <w:t>附件清单（如有）</w:t>
            </w:r>
          </w:p>
        </w:tc>
        <w:tc>
          <w:tcPr>
            <w:tcW w:w="6631" w:type="dxa"/>
            <w:tcBorders>
              <w:top w:val="single" w:color="auto" w:sz="4" w:space="0"/>
              <w:left w:val="single" w:color="auto" w:sz="4" w:space="0"/>
              <w:bottom w:val="single" w:color="auto" w:sz="4" w:space="0"/>
              <w:right w:val="single" w:color="auto" w:sz="4" w:space="0"/>
            </w:tcBorders>
            <w:vAlign w:val="center"/>
          </w:tcPr>
          <w:p w14:paraId="30F9E249">
            <w:pPr>
              <w:rPr>
                <w:rFonts w:hint="eastAsia" w:ascii="宋体" w:hAnsi="宋体"/>
                <w:bCs/>
                <w:iCs/>
                <w:color w:val="000000"/>
                <w:sz w:val="24"/>
              </w:rPr>
            </w:pPr>
            <w:r>
              <w:rPr>
                <w:rFonts w:hint="eastAsia" w:ascii="宋体" w:hAnsi="宋体"/>
                <w:bCs/>
                <w:iCs/>
                <w:color w:val="000000"/>
                <w:sz w:val="24"/>
              </w:rPr>
              <w:t>无</w:t>
            </w:r>
          </w:p>
        </w:tc>
      </w:tr>
      <w:tr w14:paraId="21DF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047B39D6">
            <w:pPr>
              <w:spacing w:line="360" w:lineRule="auto"/>
              <w:rPr>
                <w:rFonts w:hint="eastAsia" w:ascii="宋体" w:hAnsi="宋体"/>
                <w:bCs/>
                <w:iCs/>
                <w:color w:val="000000"/>
                <w:sz w:val="24"/>
              </w:rPr>
            </w:pPr>
            <w:r>
              <w:rPr>
                <w:rFonts w:hint="eastAsia" w:ascii="宋体" w:hAnsi="宋体"/>
                <w:bCs/>
                <w:iCs/>
                <w:color w:val="000000"/>
                <w:sz w:val="24"/>
              </w:rPr>
              <w:t>风险提示</w:t>
            </w:r>
          </w:p>
        </w:tc>
        <w:tc>
          <w:tcPr>
            <w:tcW w:w="6631" w:type="dxa"/>
            <w:tcBorders>
              <w:top w:val="single" w:color="auto" w:sz="4" w:space="0"/>
              <w:left w:val="single" w:color="auto" w:sz="4" w:space="0"/>
              <w:bottom w:val="single" w:color="auto" w:sz="4" w:space="0"/>
              <w:right w:val="single" w:color="auto" w:sz="4" w:space="0"/>
            </w:tcBorders>
            <w:vAlign w:val="center"/>
          </w:tcPr>
          <w:p w14:paraId="06666937">
            <w:pPr>
              <w:spacing w:line="360" w:lineRule="auto"/>
              <w:rPr>
                <w:rFonts w:hint="eastAsia" w:ascii="宋体" w:hAnsi="宋体"/>
                <w:bCs/>
                <w:iCs/>
                <w:color w:val="000000"/>
                <w:sz w:val="24"/>
              </w:rPr>
            </w:pPr>
            <w:r>
              <w:rPr>
                <w:rFonts w:hint="eastAsia" w:ascii="宋体" w:hAnsi="宋体"/>
                <w:bCs/>
                <w:iCs/>
                <w:color w:val="000000"/>
                <w:sz w:val="24"/>
              </w:rPr>
              <w:t>以上如涉及对行业的预测、公司发展战略规划等相关内容，不能视作公司或公司管理层对行业、公司发展或业绩的承诺和保证，敬请广大投资者注意投资风险。</w:t>
            </w:r>
          </w:p>
        </w:tc>
      </w:tr>
      <w:tr w14:paraId="4D3D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04666189">
            <w:pPr>
              <w:spacing w:line="360" w:lineRule="auto"/>
              <w:rPr>
                <w:rFonts w:hint="eastAsia" w:ascii="宋体" w:hAnsi="宋体"/>
                <w:bCs/>
                <w:iCs/>
                <w:color w:val="000000"/>
                <w:sz w:val="24"/>
              </w:rPr>
            </w:pPr>
            <w:r>
              <w:rPr>
                <w:rFonts w:hint="eastAsia" w:ascii="宋体" w:hAnsi="宋体"/>
                <w:bCs/>
                <w:iCs/>
                <w:color w:val="000000"/>
                <w:sz w:val="24"/>
              </w:rPr>
              <w:t>关于本次活动是否涉及应当披露重大信息的说明</w:t>
            </w:r>
          </w:p>
        </w:tc>
        <w:tc>
          <w:tcPr>
            <w:tcW w:w="6631" w:type="dxa"/>
            <w:tcBorders>
              <w:top w:val="single" w:color="auto" w:sz="4" w:space="0"/>
              <w:left w:val="single" w:color="auto" w:sz="4" w:space="0"/>
              <w:bottom w:val="single" w:color="auto" w:sz="4" w:space="0"/>
              <w:right w:val="single" w:color="auto" w:sz="4" w:space="0"/>
            </w:tcBorders>
            <w:vAlign w:val="center"/>
          </w:tcPr>
          <w:p w14:paraId="66B873BF">
            <w:pPr>
              <w:spacing w:line="360" w:lineRule="auto"/>
              <w:rPr>
                <w:rFonts w:hint="eastAsia" w:ascii="宋体" w:hAnsi="宋体"/>
                <w:bCs/>
                <w:iCs/>
                <w:color w:val="000000"/>
                <w:sz w:val="24"/>
              </w:rPr>
            </w:pPr>
            <w:r>
              <w:rPr>
                <w:rFonts w:hint="eastAsia" w:ascii="宋体" w:hAnsi="宋体"/>
                <w:bCs/>
                <w:iCs/>
                <w:color w:val="000000"/>
                <w:sz w:val="24"/>
              </w:rPr>
              <w:t>本次活动不涉及应当披露重大信息。</w:t>
            </w:r>
          </w:p>
        </w:tc>
      </w:tr>
      <w:tr w14:paraId="36FD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46F1A7E6">
            <w:pPr>
              <w:spacing w:line="360" w:lineRule="auto"/>
              <w:rPr>
                <w:rFonts w:hint="eastAsia" w:ascii="宋体" w:hAnsi="宋体"/>
                <w:bCs/>
                <w:iCs/>
                <w:color w:val="000000"/>
                <w:sz w:val="24"/>
              </w:rPr>
            </w:pPr>
            <w:r>
              <w:rPr>
                <w:rFonts w:hint="eastAsia" w:ascii="宋体" w:hAnsi="宋体"/>
                <w:bCs/>
                <w:iCs/>
                <w:color w:val="000000"/>
                <w:sz w:val="24"/>
              </w:rPr>
              <w:t>日期</w:t>
            </w:r>
          </w:p>
        </w:tc>
        <w:tc>
          <w:tcPr>
            <w:tcW w:w="6631" w:type="dxa"/>
            <w:tcBorders>
              <w:top w:val="single" w:color="auto" w:sz="4" w:space="0"/>
              <w:left w:val="single" w:color="auto" w:sz="4" w:space="0"/>
              <w:bottom w:val="single" w:color="auto" w:sz="4" w:space="0"/>
              <w:right w:val="single" w:color="auto" w:sz="4" w:space="0"/>
            </w:tcBorders>
            <w:vAlign w:val="center"/>
          </w:tcPr>
          <w:p w14:paraId="3FC300AA">
            <w:pPr>
              <w:spacing w:line="360" w:lineRule="auto"/>
              <w:rPr>
                <w:rFonts w:hint="eastAsia" w:ascii="宋体" w:hAnsi="宋体"/>
                <w:bCs/>
                <w:iCs/>
                <w:color w:val="000000"/>
                <w:sz w:val="24"/>
              </w:rPr>
            </w:pPr>
            <w:r>
              <w:rPr>
                <w:rFonts w:hint="eastAsia" w:ascii="宋体" w:hAnsi="宋体"/>
                <w:bCs/>
                <w:iCs/>
                <w:color w:val="000000"/>
                <w:sz w:val="24"/>
              </w:rPr>
              <w:t>2</w:t>
            </w:r>
            <w:r>
              <w:rPr>
                <w:rFonts w:ascii="宋体" w:hAnsi="宋体"/>
                <w:bCs/>
                <w:iCs/>
                <w:color w:val="000000"/>
                <w:sz w:val="24"/>
              </w:rPr>
              <w:t>02</w:t>
            </w:r>
            <w:r>
              <w:rPr>
                <w:rFonts w:hint="eastAsia" w:ascii="宋体" w:hAnsi="宋体"/>
                <w:bCs/>
                <w:iCs/>
                <w:color w:val="000000"/>
                <w:sz w:val="24"/>
              </w:rPr>
              <w:t>6年</w:t>
            </w:r>
            <w:r>
              <w:rPr>
                <w:rFonts w:hint="eastAsia" w:ascii="宋体" w:hAnsi="宋体"/>
                <w:bCs/>
                <w:iCs/>
                <w:color w:val="000000"/>
                <w:sz w:val="24"/>
                <w:lang w:val="en-US" w:eastAsia="zh-CN"/>
              </w:rPr>
              <w:t>9</w:t>
            </w:r>
            <w:r>
              <w:rPr>
                <w:rFonts w:hint="eastAsia" w:ascii="宋体" w:hAnsi="宋体"/>
                <w:bCs/>
                <w:iCs/>
                <w:color w:val="000000"/>
                <w:sz w:val="24"/>
              </w:rPr>
              <w:t>月</w:t>
            </w:r>
            <w:r>
              <w:rPr>
                <w:rFonts w:hint="eastAsia" w:ascii="宋体" w:hAnsi="宋体"/>
                <w:bCs/>
                <w:iCs/>
                <w:color w:val="000000"/>
                <w:sz w:val="24"/>
                <w:lang w:val="en-US" w:eastAsia="zh-CN"/>
              </w:rPr>
              <w:t>15</w:t>
            </w:r>
            <w:r>
              <w:rPr>
                <w:rFonts w:hint="eastAsia" w:ascii="宋体" w:hAnsi="宋体"/>
                <w:bCs/>
                <w:iCs/>
                <w:color w:val="000000"/>
                <w:sz w:val="24"/>
              </w:rPr>
              <w:t>日</w:t>
            </w:r>
          </w:p>
        </w:tc>
      </w:tr>
    </w:tbl>
    <w:p w14:paraId="57A392EA">
      <w:pPr>
        <w:widowControl/>
        <w:jc w:val="left"/>
        <w:rPr>
          <w:color w:val="000000" w:themeColor="text1"/>
          <w14:textFill>
            <w14:solidFill>
              <w14:schemeClr w14:val="tx1"/>
            </w14:solidFill>
          </w14:textFill>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kzYjRiZTlhMTkxYmRlZjEwMDljMDM5ZDM4M2Y2NDUifQ=="/>
    <w:docVar w:name="KSO_WPS_MARK_KEY" w:val="f24a8a36-8842-49cc-be26-330e00327327"/>
  </w:docVars>
  <w:rsids>
    <w:rsidRoot w:val="002D6BF0"/>
    <w:rsid w:val="00000727"/>
    <w:rsid w:val="000033CE"/>
    <w:rsid w:val="00003FD9"/>
    <w:rsid w:val="0000570B"/>
    <w:rsid w:val="00006EF0"/>
    <w:rsid w:val="0000726A"/>
    <w:rsid w:val="00012948"/>
    <w:rsid w:val="000132DE"/>
    <w:rsid w:val="00015224"/>
    <w:rsid w:val="000154CB"/>
    <w:rsid w:val="000204A3"/>
    <w:rsid w:val="000217A1"/>
    <w:rsid w:val="00022D3E"/>
    <w:rsid w:val="0002517F"/>
    <w:rsid w:val="00027306"/>
    <w:rsid w:val="00031CB9"/>
    <w:rsid w:val="0004218C"/>
    <w:rsid w:val="000425E4"/>
    <w:rsid w:val="00042F80"/>
    <w:rsid w:val="00045190"/>
    <w:rsid w:val="00046227"/>
    <w:rsid w:val="00046C97"/>
    <w:rsid w:val="00047F68"/>
    <w:rsid w:val="0005142E"/>
    <w:rsid w:val="00053805"/>
    <w:rsid w:val="00054143"/>
    <w:rsid w:val="000547F3"/>
    <w:rsid w:val="000561D6"/>
    <w:rsid w:val="000574C2"/>
    <w:rsid w:val="00057CED"/>
    <w:rsid w:val="0006409D"/>
    <w:rsid w:val="0006525A"/>
    <w:rsid w:val="00065711"/>
    <w:rsid w:val="00065A24"/>
    <w:rsid w:val="000667F1"/>
    <w:rsid w:val="00067457"/>
    <w:rsid w:val="0006763F"/>
    <w:rsid w:val="00070B77"/>
    <w:rsid w:val="0007276C"/>
    <w:rsid w:val="000730A6"/>
    <w:rsid w:val="00074A20"/>
    <w:rsid w:val="0007530D"/>
    <w:rsid w:val="00077B26"/>
    <w:rsid w:val="00077F37"/>
    <w:rsid w:val="00080364"/>
    <w:rsid w:val="000817D1"/>
    <w:rsid w:val="00083220"/>
    <w:rsid w:val="00084D4C"/>
    <w:rsid w:val="00085565"/>
    <w:rsid w:val="00085946"/>
    <w:rsid w:val="000861B9"/>
    <w:rsid w:val="000877D2"/>
    <w:rsid w:val="00090EED"/>
    <w:rsid w:val="00094143"/>
    <w:rsid w:val="00096E82"/>
    <w:rsid w:val="00097C24"/>
    <w:rsid w:val="000A1E0D"/>
    <w:rsid w:val="000A2E89"/>
    <w:rsid w:val="000A73E3"/>
    <w:rsid w:val="000B4450"/>
    <w:rsid w:val="000B49E8"/>
    <w:rsid w:val="000B5138"/>
    <w:rsid w:val="000B57F9"/>
    <w:rsid w:val="000B63F4"/>
    <w:rsid w:val="000B7D97"/>
    <w:rsid w:val="000C3744"/>
    <w:rsid w:val="000C3844"/>
    <w:rsid w:val="000C4965"/>
    <w:rsid w:val="000C61F5"/>
    <w:rsid w:val="000C64E2"/>
    <w:rsid w:val="000C6E53"/>
    <w:rsid w:val="000C739E"/>
    <w:rsid w:val="000C7651"/>
    <w:rsid w:val="000C78F4"/>
    <w:rsid w:val="000D0BE8"/>
    <w:rsid w:val="000D1215"/>
    <w:rsid w:val="000E1969"/>
    <w:rsid w:val="000E295B"/>
    <w:rsid w:val="000E4C11"/>
    <w:rsid w:val="000E4D0F"/>
    <w:rsid w:val="000E5B6B"/>
    <w:rsid w:val="000E5E40"/>
    <w:rsid w:val="000E7A5F"/>
    <w:rsid w:val="000F1807"/>
    <w:rsid w:val="000F2801"/>
    <w:rsid w:val="001003D0"/>
    <w:rsid w:val="00101719"/>
    <w:rsid w:val="00102350"/>
    <w:rsid w:val="0010401F"/>
    <w:rsid w:val="00105686"/>
    <w:rsid w:val="00107828"/>
    <w:rsid w:val="00111831"/>
    <w:rsid w:val="00112B0C"/>
    <w:rsid w:val="00113FA9"/>
    <w:rsid w:val="00114127"/>
    <w:rsid w:val="001210CC"/>
    <w:rsid w:val="0012177D"/>
    <w:rsid w:val="00123393"/>
    <w:rsid w:val="00123BD5"/>
    <w:rsid w:val="00124B14"/>
    <w:rsid w:val="00125979"/>
    <w:rsid w:val="00130C80"/>
    <w:rsid w:val="00134131"/>
    <w:rsid w:val="00136805"/>
    <w:rsid w:val="00137AEC"/>
    <w:rsid w:val="00140830"/>
    <w:rsid w:val="00142D3E"/>
    <w:rsid w:val="001432D4"/>
    <w:rsid w:val="00146949"/>
    <w:rsid w:val="00147151"/>
    <w:rsid w:val="00150520"/>
    <w:rsid w:val="00151100"/>
    <w:rsid w:val="00151601"/>
    <w:rsid w:val="001532A1"/>
    <w:rsid w:val="00153EB6"/>
    <w:rsid w:val="001549C0"/>
    <w:rsid w:val="00154A45"/>
    <w:rsid w:val="00156EEE"/>
    <w:rsid w:val="00157CB7"/>
    <w:rsid w:val="00157EF7"/>
    <w:rsid w:val="00160ECA"/>
    <w:rsid w:val="001644A6"/>
    <w:rsid w:val="001648E6"/>
    <w:rsid w:val="00164D6C"/>
    <w:rsid w:val="0016537C"/>
    <w:rsid w:val="00165726"/>
    <w:rsid w:val="0016591A"/>
    <w:rsid w:val="00165944"/>
    <w:rsid w:val="00166991"/>
    <w:rsid w:val="0016720A"/>
    <w:rsid w:val="00167356"/>
    <w:rsid w:val="00170227"/>
    <w:rsid w:val="00174B96"/>
    <w:rsid w:val="00174DD2"/>
    <w:rsid w:val="0017578F"/>
    <w:rsid w:val="001771DC"/>
    <w:rsid w:val="00181D04"/>
    <w:rsid w:val="00182FFB"/>
    <w:rsid w:val="0018726A"/>
    <w:rsid w:val="001879C1"/>
    <w:rsid w:val="00190CF8"/>
    <w:rsid w:val="001916C4"/>
    <w:rsid w:val="00192EBC"/>
    <w:rsid w:val="00193963"/>
    <w:rsid w:val="001948F6"/>
    <w:rsid w:val="00196292"/>
    <w:rsid w:val="001A221B"/>
    <w:rsid w:val="001A2657"/>
    <w:rsid w:val="001A2C69"/>
    <w:rsid w:val="001A3020"/>
    <w:rsid w:val="001A5141"/>
    <w:rsid w:val="001A52EC"/>
    <w:rsid w:val="001A6EE3"/>
    <w:rsid w:val="001A7AA3"/>
    <w:rsid w:val="001B1A5D"/>
    <w:rsid w:val="001B4892"/>
    <w:rsid w:val="001B6409"/>
    <w:rsid w:val="001C044F"/>
    <w:rsid w:val="001C0EE4"/>
    <w:rsid w:val="001C3C24"/>
    <w:rsid w:val="001D1B93"/>
    <w:rsid w:val="001D1E8E"/>
    <w:rsid w:val="001D4702"/>
    <w:rsid w:val="001D4732"/>
    <w:rsid w:val="001D5678"/>
    <w:rsid w:val="001D78FA"/>
    <w:rsid w:val="001D7FD8"/>
    <w:rsid w:val="001E0674"/>
    <w:rsid w:val="001E20A7"/>
    <w:rsid w:val="001E6381"/>
    <w:rsid w:val="001E775A"/>
    <w:rsid w:val="001E7946"/>
    <w:rsid w:val="001F0507"/>
    <w:rsid w:val="001F0F96"/>
    <w:rsid w:val="001F28A5"/>
    <w:rsid w:val="001F37B5"/>
    <w:rsid w:val="001F4328"/>
    <w:rsid w:val="001F5069"/>
    <w:rsid w:val="001F65B7"/>
    <w:rsid w:val="002035FB"/>
    <w:rsid w:val="0020559F"/>
    <w:rsid w:val="00205817"/>
    <w:rsid w:val="00205A92"/>
    <w:rsid w:val="00210D24"/>
    <w:rsid w:val="00211B95"/>
    <w:rsid w:val="00211E06"/>
    <w:rsid w:val="00213C4C"/>
    <w:rsid w:val="00216990"/>
    <w:rsid w:val="00216D7C"/>
    <w:rsid w:val="00216E6F"/>
    <w:rsid w:val="00217146"/>
    <w:rsid w:val="002243CA"/>
    <w:rsid w:val="00227BCB"/>
    <w:rsid w:val="00231C0B"/>
    <w:rsid w:val="00233672"/>
    <w:rsid w:val="00233E1A"/>
    <w:rsid w:val="00233F7A"/>
    <w:rsid w:val="00237252"/>
    <w:rsid w:val="0024328A"/>
    <w:rsid w:val="002435C4"/>
    <w:rsid w:val="00243DD5"/>
    <w:rsid w:val="0024512F"/>
    <w:rsid w:val="00245F88"/>
    <w:rsid w:val="00250CC3"/>
    <w:rsid w:val="002510E1"/>
    <w:rsid w:val="00253E08"/>
    <w:rsid w:val="002600B0"/>
    <w:rsid w:val="002614A5"/>
    <w:rsid w:val="00261B24"/>
    <w:rsid w:val="00265D04"/>
    <w:rsid w:val="00266538"/>
    <w:rsid w:val="00270BB0"/>
    <w:rsid w:val="002719F2"/>
    <w:rsid w:val="00273B43"/>
    <w:rsid w:val="00274A03"/>
    <w:rsid w:val="00275569"/>
    <w:rsid w:val="002762CF"/>
    <w:rsid w:val="00280E59"/>
    <w:rsid w:val="00280EF1"/>
    <w:rsid w:val="0028241D"/>
    <w:rsid w:val="00283D93"/>
    <w:rsid w:val="002876B3"/>
    <w:rsid w:val="00287888"/>
    <w:rsid w:val="00290F92"/>
    <w:rsid w:val="0029503C"/>
    <w:rsid w:val="00295C02"/>
    <w:rsid w:val="00297421"/>
    <w:rsid w:val="002A006A"/>
    <w:rsid w:val="002A082B"/>
    <w:rsid w:val="002A1F85"/>
    <w:rsid w:val="002A2442"/>
    <w:rsid w:val="002A5317"/>
    <w:rsid w:val="002A7857"/>
    <w:rsid w:val="002A7BF9"/>
    <w:rsid w:val="002B307F"/>
    <w:rsid w:val="002B4CB9"/>
    <w:rsid w:val="002C112E"/>
    <w:rsid w:val="002C2B45"/>
    <w:rsid w:val="002C32A8"/>
    <w:rsid w:val="002C47A0"/>
    <w:rsid w:val="002C4E39"/>
    <w:rsid w:val="002C65B8"/>
    <w:rsid w:val="002D139B"/>
    <w:rsid w:val="002D2A95"/>
    <w:rsid w:val="002D2EC8"/>
    <w:rsid w:val="002D30B1"/>
    <w:rsid w:val="002D3D1C"/>
    <w:rsid w:val="002D5986"/>
    <w:rsid w:val="002D6BF0"/>
    <w:rsid w:val="002D71B2"/>
    <w:rsid w:val="002E2152"/>
    <w:rsid w:val="002E2F03"/>
    <w:rsid w:val="002F2A42"/>
    <w:rsid w:val="002F489B"/>
    <w:rsid w:val="002F5047"/>
    <w:rsid w:val="00301C57"/>
    <w:rsid w:val="0031036C"/>
    <w:rsid w:val="00310AB3"/>
    <w:rsid w:val="003119CD"/>
    <w:rsid w:val="00315C96"/>
    <w:rsid w:val="00315ED8"/>
    <w:rsid w:val="003175CF"/>
    <w:rsid w:val="00320048"/>
    <w:rsid w:val="00324D79"/>
    <w:rsid w:val="00326486"/>
    <w:rsid w:val="00326A3D"/>
    <w:rsid w:val="003367CB"/>
    <w:rsid w:val="0034196B"/>
    <w:rsid w:val="00341FBD"/>
    <w:rsid w:val="00342C23"/>
    <w:rsid w:val="00342DDE"/>
    <w:rsid w:val="00343865"/>
    <w:rsid w:val="00343EFE"/>
    <w:rsid w:val="003445DE"/>
    <w:rsid w:val="00346F47"/>
    <w:rsid w:val="003536CB"/>
    <w:rsid w:val="00353C6D"/>
    <w:rsid w:val="00355072"/>
    <w:rsid w:val="00357151"/>
    <w:rsid w:val="00357D1E"/>
    <w:rsid w:val="0036070B"/>
    <w:rsid w:val="00362376"/>
    <w:rsid w:val="0036391C"/>
    <w:rsid w:val="00363E3D"/>
    <w:rsid w:val="00364644"/>
    <w:rsid w:val="003744AA"/>
    <w:rsid w:val="003757B9"/>
    <w:rsid w:val="003822A6"/>
    <w:rsid w:val="003839CC"/>
    <w:rsid w:val="00383C47"/>
    <w:rsid w:val="00384345"/>
    <w:rsid w:val="0038601A"/>
    <w:rsid w:val="0038682D"/>
    <w:rsid w:val="00386C10"/>
    <w:rsid w:val="00393689"/>
    <w:rsid w:val="0039508E"/>
    <w:rsid w:val="00396B9C"/>
    <w:rsid w:val="003A26A2"/>
    <w:rsid w:val="003A42C4"/>
    <w:rsid w:val="003B0BD4"/>
    <w:rsid w:val="003B3431"/>
    <w:rsid w:val="003B3A10"/>
    <w:rsid w:val="003B6833"/>
    <w:rsid w:val="003B7716"/>
    <w:rsid w:val="003B7801"/>
    <w:rsid w:val="003D3443"/>
    <w:rsid w:val="003E4BB2"/>
    <w:rsid w:val="003E7622"/>
    <w:rsid w:val="003F2773"/>
    <w:rsid w:val="003F2A80"/>
    <w:rsid w:val="003F30C9"/>
    <w:rsid w:val="003F3499"/>
    <w:rsid w:val="003F41C2"/>
    <w:rsid w:val="003F4995"/>
    <w:rsid w:val="0040479E"/>
    <w:rsid w:val="00404BDF"/>
    <w:rsid w:val="00405EE5"/>
    <w:rsid w:val="00405F15"/>
    <w:rsid w:val="00406275"/>
    <w:rsid w:val="004168CE"/>
    <w:rsid w:val="0041695F"/>
    <w:rsid w:val="00416A83"/>
    <w:rsid w:val="004206F6"/>
    <w:rsid w:val="00420F9A"/>
    <w:rsid w:val="00421387"/>
    <w:rsid w:val="00422049"/>
    <w:rsid w:val="00422461"/>
    <w:rsid w:val="00422474"/>
    <w:rsid w:val="004240A7"/>
    <w:rsid w:val="004248AC"/>
    <w:rsid w:val="00427B2E"/>
    <w:rsid w:val="004310AE"/>
    <w:rsid w:val="004335AF"/>
    <w:rsid w:val="00433B0C"/>
    <w:rsid w:val="00433BC7"/>
    <w:rsid w:val="004373F8"/>
    <w:rsid w:val="00437E02"/>
    <w:rsid w:val="004415E9"/>
    <w:rsid w:val="00441D31"/>
    <w:rsid w:val="0044494D"/>
    <w:rsid w:val="00451185"/>
    <w:rsid w:val="0045389C"/>
    <w:rsid w:val="00453D3D"/>
    <w:rsid w:val="00454583"/>
    <w:rsid w:val="00455193"/>
    <w:rsid w:val="0045759A"/>
    <w:rsid w:val="00457CBC"/>
    <w:rsid w:val="004608A6"/>
    <w:rsid w:val="004618CE"/>
    <w:rsid w:val="0046222A"/>
    <w:rsid w:val="00465FBF"/>
    <w:rsid w:val="00466715"/>
    <w:rsid w:val="0046677C"/>
    <w:rsid w:val="00470B97"/>
    <w:rsid w:val="00472D98"/>
    <w:rsid w:val="00476076"/>
    <w:rsid w:val="004765EA"/>
    <w:rsid w:val="004774EF"/>
    <w:rsid w:val="00477746"/>
    <w:rsid w:val="004809B0"/>
    <w:rsid w:val="00483A41"/>
    <w:rsid w:val="00485DE2"/>
    <w:rsid w:val="00485E73"/>
    <w:rsid w:val="0049005F"/>
    <w:rsid w:val="004901C0"/>
    <w:rsid w:val="004906E1"/>
    <w:rsid w:val="00493728"/>
    <w:rsid w:val="0049418F"/>
    <w:rsid w:val="00494BE4"/>
    <w:rsid w:val="004A03C8"/>
    <w:rsid w:val="004A1B58"/>
    <w:rsid w:val="004A2E80"/>
    <w:rsid w:val="004A369C"/>
    <w:rsid w:val="004A5D31"/>
    <w:rsid w:val="004A7827"/>
    <w:rsid w:val="004B21A6"/>
    <w:rsid w:val="004B37BD"/>
    <w:rsid w:val="004B3988"/>
    <w:rsid w:val="004B57BF"/>
    <w:rsid w:val="004B71BB"/>
    <w:rsid w:val="004C0CF1"/>
    <w:rsid w:val="004C2BA8"/>
    <w:rsid w:val="004C3E22"/>
    <w:rsid w:val="004C4D98"/>
    <w:rsid w:val="004D0310"/>
    <w:rsid w:val="004D0B07"/>
    <w:rsid w:val="004D0BF9"/>
    <w:rsid w:val="004D1121"/>
    <w:rsid w:val="004D49CB"/>
    <w:rsid w:val="004D701E"/>
    <w:rsid w:val="004D753E"/>
    <w:rsid w:val="004E1106"/>
    <w:rsid w:val="004E1250"/>
    <w:rsid w:val="004E15C8"/>
    <w:rsid w:val="004E2FF7"/>
    <w:rsid w:val="004E36C0"/>
    <w:rsid w:val="004E5232"/>
    <w:rsid w:val="004E6884"/>
    <w:rsid w:val="004F0DBA"/>
    <w:rsid w:val="004F1E80"/>
    <w:rsid w:val="004F23D7"/>
    <w:rsid w:val="004F25D8"/>
    <w:rsid w:val="004F356C"/>
    <w:rsid w:val="004F3A0C"/>
    <w:rsid w:val="004F4E08"/>
    <w:rsid w:val="004F72B1"/>
    <w:rsid w:val="00501A37"/>
    <w:rsid w:val="005058CD"/>
    <w:rsid w:val="00514D71"/>
    <w:rsid w:val="00515667"/>
    <w:rsid w:val="00521050"/>
    <w:rsid w:val="00521C1D"/>
    <w:rsid w:val="0052255A"/>
    <w:rsid w:val="00522711"/>
    <w:rsid w:val="00523A6B"/>
    <w:rsid w:val="00523CA5"/>
    <w:rsid w:val="005254E7"/>
    <w:rsid w:val="005267B9"/>
    <w:rsid w:val="00526BC1"/>
    <w:rsid w:val="00530E2F"/>
    <w:rsid w:val="005348AD"/>
    <w:rsid w:val="005363BD"/>
    <w:rsid w:val="00536723"/>
    <w:rsid w:val="00536873"/>
    <w:rsid w:val="005368B6"/>
    <w:rsid w:val="005401F3"/>
    <w:rsid w:val="00541BC0"/>
    <w:rsid w:val="00542400"/>
    <w:rsid w:val="00542C76"/>
    <w:rsid w:val="00542D07"/>
    <w:rsid w:val="0054495C"/>
    <w:rsid w:val="00545603"/>
    <w:rsid w:val="005465A9"/>
    <w:rsid w:val="00550D70"/>
    <w:rsid w:val="00552BED"/>
    <w:rsid w:val="005539D9"/>
    <w:rsid w:val="00554F2B"/>
    <w:rsid w:val="00556E22"/>
    <w:rsid w:val="00561315"/>
    <w:rsid w:val="00561803"/>
    <w:rsid w:val="00563D92"/>
    <w:rsid w:val="00564410"/>
    <w:rsid w:val="005644AA"/>
    <w:rsid w:val="0056457B"/>
    <w:rsid w:val="00565C5D"/>
    <w:rsid w:val="0056643D"/>
    <w:rsid w:val="005665C3"/>
    <w:rsid w:val="0056687C"/>
    <w:rsid w:val="00566BFA"/>
    <w:rsid w:val="00570433"/>
    <w:rsid w:val="0057099C"/>
    <w:rsid w:val="005713C6"/>
    <w:rsid w:val="005771DE"/>
    <w:rsid w:val="00577544"/>
    <w:rsid w:val="005827A8"/>
    <w:rsid w:val="005827F7"/>
    <w:rsid w:val="005832F8"/>
    <w:rsid w:val="00584538"/>
    <w:rsid w:val="00584ED0"/>
    <w:rsid w:val="00586F4D"/>
    <w:rsid w:val="00587164"/>
    <w:rsid w:val="0058793E"/>
    <w:rsid w:val="0059063A"/>
    <w:rsid w:val="005906B5"/>
    <w:rsid w:val="00591209"/>
    <w:rsid w:val="00592E91"/>
    <w:rsid w:val="005A0B44"/>
    <w:rsid w:val="005A1AED"/>
    <w:rsid w:val="005A2CA8"/>
    <w:rsid w:val="005A2FE0"/>
    <w:rsid w:val="005A4196"/>
    <w:rsid w:val="005A48C4"/>
    <w:rsid w:val="005A5600"/>
    <w:rsid w:val="005A6D1C"/>
    <w:rsid w:val="005A764B"/>
    <w:rsid w:val="005A7B0F"/>
    <w:rsid w:val="005B2B66"/>
    <w:rsid w:val="005B2F51"/>
    <w:rsid w:val="005B4CC7"/>
    <w:rsid w:val="005C12CC"/>
    <w:rsid w:val="005C2E80"/>
    <w:rsid w:val="005C6089"/>
    <w:rsid w:val="005C6FC3"/>
    <w:rsid w:val="005D72B8"/>
    <w:rsid w:val="005E05C4"/>
    <w:rsid w:val="005E0759"/>
    <w:rsid w:val="005E126B"/>
    <w:rsid w:val="005E1AFC"/>
    <w:rsid w:val="005E69F2"/>
    <w:rsid w:val="005E6F34"/>
    <w:rsid w:val="005E6FF2"/>
    <w:rsid w:val="005F1C39"/>
    <w:rsid w:val="005F517C"/>
    <w:rsid w:val="005F71F6"/>
    <w:rsid w:val="00600B2C"/>
    <w:rsid w:val="00600E8E"/>
    <w:rsid w:val="006060E0"/>
    <w:rsid w:val="00607581"/>
    <w:rsid w:val="0061312F"/>
    <w:rsid w:val="00613E02"/>
    <w:rsid w:val="006214FD"/>
    <w:rsid w:val="00622D6F"/>
    <w:rsid w:val="006250F9"/>
    <w:rsid w:val="006257A4"/>
    <w:rsid w:val="0062689A"/>
    <w:rsid w:val="00632521"/>
    <w:rsid w:val="00632787"/>
    <w:rsid w:val="00633234"/>
    <w:rsid w:val="006347F8"/>
    <w:rsid w:val="00641CB2"/>
    <w:rsid w:val="00645AC5"/>
    <w:rsid w:val="0064659B"/>
    <w:rsid w:val="00646C3D"/>
    <w:rsid w:val="00646FB0"/>
    <w:rsid w:val="006470D6"/>
    <w:rsid w:val="00652143"/>
    <w:rsid w:val="00653C39"/>
    <w:rsid w:val="0065641F"/>
    <w:rsid w:val="00656607"/>
    <w:rsid w:val="00656A40"/>
    <w:rsid w:val="00656A76"/>
    <w:rsid w:val="006611A6"/>
    <w:rsid w:val="006626AA"/>
    <w:rsid w:val="006656EC"/>
    <w:rsid w:val="006657CC"/>
    <w:rsid w:val="0066769B"/>
    <w:rsid w:val="0067032C"/>
    <w:rsid w:val="0067049B"/>
    <w:rsid w:val="00671CF1"/>
    <w:rsid w:val="006746D7"/>
    <w:rsid w:val="0067651E"/>
    <w:rsid w:val="00677486"/>
    <w:rsid w:val="006810D3"/>
    <w:rsid w:val="0068113E"/>
    <w:rsid w:val="00681B9D"/>
    <w:rsid w:val="00682769"/>
    <w:rsid w:val="006828CB"/>
    <w:rsid w:val="00683E29"/>
    <w:rsid w:val="00684849"/>
    <w:rsid w:val="006849A0"/>
    <w:rsid w:val="006850B2"/>
    <w:rsid w:val="00686A94"/>
    <w:rsid w:val="00687E46"/>
    <w:rsid w:val="006943D8"/>
    <w:rsid w:val="00695090"/>
    <w:rsid w:val="00697D61"/>
    <w:rsid w:val="006A1619"/>
    <w:rsid w:val="006A5136"/>
    <w:rsid w:val="006A76A3"/>
    <w:rsid w:val="006B1058"/>
    <w:rsid w:val="006B2C95"/>
    <w:rsid w:val="006B4994"/>
    <w:rsid w:val="006B52D8"/>
    <w:rsid w:val="006B63B6"/>
    <w:rsid w:val="006C2022"/>
    <w:rsid w:val="006C25B0"/>
    <w:rsid w:val="006C3F36"/>
    <w:rsid w:val="006C46C0"/>
    <w:rsid w:val="006C4734"/>
    <w:rsid w:val="006C4C75"/>
    <w:rsid w:val="006D0BDA"/>
    <w:rsid w:val="006D2600"/>
    <w:rsid w:val="006D3B12"/>
    <w:rsid w:val="006D4B0F"/>
    <w:rsid w:val="006E0893"/>
    <w:rsid w:val="006E0A01"/>
    <w:rsid w:val="006E4858"/>
    <w:rsid w:val="006E55D5"/>
    <w:rsid w:val="006E774D"/>
    <w:rsid w:val="006F2E7C"/>
    <w:rsid w:val="006F33C8"/>
    <w:rsid w:val="006F6061"/>
    <w:rsid w:val="006F7A47"/>
    <w:rsid w:val="00700715"/>
    <w:rsid w:val="00701517"/>
    <w:rsid w:val="00704502"/>
    <w:rsid w:val="00705E66"/>
    <w:rsid w:val="0070624D"/>
    <w:rsid w:val="007070FC"/>
    <w:rsid w:val="00707517"/>
    <w:rsid w:val="00707AEA"/>
    <w:rsid w:val="00707EF7"/>
    <w:rsid w:val="007116B4"/>
    <w:rsid w:val="007116DD"/>
    <w:rsid w:val="00711B61"/>
    <w:rsid w:val="00713DEB"/>
    <w:rsid w:val="00713FB0"/>
    <w:rsid w:val="0071712F"/>
    <w:rsid w:val="00717146"/>
    <w:rsid w:val="00720328"/>
    <w:rsid w:val="00721A94"/>
    <w:rsid w:val="007234DD"/>
    <w:rsid w:val="00724688"/>
    <w:rsid w:val="007251BA"/>
    <w:rsid w:val="007279CA"/>
    <w:rsid w:val="00727B53"/>
    <w:rsid w:val="00730497"/>
    <w:rsid w:val="00732A0D"/>
    <w:rsid w:val="00734E16"/>
    <w:rsid w:val="00734EF8"/>
    <w:rsid w:val="007378D0"/>
    <w:rsid w:val="00742D8C"/>
    <w:rsid w:val="00744189"/>
    <w:rsid w:val="00746AC8"/>
    <w:rsid w:val="007530D1"/>
    <w:rsid w:val="0075671B"/>
    <w:rsid w:val="00757769"/>
    <w:rsid w:val="00757EC8"/>
    <w:rsid w:val="00761A8C"/>
    <w:rsid w:val="00762AB8"/>
    <w:rsid w:val="00763C3A"/>
    <w:rsid w:val="007656A2"/>
    <w:rsid w:val="00766DBB"/>
    <w:rsid w:val="00767A09"/>
    <w:rsid w:val="0077080F"/>
    <w:rsid w:val="00773997"/>
    <w:rsid w:val="00775DD2"/>
    <w:rsid w:val="00780F20"/>
    <w:rsid w:val="00781E77"/>
    <w:rsid w:val="00783493"/>
    <w:rsid w:val="00783AA2"/>
    <w:rsid w:val="00785B13"/>
    <w:rsid w:val="00785DA1"/>
    <w:rsid w:val="00786D0B"/>
    <w:rsid w:val="007929DE"/>
    <w:rsid w:val="007930C3"/>
    <w:rsid w:val="007945E9"/>
    <w:rsid w:val="007A03CE"/>
    <w:rsid w:val="007A139B"/>
    <w:rsid w:val="007A2DF0"/>
    <w:rsid w:val="007A41BF"/>
    <w:rsid w:val="007A44CB"/>
    <w:rsid w:val="007A44DB"/>
    <w:rsid w:val="007A4D60"/>
    <w:rsid w:val="007B4DFA"/>
    <w:rsid w:val="007B69C4"/>
    <w:rsid w:val="007C090F"/>
    <w:rsid w:val="007C099A"/>
    <w:rsid w:val="007C14CB"/>
    <w:rsid w:val="007C1F6A"/>
    <w:rsid w:val="007C2F03"/>
    <w:rsid w:val="007C4047"/>
    <w:rsid w:val="007C4E43"/>
    <w:rsid w:val="007C6DE3"/>
    <w:rsid w:val="007D209D"/>
    <w:rsid w:val="007D5BBC"/>
    <w:rsid w:val="007E4FFC"/>
    <w:rsid w:val="007E74D3"/>
    <w:rsid w:val="007E779F"/>
    <w:rsid w:val="007F250D"/>
    <w:rsid w:val="007F4DDC"/>
    <w:rsid w:val="007F509B"/>
    <w:rsid w:val="0080506E"/>
    <w:rsid w:val="00805CB5"/>
    <w:rsid w:val="0080733C"/>
    <w:rsid w:val="00812C72"/>
    <w:rsid w:val="008131F7"/>
    <w:rsid w:val="008169BC"/>
    <w:rsid w:val="00817DAF"/>
    <w:rsid w:val="0082014D"/>
    <w:rsid w:val="00820227"/>
    <w:rsid w:val="00820E0B"/>
    <w:rsid w:val="008232EE"/>
    <w:rsid w:val="00825767"/>
    <w:rsid w:val="00825BB0"/>
    <w:rsid w:val="00826B9B"/>
    <w:rsid w:val="008279AA"/>
    <w:rsid w:val="00833302"/>
    <w:rsid w:val="00834480"/>
    <w:rsid w:val="00835873"/>
    <w:rsid w:val="0083587A"/>
    <w:rsid w:val="00840B23"/>
    <w:rsid w:val="00843555"/>
    <w:rsid w:val="00843E7B"/>
    <w:rsid w:val="008442A0"/>
    <w:rsid w:val="00844E68"/>
    <w:rsid w:val="00850E63"/>
    <w:rsid w:val="00852507"/>
    <w:rsid w:val="0085408E"/>
    <w:rsid w:val="0085480C"/>
    <w:rsid w:val="00854958"/>
    <w:rsid w:val="008559D1"/>
    <w:rsid w:val="0086082A"/>
    <w:rsid w:val="00860ABC"/>
    <w:rsid w:val="00862658"/>
    <w:rsid w:val="008643A7"/>
    <w:rsid w:val="00864837"/>
    <w:rsid w:val="00866406"/>
    <w:rsid w:val="00866846"/>
    <w:rsid w:val="00866BBE"/>
    <w:rsid w:val="00867099"/>
    <w:rsid w:val="00867C12"/>
    <w:rsid w:val="008734D4"/>
    <w:rsid w:val="008748DC"/>
    <w:rsid w:val="00876102"/>
    <w:rsid w:val="00880B5A"/>
    <w:rsid w:val="00880EDA"/>
    <w:rsid w:val="00881566"/>
    <w:rsid w:val="00882980"/>
    <w:rsid w:val="00883C9D"/>
    <w:rsid w:val="00885960"/>
    <w:rsid w:val="00886916"/>
    <w:rsid w:val="008874FF"/>
    <w:rsid w:val="008926DD"/>
    <w:rsid w:val="008930F2"/>
    <w:rsid w:val="00895FFB"/>
    <w:rsid w:val="00896C02"/>
    <w:rsid w:val="008A48E2"/>
    <w:rsid w:val="008A6B60"/>
    <w:rsid w:val="008B02D8"/>
    <w:rsid w:val="008B1EE7"/>
    <w:rsid w:val="008B3CEA"/>
    <w:rsid w:val="008B49A5"/>
    <w:rsid w:val="008C0AC6"/>
    <w:rsid w:val="008C0DEA"/>
    <w:rsid w:val="008C122C"/>
    <w:rsid w:val="008C5F5F"/>
    <w:rsid w:val="008D05F3"/>
    <w:rsid w:val="008D18B0"/>
    <w:rsid w:val="008D2423"/>
    <w:rsid w:val="008D2E51"/>
    <w:rsid w:val="008D57D8"/>
    <w:rsid w:val="008D6E7B"/>
    <w:rsid w:val="008E0C30"/>
    <w:rsid w:val="008E1221"/>
    <w:rsid w:val="008E3ABD"/>
    <w:rsid w:val="008E58F2"/>
    <w:rsid w:val="008E7E7E"/>
    <w:rsid w:val="008F2279"/>
    <w:rsid w:val="00900A71"/>
    <w:rsid w:val="00900F14"/>
    <w:rsid w:val="00902BCF"/>
    <w:rsid w:val="009039F3"/>
    <w:rsid w:val="0091495C"/>
    <w:rsid w:val="00914B3D"/>
    <w:rsid w:val="00914DC5"/>
    <w:rsid w:val="0091653F"/>
    <w:rsid w:val="009218E9"/>
    <w:rsid w:val="009219CF"/>
    <w:rsid w:val="009243FF"/>
    <w:rsid w:val="00925715"/>
    <w:rsid w:val="00925985"/>
    <w:rsid w:val="009259C5"/>
    <w:rsid w:val="00932349"/>
    <w:rsid w:val="00933718"/>
    <w:rsid w:val="00933BA2"/>
    <w:rsid w:val="00935F77"/>
    <w:rsid w:val="00936DF7"/>
    <w:rsid w:val="00940FAF"/>
    <w:rsid w:val="009410CE"/>
    <w:rsid w:val="0094136F"/>
    <w:rsid w:val="009479F9"/>
    <w:rsid w:val="00952587"/>
    <w:rsid w:val="0095278E"/>
    <w:rsid w:val="00952C36"/>
    <w:rsid w:val="00954214"/>
    <w:rsid w:val="00955210"/>
    <w:rsid w:val="00955BA5"/>
    <w:rsid w:val="00955BCA"/>
    <w:rsid w:val="009565D0"/>
    <w:rsid w:val="00957852"/>
    <w:rsid w:val="00962DF9"/>
    <w:rsid w:val="00963675"/>
    <w:rsid w:val="00963D9A"/>
    <w:rsid w:val="0097054D"/>
    <w:rsid w:val="00971464"/>
    <w:rsid w:val="00971C3A"/>
    <w:rsid w:val="009757E1"/>
    <w:rsid w:val="00975B13"/>
    <w:rsid w:val="009771D6"/>
    <w:rsid w:val="00980109"/>
    <w:rsid w:val="00982B73"/>
    <w:rsid w:val="00983070"/>
    <w:rsid w:val="00983EAC"/>
    <w:rsid w:val="00985752"/>
    <w:rsid w:val="00987DBF"/>
    <w:rsid w:val="00990D56"/>
    <w:rsid w:val="00991F26"/>
    <w:rsid w:val="00992CB6"/>
    <w:rsid w:val="009936D6"/>
    <w:rsid w:val="00994CFF"/>
    <w:rsid w:val="00994F38"/>
    <w:rsid w:val="00995CEC"/>
    <w:rsid w:val="00995EC2"/>
    <w:rsid w:val="009A0B91"/>
    <w:rsid w:val="009A1BD0"/>
    <w:rsid w:val="009A269F"/>
    <w:rsid w:val="009A414A"/>
    <w:rsid w:val="009A4FD7"/>
    <w:rsid w:val="009A58F6"/>
    <w:rsid w:val="009A7A30"/>
    <w:rsid w:val="009B0C9E"/>
    <w:rsid w:val="009B2735"/>
    <w:rsid w:val="009B62BC"/>
    <w:rsid w:val="009C1C8C"/>
    <w:rsid w:val="009C2135"/>
    <w:rsid w:val="009D014F"/>
    <w:rsid w:val="009D1943"/>
    <w:rsid w:val="009D1C19"/>
    <w:rsid w:val="009D3445"/>
    <w:rsid w:val="009D3D7B"/>
    <w:rsid w:val="009D5BFD"/>
    <w:rsid w:val="009D5DC5"/>
    <w:rsid w:val="009D7088"/>
    <w:rsid w:val="009D70C0"/>
    <w:rsid w:val="009E0402"/>
    <w:rsid w:val="009E07D8"/>
    <w:rsid w:val="009E4F31"/>
    <w:rsid w:val="009E63E0"/>
    <w:rsid w:val="009E6BD0"/>
    <w:rsid w:val="009E718D"/>
    <w:rsid w:val="009F0264"/>
    <w:rsid w:val="009F4F59"/>
    <w:rsid w:val="009F7FE5"/>
    <w:rsid w:val="00A013E7"/>
    <w:rsid w:val="00A01C66"/>
    <w:rsid w:val="00A060E9"/>
    <w:rsid w:val="00A07553"/>
    <w:rsid w:val="00A103E5"/>
    <w:rsid w:val="00A14B18"/>
    <w:rsid w:val="00A174B1"/>
    <w:rsid w:val="00A22555"/>
    <w:rsid w:val="00A228B9"/>
    <w:rsid w:val="00A2681C"/>
    <w:rsid w:val="00A27F6D"/>
    <w:rsid w:val="00A3203B"/>
    <w:rsid w:val="00A34D8E"/>
    <w:rsid w:val="00A353C2"/>
    <w:rsid w:val="00A44324"/>
    <w:rsid w:val="00A45B0F"/>
    <w:rsid w:val="00A46E2D"/>
    <w:rsid w:val="00A51017"/>
    <w:rsid w:val="00A639E1"/>
    <w:rsid w:val="00A63A89"/>
    <w:rsid w:val="00A67A5D"/>
    <w:rsid w:val="00A708F8"/>
    <w:rsid w:val="00A72A8E"/>
    <w:rsid w:val="00A752EA"/>
    <w:rsid w:val="00A77822"/>
    <w:rsid w:val="00A77E70"/>
    <w:rsid w:val="00A801BF"/>
    <w:rsid w:val="00A82366"/>
    <w:rsid w:val="00A86659"/>
    <w:rsid w:val="00A873A9"/>
    <w:rsid w:val="00A9028F"/>
    <w:rsid w:val="00A927D8"/>
    <w:rsid w:val="00A9678C"/>
    <w:rsid w:val="00A96F8A"/>
    <w:rsid w:val="00AA1F7E"/>
    <w:rsid w:val="00AA3C63"/>
    <w:rsid w:val="00AA4EAF"/>
    <w:rsid w:val="00AA5861"/>
    <w:rsid w:val="00AB0539"/>
    <w:rsid w:val="00AB1B23"/>
    <w:rsid w:val="00AB36C7"/>
    <w:rsid w:val="00AC04EC"/>
    <w:rsid w:val="00AC0609"/>
    <w:rsid w:val="00AC22CA"/>
    <w:rsid w:val="00AC4ECE"/>
    <w:rsid w:val="00AD2734"/>
    <w:rsid w:val="00AD428A"/>
    <w:rsid w:val="00AD6202"/>
    <w:rsid w:val="00AD7F7C"/>
    <w:rsid w:val="00AE04C7"/>
    <w:rsid w:val="00AE378B"/>
    <w:rsid w:val="00AE381D"/>
    <w:rsid w:val="00AE5441"/>
    <w:rsid w:val="00AE73C5"/>
    <w:rsid w:val="00AF06BA"/>
    <w:rsid w:val="00AF12C8"/>
    <w:rsid w:val="00AF21F7"/>
    <w:rsid w:val="00AF2DD9"/>
    <w:rsid w:val="00AF2FE4"/>
    <w:rsid w:val="00AF46E0"/>
    <w:rsid w:val="00AF46EB"/>
    <w:rsid w:val="00AF47C3"/>
    <w:rsid w:val="00AF6F6D"/>
    <w:rsid w:val="00AF7813"/>
    <w:rsid w:val="00B00296"/>
    <w:rsid w:val="00B03395"/>
    <w:rsid w:val="00B04232"/>
    <w:rsid w:val="00B04EC4"/>
    <w:rsid w:val="00B062AE"/>
    <w:rsid w:val="00B163B4"/>
    <w:rsid w:val="00B16A04"/>
    <w:rsid w:val="00B16C2C"/>
    <w:rsid w:val="00B217F0"/>
    <w:rsid w:val="00B22109"/>
    <w:rsid w:val="00B22822"/>
    <w:rsid w:val="00B23BE4"/>
    <w:rsid w:val="00B25769"/>
    <w:rsid w:val="00B25EAC"/>
    <w:rsid w:val="00B4044A"/>
    <w:rsid w:val="00B44364"/>
    <w:rsid w:val="00B45C26"/>
    <w:rsid w:val="00B50020"/>
    <w:rsid w:val="00B506E4"/>
    <w:rsid w:val="00B51FD4"/>
    <w:rsid w:val="00B538B7"/>
    <w:rsid w:val="00B53A58"/>
    <w:rsid w:val="00B54F50"/>
    <w:rsid w:val="00B55E3C"/>
    <w:rsid w:val="00B55EF4"/>
    <w:rsid w:val="00B56808"/>
    <w:rsid w:val="00B5730E"/>
    <w:rsid w:val="00B60F88"/>
    <w:rsid w:val="00B61C93"/>
    <w:rsid w:val="00B65933"/>
    <w:rsid w:val="00B6773B"/>
    <w:rsid w:val="00B709D1"/>
    <w:rsid w:val="00B70F21"/>
    <w:rsid w:val="00B72319"/>
    <w:rsid w:val="00B72C9E"/>
    <w:rsid w:val="00B7331B"/>
    <w:rsid w:val="00B7375F"/>
    <w:rsid w:val="00B73AEA"/>
    <w:rsid w:val="00B767A6"/>
    <w:rsid w:val="00B804FD"/>
    <w:rsid w:val="00B816C0"/>
    <w:rsid w:val="00B8651D"/>
    <w:rsid w:val="00B9171F"/>
    <w:rsid w:val="00B95678"/>
    <w:rsid w:val="00BA247E"/>
    <w:rsid w:val="00BA2878"/>
    <w:rsid w:val="00BA5604"/>
    <w:rsid w:val="00BB2711"/>
    <w:rsid w:val="00BB7A44"/>
    <w:rsid w:val="00BC0473"/>
    <w:rsid w:val="00BC139F"/>
    <w:rsid w:val="00BC4EA9"/>
    <w:rsid w:val="00BC60ED"/>
    <w:rsid w:val="00BC638D"/>
    <w:rsid w:val="00BD2334"/>
    <w:rsid w:val="00BD5125"/>
    <w:rsid w:val="00BD5F44"/>
    <w:rsid w:val="00BD6519"/>
    <w:rsid w:val="00BD734F"/>
    <w:rsid w:val="00BD7984"/>
    <w:rsid w:val="00BE0960"/>
    <w:rsid w:val="00BE0BE9"/>
    <w:rsid w:val="00BE40FB"/>
    <w:rsid w:val="00BE5BC0"/>
    <w:rsid w:val="00BF214B"/>
    <w:rsid w:val="00BF2358"/>
    <w:rsid w:val="00BF25F1"/>
    <w:rsid w:val="00BF61DB"/>
    <w:rsid w:val="00BF62BD"/>
    <w:rsid w:val="00BF6394"/>
    <w:rsid w:val="00BF7B43"/>
    <w:rsid w:val="00C01CD8"/>
    <w:rsid w:val="00C037EE"/>
    <w:rsid w:val="00C05B65"/>
    <w:rsid w:val="00C07E2F"/>
    <w:rsid w:val="00C11D0E"/>
    <w:rsid w:val="00C1243A"/>
    <w:rsid w:val="00C137BE"/>
    <w:rsid w:val="00C147CF"/>
    <w:rsid w:val="00C16B94"/>
    <w:rsid w:val="00C17375"/>
    <w:rsid w:val="00C2199A"/>
    <w:rsid w:val="00C25E8C"/>
    <w:rsid w:val="00C27218"/>
    <w:rsid w:val="00C27632"/>
    <w:rsid w:val="00C27719"/>
    <w:rsid w:val="00C27C9D"/>
    <w:rsid w:val="00C309EE"/>
    <w:rsid w:val="00C30AA2"/>
    <w:rsid w:val="00C32532"/>
    <w:rsid w:val="00C3490F"/>
    <w:rsid w:val="00C352B5"/>
    <w:rsid w:val="00C353CC"/>
    <w:rsid w:val="00C35B04"/>
    <w:rsid w:val="00C36291"/>
    <w:rsid w:val="00C370F0"/>
    <w:rsid w:val="00C37DE0"/>
    <w:rsid w:val="00C4103C"/>
    <w:rsid w:val="00C410AD"/>
    <w:rsid w:val="00C414D2"/>
    <w:rsid w:val="00C440E1"/>
    <w:rsid w:val="00C4447B"/>
    <w:rsid w:val="00C51B41"/>
    <w:rsid w:val="00C60629"/>
    <w:rsid w:val="00C64E8F"/>
    <w:rsid w:val="00C6560E"/>
    <w:rsid w:val="00C65A74"/>
    <w:rsid w:val="00C70871"/>
    <w:rsid w:val="00C710B9"/>
    <w:rsid w:val="00C71EB1"/>
    <w:rsid w:val="00C71F90"/>
    <w:rsid w:val="00C75331"/>
    <w:rsid w:val="00C758D1"/>
    <w:rsid w:val="00C759C9"/>
    <w:rsid w:val="00C776F1"/>
    <w:rsid w:val="00C81620"/>
    <w:rsid w:val="00C85192"/>
    <w:rsid w:val="00C857D8"/>
    <w:rsid w:val="00C90817"/>
    <w:rsid w:val="00C91686"/>
    <w:rsid w:val="00C91F7F"/>
    <w:rsid w:val="00CA09B8"/>
    <w:rsid w:val="00CA1A75"/>
    <w:rsid w:val="00CA1B49"/>
    <w:rsid w:val="00CA209F"/>
    <w:rsid w:val="00CA59F6"/>
    <w:rsid w:val="00CA6103"/>
    <w:rsid w:val="00CB399D"/>
    <w:rsid w:val="00CB6A25"/>
    <w:rsid w:val="00CC17B5"/>
    <w:rsid w:val="00CC2A28"/>
    <w:rsid w:val="00CC335F"/>
    <w:rsid w:val="00CC37AC"/>
    <w:rsid w:val="00CC3CA2"/>
    <w:rsid w:val="00CC59CF"/>
    <w:rsid w:val="00CC62CF"/>
    <w:rsid w:val="00CC6E0E"/>
    <w:rsid w:val="00CC7A8F"/>
    <w:rsid w:val="00CD0DE6"/>
    <w:rsid w:val="00CD1A6A"/>
    <w:rsid w:val="00CD1EA4"/>
    <w:rsid w:val="00CD2182"/>
    <w:rsid w:val="00CD2841"/>
    <w:rsid w:val="00CD7853"/>
    <w:rsid w:val="00CD7A67"/>
    <w:rsid w:val="00CE1521"/>
    <w:rsid w:val="00CE152B"/>
    <w:rsid w:val="00CE1A8A"/>
    <w:rsid w:val="00CE59DD"/>
    <w:rsid w:val="00CE5CC0"/>
    <w:rsid w:val="00CE7272"/>
    <w:rsid w:val="00CF1A13"/>
    <w:rsid w:val="00CF1EF4"/>
    <w:rsid w:val="00CF2D70"/>
    <w:rsid w:val="00CF3B25"/>
    <w:rsid w:val="00CF4A62"/>
    <w:rsid w:val="00CF4B8D"/>
    <w:rsid w:val="00CF5F45"/>
    <w:rsid w:val="00CF79ED"/>
    <w:rsid w:val="00D0076A"/>
    <w:rsid w:val="00D014BE"/>
    <w:rsid w:val="00D016B0"/>
    <w:rsid w:val="00D02CB0"/>
    <w:rsid w:val="00D04061"/>
    <w:rsid w:val="00D04135"/>
    <w:rsid w:val="00D041AE"/>
    <w:rsid w:val="00D07000"/>
    <w:rsid w:val="00D079C6"/>
    <w:rsid w:val="00D11A56"/>
    <w:rsid w:val="00D14211"/>
    <w:rsid w:val="00D16EF4"/>
    <w:rsid w:val="00D2248C"/>
    <w:rsid w:val="00D23A03"/>
    <w:rsid w:val="00D23C27"/>
    <w:rsid w:val="00D27D79"/>
    <w:rsid w:val="00D3167E"/>
    <w:rsid w:val="00D3202F"/>
    <w:rsid w:val="00D36DB9"/>
    <w:rsid w:val="00D37DAB"/>
    <w:rsid w:val="00D402C3"/>
    <w:rsid w:val="00D4263B"/>
    <w:rsid w:val="00D44475"/>
    <w:rsid w:val="00D45A48"/>
    <w:rsid w:val="00D464EF"/>
    <w:rsid w:val="00D46677"/>
    <w:rsid w:val="00D5120C"/>
    <w:rsid w:val="00D54527"/>
    <w:rsid w:val="00D54C39"/>
    <w:rsid w:val="00D55730"/>
    <w:rsid w:val="00D60DA6"/>
    <w:rsid w:val="00D628B6"/>
    <w:rsid w:val="00D62A3B"/>
    <w:rsid w:val="00D63459"/>
    <w:rsid w:val="00D63527"/>
    <w:rsid w:val="00D6390B"/>
    <w:rsid w:val="00D63E4F"/>
    <w:rsid w:val="00D64C35"/>
    <w:rsid w:val="00D65360"/>
    <w:rsid w:val="00D70CD4"/>
    <w:rsid w:val="00D71460"/>
    <w:rsid w:val="00D74967"/>
    <w:rsid w:val="00D74CD9"/>
    <w:rsid w:val="00D81BB7"/>
    <w:rsid w:val="00D81C26"/>
    <w:rsid w:val="00D877B0"/>
    <w:rsid w:val="00D90C31"/>
    <w:rsid w:val="00D9155B"/>
    <w:rsid w:val="00D91F61"/>
    <w:rsid w:val="00D93F5B"/>
    <w:rsid w:val="00D96228"/>
    <w:rsid w:val="00DA0839"/>
    <w:rsid w:val="00DA4F04"/>
    <w:rsid w:val="00DA51D6"/>
    <w:rsid w:val="00DA74AA"/>
    <w:rsid w:val="00DA7F24"/>
    <w:rsid w:val="00DB1751"/>
    <w:rsid w:val="00DB35EC"/>
    <w:rsid w:val="00DB39C9"/>
    <w:rsid w:val="00DB3B41"/>
    <w:rsid w:val="00DB3FF4"/>
    <w:rsid w:val="00DB40FB"/>
    <w:rsid w:val="00DB535D"/>
    <w:rsid w:val="00DB5374"/>
    <w:rsid w:val="00DC0055"/>
    <w:rsid w:val="00DC039E"/>
    <w:rsid w:val="00DC1067"/>
    <w:rsid w:val="00DC1669"/>
    <w:rsid w:val="00DC3185"/>
    <w:rsid w:val="00DC7D2F"/>
    <w:rsid w:val="00DD292D"/>
    <w:rsid w:val="00DD4964"/>
    <w:rsid w:val="00DD503F"/>
    <w:rsid w:val="00DE1C6D"/>
    <w:rsid w:val="00DE3CF8"/>
    <w:rsid w:val="00DE4BAB"/>
    <w:rsid w:val="00DE4C92"/>
    <w:rsid w:val="00DE66A4"/>
    <w:rsid w:val="00DE78E6"/>
    <w:rsid w:val="00DE78F6"/>
    <w:rsid w:val="00DF3AF4"/>
    <w:rsid w:val="00DF7C9B"/>
    <w:rsid w:val="00E00EFD"/>
    <w:rsid w:val="00E01953"/>
    <w:rsid w:val="00E02924"/>
    <w:rsid w:val="00E036BD"/>
    <w:rsid w:val="00E04D98"/>
    <w:rsid w:val="00E0530D"/>
    <w:rsid w:val="00E065B8"/>
    <w:rsid w:val="00E109AF"/>
    <w:rsid w:val="00E11203"/>
    <w:rsid w:val="00E15A6E"/>
    <w:rsid w:val="00E2028D"/>
    <w:rsid w:val="00E20AC5"/>
    <w:rsid w:val="00E21BAF"/>
    <w:rsid w:val="00E236C0"/>
    <w:rsid w:val="00E237D9"/>
    <w:rsid w:val="00E239E4"/>
    <w:rsid w:val="00E25236"/>
    <w:rsid w:val="00E30CC7"/>
    <w:rsid w:val="00E316B2"/>
    <w:rsid w:val="00E34D2E"/>
    <w:rsid w:val="00E36DE1"/>
    <w:rsid w:val="00E37302"/>
    <w:rsid w:val="00E408FD"/>
    <w:rsid w:val="00E41063"/>
    <w:rsid w:val="00E418A3"/>
    <w:rsid w:val="00E432C8"/>
    <w:rsid w:val="00E475E0"/>
    <w:rsid w:val="00E50AA8"/>
    <w:rsid w:val="00E54341"/>
    <w:rsid w:val="00E55391"/>
    <w:rsid w:val="00E5569D"/>
    <w:rsid w:val="00E55904"/>
    <w:rsid w:val="00E55963"/>
    <w:rsid w:val="00E565D9"/>
    <w:rsid w:val="00E57AE5"/>
    <w:rsid w:val="00E60DA0"/>
    <w:rsid w:val="00E626CF"/>
    <w:rsid w:val="00E63048"/>
    <w:rsid w:val="00E63AEB"/>
    <w:rsid w:val="00E64492"/>
    <w:rsid w:val="00E6706D"/>
    <w:rsid w:val="00E677EB"/>
    <w:rsid w:val="00E713E4"/>
    <w:rsid w:val="00E713E5"/>
    <w:rsid w:val="00E721B0"/>
    <w:rsid w:val="00E73CA5"/>
    <w:rsid w:val="00E8035C"/>
    <w:rsid w:val="00E81E94"/>
    <w:rsid w:val="00E840E6"/>
    <w:rsid w:val="00E84103"/>
    <w:rsid w:val="00E859F3"/>
    <w:rsid w:val="00E87B39"/>
    <w:rsid w:val="00E9394C"/>
    <w:rsid w:val="00E96C23"/>
    <w:rsid w:val="00E96FDF"/>
    <w:rsid w:val="00EA0662"/>
    <w:rsid w:val="00EA0C5B"/>
    <w:rsid w:val="00EA1464"/>
    <w:rsid w:val="00EA293A"/>
    <w:rsid w:val="00EB3700"/>
    <w:rsid w:val="00EB3E1E"/>
    <w:rsid w:val="00EB42D3"/>
    <w:rsid w:val="00EB53A3"/>
    <w:rsid w:val="00EB6D36"/>
    <w:rsid w:val="00EC1B12"/>
    <w:rsid w:val="00EC4DF3"/>
    <w:rsid w:val="00EC5107"/>
    <w:rsid w:val="00EC5BDE"/>
    <w:rsid w:val="00EC5CC7"/>
    <w:rsid w:val="00ED1DA5"/>
    <w:rsid w:val="00ED331A"/>
    <w:rsid w:val="00ED527D"/>
    <w:rsid w:val="00ED5728"/>
    <w:rsid w:val="00ED6393"/>
    <w:rsid w:val="00ED760C"/>
    <w:rsid w:val="00EE02D8"/>
    <w:rsid w:val="00EE110F"/>
    <w:rsid w:val="00EE2585"/>
    <w:rsid w:val="00EE3AEB"/>
    <w:rsid w:val="00EE3C6E"/>
    <w:rsid w:val="00EE3F0B"/>
    <w:rsid w:val="00EE60F5"/>
    <w:rsid w:val="00EE68DC"/>
    <w:rsid w:val="00EE71A1"/>
    <w:rsid w:val="00EF06DB"/>
    <w:rsid w:val="00EF2553"/>
    <w:rsid w:val="00EF4BF0"/>
    <w:rsid w:val="00EF4F20"/>
    <w:rsid w:val="00EF4FC9"/>
    <w:rsid w:val="00EF6B4B"/>
    <w:rsid w:val="00EF6EE7"/>
    <w:rsid w:val="00EF79A7"/>
    <w:rsid w:val="00EF79A9"/>
    <w:rsid w:val="00EF7D5D"/>
    <w:rsid w:val="00F00D59"/>
    <w:rsid w:val="00F013FD"/>
    <w:rsid w:val="00F03028"/>
    <w:rsid w:val="00F048C4"/>
    <w:rsid w:val="00F0607A"/>
    <w:rsid w:val="00F07041"/>
    <w:rsid w:val="00F07360"/>
    <w:rsid w:val="00F13913"/>
    <w:rsid w:val="00F142B1"/>
    <w:rsid w:val="00F14AF1"/>
    <w:rsid w:val="00F14D56"/>
    <w:rsid w:val="00F14D96"/>
    <w:rsid w:val="00F15256"/>
    <w:rsid w:val="00F15D13"/>
    <w:rsid w:val="00F176DA"/>
    <w:rsid w:val="00F2139B"/>
    <w:rsid w:val="00F2216E"/>
    <w:rsid w:val="00F225A1"/>
    <w:rsid w:val="00F2353A"/>
    <w:rsid w:val="00F2478E"/>
    <w:rsid w:val="00F24873"/>
    <w:rsid w:val="00F25807"/>
    <w:rsid w:val="00F266B6"/>
    <w:rsid w:val="00F3007D"/>
    <w:rsid w:val="00F32F4D"/>
    <w:rsid w:val="00F336C6"/>
    <w:rsid w:val="00F33D3E"/>
    <w:rsid w:val="00F33EE7"/>
    <w:rsid w:val="00F34D8C"/>
    <w:rsid w:val="00F34E77"/>
    <w:rsid w:val="00F36D84"/>
    <w:rsid w:val="00F36FA9"/>
    <w:rsid w:val="00F402BC"/>
    <w:rsid w:val="00F4074C"/>
    <w:rsid w:val="00F44D24"/>
    <w:rsid w:val="00F47D39"/>
    <w:rsid w:val="00F532C2"/>
    <w:rsid w:val="00F57405"/>
    <w:rsid w:val="00F57DD2"/>
    <w:rsid w:val="00F61024"/>
    <w:rsid w:val="00F6165E"/>
    <w:rsid w:val="00F62593"/>
    <w:rsid w:val="00F62A5E"/>
    <w:rsid w:val="00F6465F"/>
    <w:rsid w:val="00F66245"/>
    <w:rsid w:val="00F67819"/>
    <w:rsid w:val="00F711E1"/>
    <w:rsid w:val="00F72D04"/>
    <w:rsid w:val="00F751B4"/>
    <w:rsid w:val="00F75B74"/>
    <w:rsid w:val="00F75EBD"/>
    <w:rsid w:val="00F8262E"/>
    <w:rsid w:val="00F84B89"/>
    <w:rsid w:val="00F855E2"/>
    <w:rsid w:val="00F85B21"/>
    <w:rsid w:val="00F86506"/>
    <w:rsid w:val="00F903C0"/>
    <w:rsid w:val="00F90F68"/>
    <w:rsid w:val="00F93CD5"/>
    <w:rsid w:val="00F9517D"/>
    <w:rsid w:val="00F96024"/>
    <w:rsid w:val="00F970C1"/>
    <w:rsid w:val="00F9729F"/>
    <w:rsid w:val="00FA217E"/>
    <w:rsid w:val="00FA6E29"/>
    <w:rsid w:val="00FB0800"/>
    <w:rsid w:val="00FB22EF"/>
    <w:rsid w:val="00FB50A5"/>
    <w:rsid w:val="00FB571A"/>
    <w:rsid w:val="00FC016D"/>
    <w:rsid w:val="00FC3B00"/>
    <w:rsid w:val="00FC4DAB"/>
    <w:rsid w:val="00FC725E"/>
    <w:rsid w:val="00FD054E"/>
    <w:rsid w:val="00FD0A33"/>
    <w:rsid w:val="00FD1E0E"/>
    <w:rsid w:val="00FD24D1"/>
    <w:rsid w:val="00FD28B9"/>
    <w:rsid w:val="00FE2D7B"/>
    <w:rsid w:val="00FE3082"/>
    <w:rsid w:val="00FE36B9"/>
    <w:rsid w:val="00FE522A"/>
    <w:rsid w:val="00FE56A2"/>
    <w:rsid w:val="00FE57AD"/>
    <w:rsid w:val="00FF1452"/>
    <w:rsid w:val="00FF14B6"/>
    <w:rsid w:val="00FF1F6D"/>
    <w:rsid w:val="00FF4CA9"/>
    <w:rsid w:val="00FF5D09"/>
    <w:rsid w:val="00FF71B5"/>
    <w:rsid w:val="06923289"/>
    <w:rsid w:val="0B702D7E"/>
    <w:rsid w:val="15BC3062"/>
    <w:rsid w:val="1DFA16B9"/>
    <w:rsid w:val="3200110E"/>
    <w:rsid w:val="396226AE"/>
    <w:rsid w:val="3E5D7693"/>
    <w:rsid w:val="4BF65952"/>
    <w:rsid w:val="5DD63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5"/>
    <w:unhideWhenUsed/>
    <w:qFormat/>
    <w:uiPriority w:val="99"/>
    <w:pPr>
      <w:jc w:val="left"/>
    </w:pPr>
  </w:style>
  <w:style w:type="paragraph" w:styleId="4">
    <w:name w:val="Balloon Text"/>
    <w:basedOn w:val="1"/>
    <w:link w:val="18"/>
    <w:semiHidden/>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23"/>
    <w:semiHidden/>
    <w:unhideWhenUsed/>
    <w:qFormat/>
    <w:uiPriority w:val="99"/>
    <w:rPr>
      <w:rFonts w:ascii="Courier New" w:hAnsi="Courier New" w:cs="Courier New"/>
      <w:sz w:val="20"/>
      <w:szCs w:val="20"/>
    </w:rPr>
  </w:style>
  <w:style w:type="paragraph" w:styleId="8">
    <w:name w:val="annotation subject"/>
    <w:basedOn w:val="3"/>
    <w:next w:val="3"/>
    <w:link w:val="16"/>
    <w:semiHidden/>
    <w:unhideWhenUsed/>
    <w:qFormat/>
    <w:uiPriority w:val="99"/>
    <w:rPr>
      <w:b/>
      <w:bCs/>
    </w:rPr>
  </w:style>
  <w:style w:type="character" w:styleId="11">
    <w:name w:val="FollowedHyperlink"/>
    <w:basedOn w:val="10"/>
    <w:semiHidden/>
    <w:unhideWhenUsed/>
    <w:qFormat/>
    <w:uiPriority w:val="99"/>
    <w:rPr>
      <w:color w:val="954F72" w:themeColor="followedHyperlink"/>
      <w:u w:val="single"/>
      <w14:textFill>
        <w14:solidFill>
          <w14:schemeClr w14:val="folHlink"/>
        </w14:solidFill>
      </w14:textFill>
    </w:rPr>
  </w:style>
  <w:style w:type="character" w:styleId="12">
    <w:name w:val="Hyperlink"/>
    <w:basedOn w:val="10"/>
    <w:semiHidden/>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paragraph" w:styleId="14">
    <w:name w:val="List Paragraph"/>
    <w:basedOn w:val="1"/>
    <w:qFormat/>
    <w:uiPriority w:val="34"/>
    <w:pPr>
      <w:ind w:firstLine="420" w:firstLineChars="200"/>
    </w:pPr>
  </w:style>
  <w:style w:type="character" w:customStyle="1" w:styleId="15">
    <w:name w:val="批注文字 字符"/>
    <w:basedOn w:val="10"/>
    <w:link w:val="3"/>
    <w:qFormat/>
    <w:uiPriority w:val="99"/>
    <w:rPr>
      <w:rFonts w:ascii="Times New Roman" w:hAnsi="Times New Roman" w:eastAsia="宋体" w:cs="Times New Roman"/>
      <w:szCs w:val="24"/>
    </w:rPr>
  </w:style>
  <w:style w:type="character" w:customStyle="1" w:styleId="16">
    <w:name w:val="批注主题 字符"/>
    <w:basedOn w:val="15"/>
    <w:link w:val="8"/>
    <w:semiHidden/>
    <w:qFormat/>
    <w:uiPriority w:val="99"/>
    <w:rPr>
      <w:rFonts w:ascii="Times New Roman" w:hAnsi="Times New Roman" w:eastAsia="宋体" w:cs="Times New Roman"/>
      <w:b/>
      <w:bCs/>
      <w:szCs w:val="24"/>
    </w:rPr>
  </w:style>
  <w:style w:type="paragraph" w:customStyle="1" w:styleId="17">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
    <w:name w:val="批注框文本 字符"/>
    <w:basedOn w:val="10"/>
    <w:link w:val="4"/>
    <w:semiHidden/>
    <w:qFormat/>
    <w:uiPriority w:val="99"/>
    <w:rPr>
      <w:rFonts w:ascii="Times New Roman" w:hAnsi="Times New Roman" w:eastAsia="宋体" w:cs="Times New Roman"/>
      <w:sz w:val="18"/>
      <w:szCs w:val="18"/>
    </w:rPr>
  </w:style>
  <w:style w:type="character" w:customStyle="1" w:styleId="19">
    <w:name w:val="页眉 字符"/>
    <w:basedOn w:val="10"/>
    <w:link w:val="6"/>
    <w:qFormat/>
    <w:uiPriority w:val="99"/>
    <w:rPr>
      <w:rFonts w:ascii="Times New Roman" w:hAnsi="Times New Roman" w:eastAsia="宋体" w:cs="Times New Roman"/>
      <w:sz w:val="18"/>
      <w:szCs w:val="18"/>
    </w:rPr>
  </w:style>
  <w:style w:type="character" w:customStyle="1" w:styleId="20">
    <w:name w:val="页脚 字符"/>
    <w:basedOn w:val="10"/>
    <w:link w:val="5"/>
    <w:qFormat/>
    <w:uiPriority w:val="99"/>
    <w:rPr>
      <w:rFonts w:ascii="Times New Roman" w:hAnsi="Times New Roman" w:eastAsia="宋体" w:cs="Times New Roman"/>
      <w:sz w:val="18"/>
      <w:szCs w:val="18"/>
    </w:rPr>
  </w:style>
  <w:style w:type="paragraph" w:customStyle="1" w:styleId="2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2">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3">
    <w:name w:val="HTML 预设格式 字符"/>
    <w:basedOn w:val="10"/>
    <w:link w:val="7"/>
    <w:semiHidden/>
    <w:qFormat/>
    <w:uiPriority w:val="99"/>
    <w:rPr>
      <w:rFonts w:ascii="Courier New" w:hAnsi="Courier New" w:eastAsia="宋体" w:cs="Courier New"/>
      <w:kern w:val="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15042-0BDC-486E-9E87-25A920923F80}">
  <ds:schemaRefs/>
</ds:datastoreItem>
</file>

<file path=docProps/app.xml><?xml version="1.0" encoding="utf-8"?>
<Properties xmlns="http://schemas.openxmlformats.org/officeDocument/2006/extended-properties" xmlns:vt="http://schemas.openxmlformats.org/officeDocument/2006/docPropsVTypes">
  <Template>Normal</Template>
  <Company>cmtc</Company>
  <Pages>6</Pages>
  <Words>3548</Words>
  <Characters>3858</Characters>
  <Lines>34</Lines>
  <Paragraphs>9</Paragraphs>
  <TotalTime>11</TotalTime>
  <ScaleCrop>false</ScaleCrop>
  <LinksUpToDate>false</LinksUpToDate>
  <CharactersWithSpaces>4000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2026-04-30T04:00:00Z</dcterms:created>
  <dc:creator>龚玉娇</dc:creator>
  <cp:lastModifiedBy>廖敏</cp:lastModifiedBy>
  <cp:lastPrinted>2026-09-16T03:13:17Z</cp:lastPrinted>
  <dcterms:modified xsi:type="dcterms:W3CDTF">2026-09-16T03:56:44Z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2BFB23D0F9234267890F6F72A561690C_13</vt:lpwstr>
  </property>
  <property fmtid="{D5CDD505-2E9C-101B-9397-08002B2CF9AE}" pid="4" name="KSOTemplateDocerSaveRecord">
    <vt:lpwstr>eyJoZGlkIjoiYWQ4MzMzMjYxMzY2MTBkZTQzNDcyNzRlYzViNzMzNzQiLCJ1c2VySWQiOiIxNzY1NjM0NDQ5In0=</vt:lpwstr>
  </property>
</Properties>
</file>