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340D3">
      <w:pPr>
        <w:spacing w:before="156" w:beforeLines="50" w:after="156" w:afterLines="50" w:line="400" w:lineRule="exact"/>
        <w:jc w:val="center"/>
        <w:rPr>
          <w:rStyle w:val="7"/>
          <w:b/>
          <w:color w:val="000000" w:themeColor="text1"/>
          <w:highlight w:val="none"/>
          <w14:textFill>
            <w14:solidFill>
              <w14:schemeClr w14:val="tx1"/>
            </w14:solidFill>
          </w14:textFill>
        </w:rPr>
      </w:pPr>
      <w:r>
        <w:rPr>
          <w:rFonts w:hint="eastAsia" w:ascii="宋体" w:hAnsi="宋体"/>
          <w:b/>
          <w:iCs/>
          <w:color w:val="000000" w:themeColor="text1"/>
          <w:sz w:val="24"/>
          <w:highlight w:val="none"/>
          <w14:textFill>
            <w14:solidFill>
              <w14:schemeClr w14:val="tx1"/>
            </w14:solidFill>
          </w14:textFill>
        </w:rPr>
        <w:t>证券代码：</w:t>
      </w:r>
      <w:r>
        <w:rPr>
          <w:b/>
          <w:iCs/>
          <w:color w:val="000000" w:themeColor="text1"/>
          <w:sz w:val="24"/>
          <w:highlight w:val="none"/>
          <w14:textFill>
            <w14:solidFill>
              <w14:schemeClr w14:val="tx1"/>
            </w14:solidFill>
          </w14:textFill>
        </w:rPr>
        <w:t>688026</w:t>
      </w:r>
      <w:r>
        <w:rPr>
          <w:rFonts w:hint="eastAsia"/>
          <w:b/>
          <w:iCs/>
          <w:color w:val="000000" w:themeColor="text1"/>
          <w:sz w:val="24"/>
          <w:highlight w:val="none"/>
          <w14:textFill>
            <w14:solidFill>
              <w14:schemeClr w14:val="tx1"/>
            </w14:solidFill>
          </w14:textFill>
        </w:rPr>
        <w:t xml:space="preserve"> </w:t>
      </w:r>
      <w:r>
        <w:rPr>
          <w:rFonts w:hint="eastAsia" w:ascii="宋体" w:hAnsi="宋体"/>
          <w:b/>
          <w:iCs/>
          <w:color w:val="000000" w:themeColor="text1"/>
          <w:sz w:val="24"/>
          <w:highlight w:val="none"/>
          <w14:textFill>
            <w14:solidFill>
              <w14:schemeClr w14:val="tx1"/>
            </w14:solidFill>
          </w14:textFill>
        </w:rPr>
        <w:t xml:space="preserve">                 证券简称：洁特生物</w:t>
      </w:r>
    </w:p>
    <w:p w14:paraId="129340D4">
      <w:pPr>
        <w:spacing w:before="156" w:beforeLines="50" w:after="156" w:afterLines="50" w:line="400" w:lineRule="exact"/>
        <w:jc w:val="center"/>
        <w:rPr>
          <w:rStyle w:val="7"/>
          <w:b/>
          <w:color w:val="000000" w:themeColor="text1"/>
          <w:highlight w:val="none"/>
          <w14:textFill>
            <w14:solidFill>
              <w14:schemeClr w14:val="tx1"/>
            </w14:solidFill>
          </w14:textFill>
        </w:rPr>
      </w:pPr>
      <w:r>
        <w:rPr>
          <w:rFonts w:hint="eastAsia" w:ascii="宋体" w:hAnsi="宋体"/>
          <w:b/>
          <w:iCs/>
          <w:color w:val="000000" w:themeColor="text1"/>
          <w:sz w:val="24"/>
          <w:highlight w:val="none"/>
          <w14:textFill>
            <w14:solidFill>
              <w14:schemeClr w14:val="tx1"/>
            </w14:solidFill>
          </w14:textFill>
        </w:rPr>
        <w:t>转债代码：</w:t>
      </w:r>
      <w:r>
        <w:rPr>
          <w:b/>
          <w:iCs/>
          <w:color w:val="000000" w:themeColor="text1"/>
          <w:sz w:val="24"/>
          <w:highlight w:val="none"/>
          <w14:textFill>
            <w14:solidFill>
              <w14:schemeClr w14:val="tx1"/>
            </w14:solidFill>
          </w14:textFill>
        </w:rPr>
        <w:t>118010</w:t>
      </w:r>
      <w:r>
        <w:rPr>
          <w:rFonts w:hint="eastAsia"/>
          <w:b/>
          <w:iCs/>
          <w:color w:val="000000" w:themeColor="text1"/>
          <w:sz w:val="24"/>
          <w:highlight w:val="none"/>
          <w14:textFill>
            <w14:solidFill>
              <w14:schemeClr w14:val="tx1"/>
            </w14:solidFill>
          </w14:textFill>
        </w:rPr>
        <w:t xml:space="preserve"> </w:t>
      </w:r>
      <w:r>
        <w:rPr>
          <w:rFonts w:hint="eastAsia" w:ascii="宋体" w:hAnsi="宋体"/>
          <w:b/>
          <w:iCs/>
          <w:color w:val="000000" w:themeColor="text1"/>
          <w:sz w:val="24"/>
          <w:highlight w:val="none"/>
          <w14:textFill>
            <w14:solidFill>
              <w14:schemeClr w14:val="tx1"/>
            </w14:solidFill>
          </w14:textFill>
        </w:rPr>
        <w:t xml:space="preserve">                 转债简称：洁特转债</w:t>
      </w:r>
    </w:p>
    <w:p w14:paraId="129340D5">
      <w:pPr>
        <w:spacing w:before="156" w:beforeLines="50" w:after="156" w:afterLines="50" w:line="400" w:lineRule="exact"/>
        <w:ind w:firstLine="840" w:firstLineChars="400"/>
        <w:rPr>
          <w:rFonts w:hint="eastAsia" w:ascii="宋体" w:hAnsi="宋体"/>
          <w:bCs/>
          <w:color w:val="000000" w:themeColor="text1"/>
          <w:szCs w:val="21"/>
          <w:highlight w:val="none"/>
          <w14:textFill>
            <w14:solidFill>
              <w14:schemeClr w14:val="tx1"/>
            </w14:solidFill>
          </w14:textFill>
        </w:rPr>
      </w:pPr>
    </w:p>
    <w:p w14:paraId="129340D6">
      <w:pPr>
        <w:spacing w:before="156" w:beforeLines="50" w:after="156" w:afterLines="50" w:line="400" w:lineRule="exact"/>
        <w:jc w:val="center"/>
        <w:rPr>
          <w:rFonts w:hint="eastAsia" w:ascii="宋体" w:hAnsi="宋体"/>
          <w:b/>
          <w:bCs/>
          <w:iCs/>
          <w:color w:val="000000" w:themeColor="text1"/>
          <w:sz w:val="32"/>
          <w:szCs w:val="32"/>
          <w:highlight w:val="none"/>
          <w14:textFill>
            <w14:solidFill>
              <w14:schemeClr w14:val="tx1"/>
            </w14:solidFill>
          </w14:textFill>
        </w:rPr>
      </w:pPr>
      <w:r>
        <w:rPr>
          <w:rFonts w:hint="eastAsia" w:ascii="宋体" w:hAnsi="宋体"/>
          <w:b/>
          <w:bCs/>
          <w:iCs/>
          <w:color w:val="000000" w:themeColor="text1"/>
          <w:sz w:val="32"/>
          <w:szCs w:val="32"/>
          <w:highlight w:val="none"/>
          <w14:textFill>
            <w14:solidFill>
              <w14:schemeClr w14:val="tx1"/>
            </w14:solidFill>
          </w14:textFill>
        </w:rPr>
        <w:t>广州洁特生物过滤股份有限公司</w:t>
      </w:r>
    </w:p>
    <w:p w14:paraId="129340D7">
      <w:pPr>
        <w:spacing w:before="156" w:beforeLines="50" w:after="156" w:afterLines="50" w:line="400" w:lineRule="exact"/>
        <w:jc w:val="center"/>
        <w:rPr>
          <w:rFonts w:hint="eastAsia" w:ascii="宋体" w:hAnsi="宋体"/>
          <w:b/>
          <w:bCs/>
          <w:iCs/>
          <w:color w:val="000000" w:themeColor="text1"/>
          <w:sz w:val="32"/>
          <w:szCs w:val="32"/>
          <w:highlight w:val="none"/>
          <w14:textFill>
            <w14:solidFill>
              <w14:schemeClr w14:val="tx1"/>
            </w14:solidFill>
          </w14:textFill>
        </w:rPr>
      </w:pPr>
      <w:r>
        <w:rPr>
          <w:rFonts w:hint="eastAsia" w:ascii="宋体" w:hAnsi="宋体"/>
          <w:b/>
          <w:bCs/>
          <w:iCs/>
          <w:color w:val="000000" w:themeColor="text1"/>
          <w:sz w:val="32"/>
          <w:szCs w:val="32"/>
          <w:highlight w:val="none"/>
          <w14:textFill>
            <w14:solidFill>
              <w14:schemeClr w14:val="tx1"/>
            </w14:solidFill>
          </w14:textFill>
        </w:rPr>
        <w:t>投资者关系活动记录表</w:t>
      </w:r>
    </w:p>
    <w:p w14:paraId="129340D8">
      <w:pPr>
        <w:spacing w:line="400" w:lineRule="exact"/>
        <w:jc w:val="right"/>
        <w:rPr>
          <w:rFonts w:hint="eastAsia" w:ascii="宋体" w:hAnsi="宋体"/>
          <w:bCs/>
          <w:iCs/>
          <w:color w:val="000000" w:themeColor="text1"/>
          <w:sz w:val="24"/>
          <w:highlight w:val="none"/>
          <w14:textFill>
            <w14:solidFill>
              <w14:schemeClr w14:val="tx1"/>
            </w14:solidFill>
          </w14:textFill>
        </w:rPr>
      </w:pPr>
      <w:r>
        <w:rPr>
          <w:rFonts w:hint="eastAsia" w:ascii="宋体" w:hAnsi="宋体"/>
          <w:bCs/>
          <w:iCs/>
          <w:color w:val="000000" w:themeColor="text1"/>
          <w:sz w:val="24"/>
          <w:highlight w:val="none"/>
          <w14:textFill>
            <w14:solidFill>
              <w14:schemeClr w14:val="tx1"/>
            </w14:solidFill>
          </w14:textFill>
        </w:rPr>
        <w:t xml:space="preserve">                                                  </w:t>
      </w:r>
    </w:p>
    <w:tbl>
      <w:tblPr>
        <w:tblStyle w:val="5"/>
        <w:tblW w:w="50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6405"/>
      </w:tblGrid>
      <w:tr w14:paraId="1293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top w:val="single" w:color="auto" w:sz="4" w:space="0"/>
              <w:left w:val="single" w:color="auto" w:sz="4" w:space="0"/>
              <w:bottom w:val="single" w:color="auto" w:sz="4" w:space="0"/>
              <w:right w:val="single" w:color="auto" w:sz="4" w:space="0"/>
            </w:tcBorders>
            <w:vAlign w:val="center"/>
          </w:tcPr>
          <w:p w14:paraId="129340D9">
            <w:pPr>
              <w:spacing w:line="480" w:lineRule="atLeast"/>
              <w:rPr>
                <w:rFonts w:hint="default" w:ascii="Times New Roman" w:hAnsi="Times New Roman" w:eastAsia="宋体" w:cs="Times New Roman"/>
                <w:b/>
                <w:bCs/>
                <w:iCs/>
                <w:color w:val="000000" w:themeColor="text1"/>
                <w:sz w:val="24"/>
                <w:highlight w:val="none"/>
                <w14:textFill>
                  <w14:solidFill>
                    <w14:schemeClr w14:val="tx1"/>
                  </w14:solidFill>
                </w14:textFill>
              </w:rPr>
            </w:pPr>
            <w:r>
              <w:rPr>
                <w:rFonts w:hint="default" w:ascii="Times New Roman" w:hAnsi="Times New Roman" w:eastAsia="宋体" w:cs="Times New Roman"/>
                <w:b/>
                <w:bCs/>
                <w:iCs/>
                <w:color w:val="000000" w:themeColor="text1"/>
                <w:sz w:val="24"/>
                <w:highlight w:val="none"/>
                <w14:textFill>
                  <w14:solidFill>
                    <w14:schemeClr w14:val="tx1"/>
                  </w14:solidFill>
                </w14:textFill>
              </w:rPr>
              <w:t>投资者关系活动类别</w:t>
            </w:r>
          </w:p>
        </w:tc>
        <w:tc>
          <w:tcPr>
            <w:tcW w:w="3820" w:type="pct"/>
            <w:tcBorders>
              <w:top w:val="single" w:color="auto" w:sz="4" w:space="0"/>
              <w:left w:val="single" w:color="auto" w:sz="4" w:space="0"/>
              <w:bottom w:val="single" w:color="auto" w:sz="4" w:space="0"/>
              <w:right w:val="single" w:color="auto" w:sz="4" w:space="0"/>
            </w:tcBorders>
          </w:tcPr>
          <w:p w14:paraId="129340DA">
            <w:pPr>
              <w:spacing w:line="480" w:lineRule="atLeast"/>
              <w:rPr>
                <w:rFonts w:hint="default" w:ascii="Times New Roman" w:hAnsi="Times New Roman" w:eastAsia="宋体" w:cs="Times New Roman"/>
                <w:bCs/>
                <w:iCs/>
                <w:color w:val="000000" w:themeColor="text1"/>
                <w:szCs w:val="21"/>
                <w:highlight w:val="non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 xml:space="preserve">特定对象调研        </w:t>
            </w:r>
            <w:r>
              <w:rPr>
                <w:rFonts w:hint="default" w:ascii="Times New Roman" w:hAnsi="Times New Roman" w:eastAsia="宋体" w:cs="Times New Roman"/>
                <w:bCs/>
                <w:iCs/>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 xml:space="preserve">分析师会议          </w:t>
            </w:r>
            <w:r>
              <w:rPr>
                <w:rFonts w:hint="default" w:ascii="Times New Roman" w:hAnsi="Times New Roman" w:eastAsia="宋体" w:cs="Times New Roman"/>
                <w:bCs/>
                <w:iCs/>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新闻发布会</w:t>
            </w:r>
          </w:p>
          <w:p w14:paraId="129340DB">
            <w:pPr>
              <w:spacing w:line="480" w:lineRule="atLeast"/>
              <w:rPr>
                <w:rFonts w:hint="default" w:ascii="Times New Roman" w:hAnsi="Times New Roman" w:eastAsia="宋体" w:cs="Times New Roman"/>
                <w:bCs/>
                <w:iCs/>
                <w:color w:val="000000" w:themeColor="text1"/>
                <w:szCs w:val="21"/>
                <w:highlight w:val="non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 xml:space="preserve">媒体采访            </w:t>
            </w:r>
            <w:r>
              <w:rPr>
                <w:rFonts w:hint="default" w:ascii="Times New Roman" w:hAnsi="Times New Roman" w:eastAsia="宋体" w:cs="Times New Roman"/>
                <w:color w:val="000000" w:themeColor="text1"/>
                <w:szCs w:val="21"/>
                <w:highlight w:val="none"/>
                <w14:textFill>
                  <w14:solidFill>
                    <w14:schemeClr w14:val="tx1"/>
                  </w14:solidFill>
                </w14:textFill>
              </w:rPr>
              <w:sym w:font="Wingdings 2" w:char="0052"/>
            </w:r>
            <w:r>
              <w:rPr>
                <w:rFonts w:hint="default" w:ascii="Times New Roman" w:hAnsi="Times New Roman" w:eastAsia="宋体" w:cs="Times New Roman"/>
                <w:color w:val="000000" w:themeColor="text1"/>
                <w:szCs w:val="21"/>
                <w:highlight w:val="none"/>
                <w14:textFill>
                  <w14:solidFill>
                    <w14:schemeClr w14:val="tx1"/>
                  </w14:solidFill>
                </w14:textFill>
              </w:rPr>
              <w:t xml:space="preserve">业绩说明会          </w:t>
            </w:r>
            <w:r>
              <w:rPr>
                <w:rFonts w:hint="default" w:ascii="Times New Roman" w:hAnsi="Times New Roman" w:eastAsia="宋体" w:cs="Times New Roman"/>
                <w:bCs/>
                <w:iCs/>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路演活动</w:t>
            </w:r>
          </w:p>
          <w:p w14:paraId="129340DC">
            <w:pPr>
              <w:tabs>
                <w:tab w:val="left" w:pos="3045"/>
                <w:tab w:val="center" w:pos="3199"/>
              </w:tabs>
              <w:spacing w:line="480" w:lineRule="atLeast"/>
              <w:rPr>
                <w:rFonts w:hint="default" w:ascii="Times New Roman" w:hAnsi="Times New Roman" w:eastAsia="宋体" w:cs="Times New Roman"/>
                <w:bCs/>
                <w:iCs/>
                <w:color w:val="000000" w:themeColor="text1"/>
                <w:szCs w:val="21"/>
                <w:highlight w:val="none"/>
                <w:u w:val="singl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现场参观</w:t>
            </w:r>
            <w:r>
              <w:rPr>
                <w:rFonts w:hint="default" w:ascii="Times New Roman" w:hAnsi="Times New Roman" w:eastAsia="宋体" w:cs="Times New Roman"/>
                <w:bCs/>
                <w:iCs/>
                <w:color w:val="000000" w:themeColor="text1"/>
                <w:szCs w:val="21"/>
                <w:highlight w:val="non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其他</w:t>
            </w:r>
          </w:p>
        </w:tc>
      </w:tr>
      <w:tr w14:paraId="1293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top w:val="single" w:color="auto" w:sz="4" w:space="0"/>
              <w:left w:val="single" w:color="auto" w:sz="4" w:space="0"/>
              <w:bottom w:val="single" w:color="auto" w:sz="4" w:space="0"/>
              <w:right w:val="single" w:color="auto" w:sz="4" w:space="0"/>
            </w:tcBorders>
            <w:vAlign w:val="center"/>
          </w:tcPr>
          <w:p w14:paraId="129340DE">
            <w:pPr>
              <w:spacing w:line="480" w:lineRule="atLeast"/>
              <w:rPr>
                <w:rFonts w:hint="default" w:ascii="Times New Roman" w:hAnsi="Times New Roman" w:eastAsia="宋体" w:cs="Times New Roman"/>
                <w:b/>
                <w:bCs/>
                <w:iCs/>
                <w:color w:val="000000" w:themeColor="text1"/>
                <w:sz w:val="24"/>
                <w:highlight w:val="none"/>
                <w14:textFill>
                  <w14:solidFill>
                    <w14:schemeClr w14:val="tx1"/>
                  </w14:solidFill>
                </w14:textFill>
              </w:rPr>
            </w:pPr>
            <w:r>
              <w:rPr>
                <w:rFonts w:hint="default" w:ascii="Times New Roman" w:hAnsi="Times New Roman" w:eastAsia="宋体" w:cs="Times New Roman"/>
                <w:b/>
                <w:bCs/>
                <w:iCs/>
                <w:color w:val="000000" w:themeColor="text1"/>
                <w:sz w:val="24"/>
                <w:highlight w:val="none"/>
                <w14:textFill>
                  <w14:solidFill>
                    <w14:schemeClr w14:val="tx1"/>
                  </w14:solidFill>
                </w14:textFill>
              </w:rPr>
              <w:t>参与单位名称</w:t>
            </w:r>
          </w:p>
        </w:tc>
        <w:tc>
          <w:tcPr>
            <w:tcW w:w="3820" w:type="pct"/>
            <w:tcBorders>
              <w:top w:val="single" w:color="auto" w:sz="4" w:space="0"/>
              <w:left w:val="single" w:color="auto" w:sz="4" w:space="0"/>
              <w:bottom w:val="single" w:color="auto" w:sz="4" w:space="0"/>
              <w:right w:val="single" w:color="auto" w:sz="4" w:space="0"/>
            </w:tcBorders>
          </w:tcPr>
          <w:p w14:paraId="129340DF">
            <w:pPr>
              <w:spacing w:line="480" w:lineRule="atLeast"/>
              <w:rPr>
                <w:rFonts w:hint="default" w:ascii="Times New Roman" w:hAnsi="Times New Roman" w:eastAsia="宋体" w:cs="Times New Roman"/>
                <w:bCs/>
                <w:iCs/>
                <w:color w:val="000000" w:themeColor="text1"/>
                <w:szCs w:val="21"/>
                <w:highlight w:val="non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参与公司</w:t>
            </w:r>
            <w:r>
              <w:rPr>
                <w:rFonts w:hint="default" w:ascii="Times New Roman" w:hAnsi="Times New Roman" w:eastAsia="宋体" w:cs="Times New Roman"/>
                <w:bCs/>
                <w:iCs/>
                <w:color w:val="000000" w:themeColor="text1"/>
                <w:szCs w:val="21"/>
                <w:highlight w:val="none"/>
                <w:lang w:val="en-US" w:eastAsia="zh-CN"/>
                <w14:textFill>
                  <w14:solidFill>
                    <w14:schemeClr w14:val="tx1"/>
                  </w14:solidFill>
                </w14:textFill>
              </w:rPr>
              <w:t>科创板2026年半年度医疗器械及医疗设备行业集体业绩</w:t>
            </w:r>
            <w:r>
              <w:rPr>
                <w:rFonts w:hint="default" w:ascii="Times New Roman" w:hAnsi="Times New Roman" w:eastAsia="宋体" w:cs="Times New Roman"/>
                <w:bCs/>
                <w:iCs/>
                <w:color w:val="000000" w:themeColor="text1"/>
                <w:szCs w:val="21"/>
                <w:highlight w:val="none"/>
                <w:lang w:eastAsia="zh-CN"/>
                <w14:textFill>
                  <w14:solidFill>
                    <w14:schemeClr w14:val="tx1"/>
                  </w14:solidFill>
                </w14:textFill>
              </w:rPr>
              <w:t>说明会</w:t>
            </w:r>
            <w:r>
              <w:rPr>
                <w:rFonts w:hint="default" w:ascii="Times New Roman" w:hAnsi="Times New Roman" w:eastAsia="宋体" w:cs="Times New Roman"/>
                <w:bCs/>
                <w:iCs/>
                <w:color w:val="000000" w:themeColor="text1"/>
                <w:szCs w:val="21"/>
                <w:highlight w:val="none"/>
                <w14:textFill>
                  <w14:solidFill>
                    <w14:schemeClr w14:val="tx1"/>
                  </w14:solidFill>
                </w14:textFill>
              </w:rPr>
              <w:t>的投资者</w:t>
            </w:r>
          </w:p>
        </w:tc>
      </w:tr>
      <w:tr w14:paraId="1293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top w:val="single" w:color="auto" w:sz="4" w:space="0"/>
              <w:left w:val="single" w:color="auto" w:sz="4" w:space="0"/>
              <w:bottom w:val="single" w:color="auto" w:sz="4" w:space="0"/>
              <w:right w:val="single" w:color="auto" w:sz="4" w:space="0"/>
            </w:tcBorders>
            <w:vAlign w:val="center"/>
          </w:tcPr>
          <w:p w14:paraId="129340E1">
            <w:pPr>
              <w:spacing w:line="480" w:lineRule="atLeast"/>
              <w:rPr>
                <w:rFonts w:hint="default" w:ascii="Times New Roman" w:hAnsi="Times New Roman" w:eastAsia="宋体" w:cs="Times New Roman"/>
                <w:b/>
                <w:bCs/>
                <w:iCs/>
                <w:color w:val="000000" w:themeColor="text1"/>
                <w:sz w:val="24"/>
                <w:highlight w:val="none"/>
                <w14:textFill>
                  <w14:solidFill>
                    <w14:schemeClr w14:val="tx1"/>
                  </w14:solidFill>
                </w14:textFill>
              </w:rPr>
            </w:pPr>
            <w:r>
              <w:rPr>
                <w:rFonts w:hint="default" w:ascii="Times New Roman" w:hAnsi="Times New Roman" w:eastAsia="宋体" w:cs="Times New Roman"/>
                <w:b/>
                <w:bCs/>
                <w:iCs/>
                <w:color w:val="000000" w:themeColor="text1"/>
                <w:sz w:val="24"/>
                <w:highlight w:val="none"/>
                <w14:textFill>
                  <w14:solidFill>
                    <w14:schemeClr w14:val="tx1"/>
                  </w14:solidFill>
                </w14:textFill>
              </w:rPr>
              <w:t>时间</w:t>
            </w:r>
          </w:p>
        </w:tc>
        <w:tc>
          <w:tcPr>
            <w:tcW w:w="3820" w:type="pct"/>
            <w:tcBorders>
              <w:top w:val="single" w:color="auto" w:sz="4" w:space="0"/>
              <w:left w:val="single" w:color="auto" w:sz="4" w:space="0"/>
              <w:bottom w:val="single" w:color="auto" w:sz="4" w:space="0"/>
              <w:right w:val="single" w:color="auto" w:sz="4" w:space="0"/>
            </w:tcBorders>
          </w:tcPr>
          <w:p w14:paraId="129340E2">
            <w:pPr>
              <w:spacing w:line="480" w:lineRule="atLeast"/>
              <w:rPr>
                <w:rFonts w:hint="default" w:ascii="Times New Roman" w:hAnsi="Times New Roman" w:eastAsia="宋体" w:cs="Times New Roman"/>
                <w:bCs/>
                <w:i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Cs/>
                <w:iCs/>
                <w:color w:val="000000" w:themeColor="text1"/>
                <w:szCs w:val="21"/>
                <w:highlight w:val="none"/>
                <w:lang w:val="en-US" w:eastAsia="zh-CN"/>
                <w14:textFill>
                  <w14:solidFill>
                    <w14:schemeClr w14:val="tx1"/>
                  </w14:solidFill>
                </w14:textFill>
              </w:rPr>
              <w:t>2026年09月17日（星期四）15:00-17:00</w:t>
            </w:r>
          </w:p>
        </w:tc>
      </w:tr>
      <w:tr w14:paraId="1293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top w:val="single" w:color="auto" w:sz="4" w:space="0"/>
              <w:left w:val="single" w:color="auto" w:sz="4" w:space="0"/>
              <w:bottom w:val="single" w:color="auto" w:sz="4" w:space="0"/>
              <w:right w:val="single" w:color="auto" w:sz="4" w:space="0"/>
            </w:tcBorders>
            <w:vAlign w:val="center"/>
          </w:tcPr>
          <w:p w14:paraId="129340E4">
            <w:pPr>
              <w:spacing w:line="480" w:lineRule="atLeast"/>
              <w:rPr>
                <w:rFonts w:hint="default" w:ascii="Times New Roman" w:hAnsi="Times New Roman" w:eastAsia="宋体" w:cs="Times New Roman"/>
                <w:b/>
                <w:bCs/>
                <w:iCs/>
                <w:color w:val="000000" w:themeColor="text1"/>
                <w:sz w:val="24"/>
                <w:highlight w:val="none"/>
                <w14:textFill>
                  <w14:solidFill>
                    <w14:schemeClr w14:val="tx1"/>
                  </w14:solidFill>
                </w14:textFill>
              </w:rPr>
            </w:pPr>
            <w:r>
              <w:rPr>
                <w:rFonts w:hint="default" w:ascii="Times New Roman" w:hAnsi="Times New Roman" w:eastAsia="宋体" w:cs="Times New Roman"/>
                <w:b/>
                <w:bCs/>
                <w:iCs/>
                <w:color w:val="000000" w:themeColor="text1"/>
                <w:sz w:val="24"/>
                <w:highlight w:val="none"/>
                <w14:textFill>
                  <w14:solidFill>
                    <w14:schemeClr w14:val="tx1"/>
                  </w14:solidFill>
                </w14:textFill>
              </w:rPr>
              <w:t>地点</w:t>
            </w:r>
          </w:p>
        </w:tc>
        <w:tc>
          <w:tcPr>
            <w:tcW w:w="3820" w:type="pct"/>
            <w:tcBorders>
              <w:top w:val="single" w:color="auto" w:sz="4" w:space="0"/>
              <w:left w:val="single" w:color="auto" w:sz="4" w:space="0"/>
              <w:bottom w:val="single" w:color="auto" w:sz="4" w:space="0"/>
              <w:right w:val="single" w:color="auto" w:sz="4" w:space="0"/>
            </w:tcBorders>
          </w:tcPr>
          <w:p w14:paraId="129340E5">
            <w:pPr>
              <w:spacing w:line="480" w:lineRule="atLeast"/>
              <w:rPr>
                <w:rFonts w:hint="default" w:ascii="Times New Roman" w:hAnsi="Times New Roman" w:eastAsia="宋体" w:cs="Times New Roman"/>
                <w:bCs/>
                <w:iCs/>
                <w:color w:val="000000" w:themeColor="text1"/>
                <w:szCs w:val="21"/>
                <w:highlight w:val="non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上海证券交易所上证路演中心（网址：https://roadshow.sseinfo.com/）</w:t>
            </w:r>
          </w:p>
        </w:tc>
      </w:tr>
      <w:tr w14:paraId="1293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top w:val="single" w:color="auto" w:sz="4" w:space="0"/>
              <w:left w:val="single" w:color="auto" w:sz="4" w:space="0"/>
              <w:bottom w:val="single" w:color="auto" w:sz="4" w:space="0"/>
              <w:right w:val="single" w:color="auto" w:sz="4" w:space="0"/>
            </w:tcBorders>
            <w:vAlign w:val="center"/>
          </w:tcPr>
          <w:p w14:paraId="129340E7">
            <w:pPr>
              <w:spacing w:line="480" w:lineRule="atLeast"/>
              <w:rPr>
                <w:rFonts w:hint="default" w:ascii="Times New Roman" w:hAnsi="Times New Roman" w:eastAsia="宋体" w:cs="Times New Roman"/>
                <w:b/>
                <w:bCs/>
                <w:iCs/>
                <w:color w:val="000000" w:themeColor="text1"/>
                <w:sz w:val="24"/>
                <w:highlight w:val="none"/>
                <w14:textFill>
                  <w14:solidFill>
                    <w14:schemeClr w14:val="tx1"/>
                  </w14:solidFill>
                </w14:textFill>
              </w:rPr>
            </w:pPr>
            <w:r>
              <w:rPr>
                <w:rFonts w:hint="default" w:ascii="Times New Roman" w:hAnsi="Times New Roman" w:eastAsia="宋体" w:cs="Times New Roman"/>
                <w:b/>
                <w:bCs/>
                <w:iCs/>
                <w:color w:val="000000" w:themeColor="text1"/>
                <w:sz w:val="24"/>
                <w:highlight w:val="none"/>
                <w14:textFill>
                  <w14:solidFill>
                    <w14:schemeClr w14:val="tx1"/>
                  </w14:solidFill>
                </w14:textFill>
              </w:rPr>
              <w:t>上市公司接待人</w:t>
            </w:r>
          </w:p>
        </w:tc>
        <w:tc>
          <w:tcPr>
            <w:tcW w:w="3820" w:type="pct"/>
            <w:tcBorders>
              <w:top w:val="single" w:color="auto" w:sz="4" w:space="0"/>
              <w:left w:val="single" w:color="auto" w:sz="4" w:space="0"/>
              <w:bottom w:val="single" w:color="auto" w:sz="4" w:space="0"/>
              <w:right w:val="single" w:color="auto" w:sz="4" w:space="0"/>
            </w:tcBorders>
          </w:tcPr>
          <w:p w14:paraId="539CA7B9">
            <w:pPr>
              <w:spacing w:line="480" w:lineRule="atLeast"/>
              <w:rPr>
                <w:rFonts w:hint="default" w:ascii="Times New Roman" w:hAnsi="Times New Roman" w:eastAsia="宋体" w:cs="Times New Roman"/>
                <w:bCs/>
                <w:iCs/>
                <w:color w:val="000000" w:themeColor="text1"/>
                <w:szCs w:val="21"/>
                <w:highlight w:val="non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董事、总经理：Yuan Ye James</w:t>
            </w:r>
          </w:p>
          <w:p w14:paraId="129340E8">
            <w:pPr>
              <w:spacing w:line="480" w:lineRule="atLeast"/>
              <w:rPr>
                <w:rFonts w:hint="default" w:ascii="Times New Roman" w:hAnsi="Times New Roman" w:eastAsia="宋体" w:cs="Times New Roman"/>
                <w:bCs/>
                <w:iCs/>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独立董事：陈锦棋</w:t>
            </w:r>
          </w:p>
          <w:p w14:paraId="129340E9">
            <w:pPr>
              <w:spacing w:line="480" w:lineRule="atLeast"/>
              <w:rPr>
                <w:rFonts w:hint="default" w:ascii="Times New Roman" w:hAnsi="Times New Roman" w:eastAsia="宋体" w:cs="Times New Roman"/>
                <w:bCs/>
                <w:iCs/>
                <w:color w:val="000000" w:themeColor="text1"/>
                <w:szCs w:val="21"/>
                <w:highlight w:val="non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董事会秘书：鲍珉璋</w:t>
            </w:r>
          </w:p>
        </w:tc>
      </w:tr>
      <w:tr w14:paraId="1293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80" w:type="pct"/>
            <w:tcBorders>
              <w:top w:val="single" w:color="auto" w:sz="4" w:space="0"/>
              <w:left w:val="single" w:color="auto" w:sz="4" w:space="0"/>
              <w:bottom w:val="single" w:color="auto" w:sz="4" w:space="0"/>
              <w:right w:val="single" w:color="auto" w:sz="4" w:space="0"/>
            </w:tcBorders>
            <w:vAlign w:val="center"/>
          </w:tcPr>
          <w:p w14:paraId="129340EB">
            <w:pPr>
              <w:spacing w:line="480" w:lineRule="atLeast"/>
              <w:rPr>
                <w:rFonts w:hint="default" w:ascii="Times New Roman" w:hAnsi="Times New Roman" w:eastAsia="宋体" w:cs="Times New Roman"/>
                <w:b/>
                <w:bCs/>
                <w:iCs/>
                <w:color w:val="000000" w:themeColor="text1"/>
                <w:sz w:val="24"/>
                <w:highlight w:val="none"/>
                <w14:textFill>
                  <w14:solidFill>
                    <w14:schemeClr w14:val="tx1"/>
                  </w14:solidFill>
                </w14:textFill>
              </w:rPr>
            </w:pPr>
            <w:r>
              <w:rPr>
                <w:rFonts w:hint="default" w:ascii="Times New Roman" w:hAnsi="Times New Roman" w:eastAsia="宋体" w:cs="Times New Roman"/>
                <w:b/>
                <w:bCs/>
                <w:iCs/>
                <w:color w:val="000000" w:themeColor="text1"/>
                <w:sz w:val="24"/>
                <w:highlight w:val="none"/>
                <w14:textFill>
                  <w14:solidFill>
                    <w14:schemeClr w14:val="tx1"/>
                  </w14:solidFill>
                </w14:textFill>
              </w:rPr>
              <w:t>投资者关系活动主要内容介绍</w:t>
            </w:r>
          </w:p>
        </w:tc>
        <w:tc>
          <w:tcPr>
            <w:tcW w:w="3820" w:type="pct"/>
            <w:tcBorders>
              <w:top w:val="single" w:color="auto" w:sz="4" w:space="0"/>
              <w:left w:val="single" w:color="auto" w:sz="4" w:space="0"/>
              <w:bottom w:val="single" w:color="auto" w:sz="4" w:space="0"/>
              <w:right w:val="single" w:color="auto" w:sz="4" w:space="0"/>
            </w:tcBorders>
          </w:tcPr>
          <w:p w14:paraId="129340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Cs w:val="21"/>
                <w:highlight w:val="none"/>
                <w:lang w:val="en-US"/>
                <w14:ligatures w14:val="standardContextual"/>
              </w:rPr>
            </w:pPr>
            <w:r>
              <w:rPr>
                <w:rFonts w:hint="default" w:ascii="Times New Roman" w:hAnsi="Times New Roman" w:eastAsia="宋体" w:cs="Times New Roman"/>
                <w:b/>
                <w:bCs/>
                <w:szCs w:val="21"/>
                <w:highlight w:val="none"/>
                <w14:ligatures w14:val="standardContextual"/>
              </w:rPr>
              <w:t>问1：</w:t>
            </w:r>
            <w:r>
              <w:rPr>
                <w:rFonts w:hint="default" w:ascii="Times New Roman" w:hAnsi="Times New Roman" w:eastAsia="宋体" w:cs="Times New Roman"/>
                <w:b/>
                <w:bCs/>
                <w:szCs w:val="21"/>
                <w:highlight w:val="none"/>
                <w:lang w:val="en-US"/>
                <w14:ligatures w14:val="standardContextual"/>
              </w:rPr>
              <w:t>公司本期有分红吗？</w:t>
            </w:r>
          </w:p>
          <w:p w14:paraId="129340E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szCs w:val="21"/>
                <w:highlight w:val="none"/>
                <w14:ligatures w14:val="standardContextual"/>
              </w:rPr>
            </w:pPr>
            <w:r>
              <w:rPr>
                <w:rFonts w:hint="default" w:ascii="Times New Roman" w:hAnsi="Times New Roman" w:eastAsia="宋体" w:cs="Times New Roman"/>
                <w:b/>
                <w:bCs/>
                <w:szCs w:val="21"/>
                <w:highlight w:val="none"/>
                <w14:ligatures w14:val="standardContextual"/>
              </w:rPr>
              <w:t>答：</w:t>
            </w:r>
            <w:r>
              <w:rPr>
                <w:rFonts w:hint="default" w:ascii="Times New Roman" w:hAnsi="Times New Roman" w:eastAsia="宋体" w:cs="Times New Roman"/>
                <w:szCs w:val="21"/>
                <w:highlight w:val="none"/>
                <w14:ligatures w14:val="standardContextual"/>
              </w:rPr>
              <w:t>尊敬的投资者，您好，公司高度重视资本市场表现和股东长期回报。公司2025年年度利润分配以实施权益分派股权登记日登记的总股本为基数，向全体股东每10股派发现金红利0.74元（含税），合计派发现金红利10,050,247.40元（含税），占当年度归属于上市公司股东净利润的比例20.84%，年度现金红利已于2026年7月31日发放。目前公司暂无2026年中期分红计划。感谢您的关注！</w:t>
            </w:r>
          </w:p>
          <w:p w14:paraId="129340E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Cs w:val="21"/>
                <w:highlight w:val="none"/>
                <w14:ligatures w14:val="standardContextual"/>
              </w:rPr>
            </w:pPr>
            <w:r>
              <w:rPr>
                <w:rFonts w:hint="default" w:ascii="Times New Roman" w:hAnsi="Times New Roman" w:eastAsia="宋体" w:cs="Times New Roman"/>
                <w:b/>
                <w:bCs/>
                <w:szCs w:val="21"/>
                <w:highlight w:val="none"/>
                <w14:ligatures w14:val="standardContextual"/>
              </w:rPr>
              <w:t>问2：公司应收账款有多少？回款周期是多久？</w:t>
            </w:r>
          </w:p>
          <w:p w14:paraId="129340F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szCs w:val="21"/>
                <w:highlight w:val="none"/>
                <w14:ligatures w14:val="standardContextual"/>
              </w:rPr>
            </w:pPr>
            <w:r>
              <w:rPr>
                <w:rFonts w:hint="default" w:ascii="Times New Roman" w:hAnsi="Times New Roman" w:eastAsia="宋体" w:cs="Times New Roman"/>
                <w:b/>
                <w:bCs/>
                <w:szCs w:val="21"/>
                <w:highlight w:val="none"/>
                <w14:ligatures w14:val="standardContextual"/>
              </w:rPr>
              <w:t>答：</w:t>
            </w:r>
            <w:r>
              <w:rPr>
                <w:rFonts w:hint="default" w:ascii="Times New Roman" w:hAnsi="Times New Roman" w:eastAsia="宋体" w:cs="Times New Roman"/>
                <w:szCs w:val="21"/>
                <w:highlight w:val="none"/>
                <w14:ligatures w14:val="standardContextual"/>
              </w:rPr>
              <w:t>尊敬的投资者您好！截止2026年6月30日，公司应收账款余额13,516.06万元，一年以内占比93.87%；客户账期主要在收到货后30天和收货后90天之间，回款情况良好。感谢您的关注！</w:t>
            </w:r>
          </w:p>
          <w:p w14:paraId="129340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Cs w:val="21"/>
                <w:highlight w:val="none"/>
                <w14:ligatures w14:val="standardContextual"/>
              </w:rPr>
            </w:pPr>
            <w:r>
              <w:rPr>
                <w:rFonts w:hint="default" w:ascii="Times New Roman" w:hAnsi="Times New Roman" w:eastAsia="宋体" w:cs="Times New Roman"/>
                <w:b/>
                <w:bCs/>
                <w:szCs w:val="21"/>
                <w:highlight w:val="none"/>
                <w14:ligatures w14:val="standardContextual"/>
              </w:rPr>
              <w:t>问3：公司在ESG方面有哪些举措和成果？</w:t>
            </w:r>
          </w:p>
          <w:p w14:paraId="129340F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szCs w:val="21"/>
                <w:highlight w:val="none"/>
                <w14:ligatures w14:val="standardContextual"/>
              </w:rPr>
            </w:pPr>
            <w:r>
              <w:rPr>
                <w:rFonts w:hint="default" w:ascii="Times New Roman" w:hAnsi="Times New Roman" w:eastAsia="宋体" w:cs="Times New Roman"/>
                <w:b/>
                <w:bCs/>
                <w:szCs w:val="21"/>
                <w:highlight w:val="none"/>
                <w14:ligatures w14:val="standardContextual"/>
              </w:rPr>
              <w:t>答：</w:t>
            </w:r>
            <w:r>
              <w:rPr>
                <w:rFonts w:hint="default" w:ascii="Times New Roman" w:hAnsi="Times New Roman" w:eastAsia="宋体" w:cs="Times New Roman"/>
                <w:szCs w:val="21"/>
                <w:highlight w:val="none"/>
                <w14:ligatures w14:val="standardContextual"/>
              </w:rPr>
              <w:t>尊敬的投资者您好！公司高度重视环境保护、社会责任与公司治理相关工作，在日常经营中持续做好合规经营、内部控制、风险管理、员工权益保护等相关工作。截至目前，公司暂未单独编制 ESG 专项报告。后续公司将结合自身经营实际、业务发展需要以及监管信息披露要求，综合评估 ESG 相关报告的编制与披露安排。感谢您的关注！</w:t>
            </w:r>
          </w:p>
          <w:p w14:paraId="129340F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Cs w:val="21"/>
                <w:highlight w:val="none"/>
                <w14:ligatures w14:val="standardContextual"/>
              </w:rPr>
            </w:pPr>
            <w:r>
              <w:rPr>
                <w:rFonts w:hint="default" w:ascii="Times New Roman" w:hAnsi="Times New Roman" w:eastAsia="宋体" w:cs="Times New Roman"/>
                <w:b/>
                <w:bCs/>
                <w:szCs w:val="21"/>
                <w:highlight w:val="none"/>
                <w14:ligatures w14:val="standardContextual"/>
              </w:rPr>
              <w:t>问4：实验室耗材国内导入情况，未来业绩的增量有哪些？</w:t>
            </w:r>
          </w:p>
          <w:p w14:paraId="46CDB90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szCs w:val="21"/>
                <w:highlight w:val="none"/>
                <w:lang w:eastAsia="zh-CN"/>
                <w14:ligatures w14:val="standardContextual"/>
              </w:rPr>
            </w:pPr>
            <w:r>
              <w:rPr>
                <w:rFonts w:hint="default" w:ascii="Times New Roman" w:hAnsi="Times New Roman" w:eastAsia="宋体" w:cs="Times New Roman"/>
                <w:b/>
                <w:bCs/>
                <w:szCs w:val="21"/>
                <w:highlight w:val="none"/>
                <w14:ligatures w14:val="standardContextual"/>
              </w:rPr>
              <w:t>答：</w:t>
            </w:r>
            <w:r>
              <w:rPr>
                <w:rFonts w:hint="default" w:ascii="Times New Roman" w:hAnsi="Times New Roman" w:eastAsia="宋体" w:cs="Times New Roman"/>
                <w:szCs w:val="21"/>
                <w:highlight w:val="none"/>
                <w:lang w:eastAsia="zh-CN"/>
                <w14:ligatures w14:val="standardContextual"/>
              </w:rPr>
              <w:t>尊敬的投资者您好！整体来看，洁特生物实验室耗材未来的增长主要由四大主线共同驱动：国内科研端国产替代、CGT与合成生物学工业化耗材放量、AI4S带动高通量湿实验带来的耗材增量，以及海外市场持续拓展。</w:t>
            </w:r>
          </w:p>
          <w:p w14:paraId="7802B2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szCs w:val="21"/>
                <w:highlight w:val="none"/>
                <w:lang w:eastAsia="zh-CN"/>
                <w14:ligatures w14:val="standardContextual"/>
              </w:rPr>
            </w:pPr>
            <w:r>
              <w:rPr>
                <w:rFonts w:hint="default" w:ascii="Times New Roman" w:hAnsi="Times New Roman" w:eastAsia="宋体" w:cs="Times New Roman"/>
                <w:szCs w:val="21"/>
                <w:highlight w:val="none"/>
                <w:lang w:eastAsia="zh-CN"/>
                <w14:ligatures w14:val="standardContextual"/>
              </w:rPr>
              <w:t>第一，国内科研市场的国产替代持续深化，是最稳健的基础增量。过去国内高校、科研院所、创新药企大量选用进口品牌的耗材。随着国产产品在表面改性、批次稳定性、无菌质控、交付响应上持续追赶，叠加国内科研预算更倾向扶持本土供应链，我们在国内科研客户的渗透率还会继续提升。得益于国产替代的趋势愈发加强，2025年年内，洁特生物国内市场较2024年增长了约18%；2026年上半年公司来自国内市场的销售额也较去年同期增长了约19%。</w:t>
            </w:r>
          </w:p>
          <w:p w14:paraId="5CC176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szCs w:val="21"/>
                <w:highlight w:val="none"/>
                <w:lang w:eastAsia="zh-CN"/>
                <w14:ligatures w14:val="standardContextual"/>
              </w:rPr>
            </w:pPr>
            <w:r>
              <w:rPr>
                <w:rFonts w:hint="default" w:ascii="Times New Roman" w:hAnsi="Times New Roman" w:eastAsia="宋体" w:cs="Times New Roman"/>
                <w:szCs w:val="21"/>
                <w:highlight w:val="none"/>
                <w:lang w:eastAsia="zh-CN"/>
                <w14:ligatures w14:val="standardContextual"/>
              </w:rPr>
              <w:t>第二，CGT、合成生物学工业化场景，带来高附加值工艺耗材增量。细胞与基因治疗、合成生物从小试、中试走向产业化，对一次性生物反应器配套耗材、配液袋、超滤/除菌过滤耗材、细胞冻存耗材需求快速上升。我们依托中赛柏泰布局CGT整套解决方案，叠加洁科膜自主膜材落地，从实验室耗材延伸到生物工艺耗材，单客户价值量会显著高于普通科研耗材，是中长期重要增长动力。</w:t>
            </w:r>
          </w:p>
          <w:p w14:paraId="797410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szCs w:val="21"/>
                <w:highlight w:val="none"/>
                <w:lang w:eastAsia="zh-CN"/>
                <w14:ligatures w14:val="standardContextual"/>
              </w:rPr>
            </w:pPr>
            <w:r>
              <w:rPr>
                <w:rFonts w:hint="default" w:ascii="Times New Roman" w:hAnsi="Times New Roman" w:eastAsia="宋体" w:cs="Times New Roman"/>
                <w:szCs w:val="21"/>
                <w:highlight w:val="none"/>
                <w:lang w:eastAsia="zh-CN"/>
                <w14:ligatures w14:val="standardContextual"/>
              </w:rPr>
              <w:t>第三，AI4S（人工智能驱动科学发现）带动高通量湿实验验证，是我们非常看重的新增增量赛道，金斯瑞、百英这类企业是这条链条里的核心客户载体。AI4S、AIDD本质是 “AI虚拟设计+线下湿实验闭环迭代”，AI把候选分子、靶点、蛋白序列快速生成，但所有计算预测结果，都必须通过大量生化、细胞、蛋白表达湿实验去验证，形成 “设计-构建-测试-学习”的循环，相关并行实验数量相比传统药物发现大幅提升，直接拉动微孔板、培养耗材、纯化过滤耗材、移液耗材的高频消耗。</w:t>
            </w:r>
          </w:p>
          <w:p w14:paraId="129340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szCs w:val="21"/>
                <w:highlight w:val="none"/>
                <w:lang w:eastAsia="zh-CN"/>
                <w14:ligatures w14:val="standardContextual"/>
              </w:rPr>
            </w:pPr>
            <w:r>
              <w:rPr>
                <w:rFonts w:hint="default" w:ascii="Times New Roman" w:hAnsi="Times New Roman" w:eastAsia="宋体" w:cs="Times New Roman"/>
                <w:szCs w:val="21"/>
                <w:highlight w:val="none"/>
                <w:lang w:eastAsia="zh-CN"/>
                <w14:ligatures w14:val="standardContextual"/>
              </w:rPr>
              <w:t xml:space="preserve">第四，海外市场拓展，是第二大中长期增量。公司接下来将与国内友商合作，以联合收购等方式开拓欧洲等其他海外市场。感谢您的关注！ </w:t>
            </w:r>
          </w:p>
          <w:p w14:paraId="129340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Cs w:val="21"/>
                <w:highlight w:val="none"/>
                <w:lang w:val="en-US"/>
                <w14:ligatures w14:val="standardContextual"/>
              </w:rPr>
            </w:pPr>
            <w:r>
              <w:rPr>
                <w:rFonts w:hint="default" w:ascii="Times New Roman" w:hAnsi="Times New Roman" w:eastAsia="宋体" w:cs="Times New Roman"/>
                <w:b/>
                <w:bCs/>
                <w:szCs w:val="21"/>
                <w:highlight w:val="none"/>
                <w14:ligatures w14:val="standardContextual"/>
              </w:rPr>
              <w:t>问5：</w:t>
            </w:r>
            <w:r>
              <w:rPr>
                <w:rFonts w:hint="default" w:ascii="Times New Roman" w:hAnsi="Times New Roman" w:eastAsia="宋体" w:cs="Times New Roman"/>
                <w:b/>
                <w:bCs/>
                <w:szCs w:val="21"/>
                <w:highlight w:val="none"/>
                <w:lang w:val="en-US"/>
                <w14:ligatures w14:val="standardContextual"/>
              </w:rPr>
              <w:t>尊敬的领导，下午好！作为中小投资者，有以下问题：1、可视化半年报显示，公司全年业绩增收不增利，盈利指标的四项费用率均较之前有所攀升，资产负债率也有上升，请分析一下原因？2、公司发行的4.4亿元可转债尚未实现转股，还有不到2年就要到期，是否已经放弃下修直接考虑到期还钱了？</w:t>
            </w:r>
          </w:p>
          <w:p w14:paraId="129340F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szCs w:val="21"/>
                <w:highlight w:val="none"/>
                <w14:ligatures w14:val="standardContextual"/>
              </w:rPr>
            </w:pPr>
            <w:r>
              <w:rPr>
                <w:rFonts w:hint="default" w:ascii="Times New Roman" w:hAnsi="Times New Roman" w:eastAsia="宋体" w:cs="Times New Roman"/>
                <w:b/>
                <w:bCs/>
                <w:szCs w:val="21"/>
                <w:highlight w:val="none"/>
                <w14:ligatures w14:val="standardContextual"/>
              </w:rPr>
              <w:t>答：</w:t>
            </w:r>
            <w:r>
              <w:rPr>
                <w:rFonts w:hint="default" w:ascii="Times New Roman" w:hAnsi="Times New Roman" w:eastAsia="宋体" w:cs="Times New Roman"/>
                <w:szCs w:val="21"/>
                <w:highlight w:val="none"/>
                <w14:ligatures w14:val="standardContextual"/>
              </w:rPr>
              <w:t>尊敬的投资者您好！1、2026年上半年公司实现营业收入27,745.70万元，同比微增3.47%。由于去年同期存在贸易环境、厂区搬迁等阶段性因素，去年上半年公司营业收入的基数较高，在今年不存在上述因素的背景下营收仍保持正增长，体现了公司主营业务具备韧性。公司资产负债率保持稳定，报告期末为30.28%，相较期初的29.64%不存在明显上升的情形。2、公司报告期利润同比下降，一是自动化产线全面投入使用，固定资产折旧、电费等固定成本增加；二是人员与新产线、新工艺尚在磨合，人员优化工作未能及时到位，阶段性抬升成本；三是公司持续加大CGT、细胞培养、纯化过滤等新业务方向的研发投入，研发费用有所增加。3、可转债方面，公司密切关注资本市场走势，借鉴同业转股经验，积极与市场和各类投资者沟通交流，尊重市场，顺势而为，努力争取最好结果，加快推进可转债转股的各项工作。关于后续是否进行向下修正转股价格事宜，请以公司公告为准。感谢您的关注与支持！</w:t>
            </w:r>
          </w:p>
          <w:p w14:paraId="129340F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Cs w:val="21"/>
                <w:highlight w:val="none"/>
                <w:lang w:val="en-US"/>
                <w14:ligatures w14:val="standardContextual"/>
              </w:rPr>
            </w:pPr>
            <w:r>
              <w:rPr>
                <w:rFonts w:hint="default" w:ascii="Times New Roman" w:hAnsi="Times New Roman" w:eastAsia="宋体" w:cs="Times New Roman"/>
                <w:b/>
                <w:bCs/>
                <w:szCs w:val="21"/>
                <w:highlight w:val="none"/>
                <w14:ligatures w14:val="standardContextual"/>
              </w:rPr>
              <w:t>问6：</w:t>
            </w:r>
            <w:r>
              <w:rPr>
                <w:rFonts w:hint="default" w:ascii="Times New Roman" w:hAnsi="Times New Roman" w:eastAsia="宋体" w:cs="Times New Roman"/>
                <w:b/>
                <w:bCs/>
                <w:szCs w:val="21"/>
                <w:highlight w:val="none"/>
                <w:lang w:val="en-US"/>
                <w14:ligatures w14:val="standardContextual"/>
              </w:rPr>
              <w:t>CGT耗材，半导体过滤膜材，客户验证情况，有无大的订单落地？CGT上游全套耗材及设备，是否产品覆盖全链条，下半年有何新产品上市？</w:t>
            </w:r>
          </w:p>
          <w:p w14:paraId="50E7521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szCs w:val="21"/>
                <w:highlight w:val="none"/>
                <w14:ligatures w14:val="standardContextual"/>
              </w:rPr>
            </w:pPr>
            <w:bookmarkStart w:id="0" w:name="_GoBack"/>
            <w:bookmarkEnd w:id="0"/>
            <w:r>
              <w:rPr>
                <w:rFonts w:hint="default" w:ascii="Times New Roman" w:hAnsi="Times New Roman" w:eastAsia="宋体" w:cs="Times New Roman"/>
                <w:b/>
                <w:bCs/>
                <w:szCs w:val="21"/>
                <w:highlight w:val="none"/>
                <w14:ligatures w14:val="standardContextual"/>
              </w:rPr>
              <w:t>答：</w:t>
            </w:r>
            <w:r>
              <w:rPr>
                <w:rFonts w:hint="default" w:ascii="Times New Roman" w:hAnsi="Times New Roman" w:eastAsia="宋体" w:cs="Times New Roman"/>
                <w:szCs w:val="21"/>
                <w:highlight w:val="none"/>
                <w14:ligatures w14:val="standardContextual"/>
              </w:rPr>
              <w:t>尊敬的投资者您好！在CGT应用领域里，公司正在开发的主要是基于细胞治疗的细胞培养整体解决方案，相关的技术产品载体主要是细胞培养的自动化细胞培养工作站系统以及相关细胞培养类耗材。目前，公司相关产品主要仍处于各子系统的研发阶段，预计下半年会有细胞反应器等子系统陆续推出。但是由于目前细胞治疗药品大多仍处于研发和临床阶段，因此公司CGT相关产品的订单落地将主要取决于现有细胞治疗药品通过临床验证以及细胞治疗得以在国内得到大规模推广的时间点。</w:t>
            </w:r>
          </w:p>
          <w:p w14:paraId="129341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000000" w:themeColor="text1"/>
                <w:highlight w:val="none"/>
                <w14:textFill>
                  <w14:solidFill>
                    <w14:schemeClr w14:val="tx1"/>
                  </w14:solidFill>
                </w14:textFill>
              </w:rPr>
            </w:pPr>
            <w:r>
              <w:rPr>
                <w:rFonts w:hint="default" w:ascii="Times New Roman" w:hAnsi="Times New Roman" w:eastAsia="宋体" w:cs="Times New Roman"/>
                <w:szCs w:val="21"/>
                <w:highlight w:val="none"/>
                <w14:ligatures w14:val="standardContextual"/>
              </w:rPr>
              <w:t>在半导体过滤膜材方面，公司开发的用于半导体生产的过滤膜材目前多处于资质认证阶段（SEMI标准符合性评估），后续还需要经过客户的样品检测以及试生产认证（验厂认证）后方可进入批量供应阶段，考虑到半导体产业链的认证周期普遍较长，因此预计在年内不会有大的订单落地。感谢您的关注与支持！</w:t>
            </w:r>
          </w:p>
        </w:tc>
      </w:tr>
      <w:tr w14:paraId="1293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top w:val="single" w:color="auto" w:sz="4" w:space="0"/>
              <w:left w:val="single" w:color="auto" w:sz="4" w:space="0"/>
              <w:bottom w:val="single" w:color="auto" w:sz="4" w:space="0"/>
              <w:right w:val="single" w:color="auto" w:sz="4" w:space="0"/>
            </w:tcBorders>
            <w:vAlign w:val="center"/>
          </w:tcPr>
          <w:p w14:paraId="1293412C">
            <w:pPr>
              <w:spacing w:line="480" w:lineRule="atLeast"/>
              <w:rPr>
                <w:rFonts w:hint="default" w:ascii="Times New Roman" w:hAnsi="Times New Roman" w:eastAsia="宋体" w:cs="Times New Roman"/>
                <w:b/>
                <w:bCs/>
                <w:iCs/>
                <w:color w:val="000000" w:themeColor="text1"/>
                <w:sz w:val="24"/>
                <w:highlight w:val="none"/>
                <w14:textFill>
                  <w14:solidFill>
                    <w14:schemeClr w14:val="tx1"/>
                  </w14:solidFill>
                </w14:textFill>
              </w:rPr>
            </w:pPr>
            <w:r>
              <w:rPr>
                <w:rFonts w:hint="default" w:ascii="Times New Roman" w:hAnsi="Times New Roman" w:eastAsia="宋体" w:cs="Times New Roman"/>
                <w:b/>
                <w:bCs/>
                <w:iCs/>
                <w:color w:val="000000" w:themeColor="text1"/>
                <w:sz w:val="24"/>
                <w:highlight w:val="none"/>
                <w14:textFill>
                  <w14:solidFill>
                    <w14:schemeClr w14:val="tx1"/>
                  </w14:solidFill>
                </w14:textFill>
              </w:rPr>
              <w:t>附件清单（如有）</w:t>
            </w:r>
          </w:p>
        </w:tc>
        <w:tc>
          <w:tcPr>
            <w:tcW w:w="3820" w:type="pct"/>
            <w:tcBorders>
              <w:top w:val="single" w:color="auto" w:sz="4" w:space="0"/>
              <w:left w:val="single" w:color="auto" w:sz="4" w:space="0"/>
              <w:bottom w:val="single" w:color="auto" w:sz="4" w:space="0"/>
              <w:right w:val="single" w:color="auto" w:sz="4" w:space="0"/>
            </w:tcBorders>
          </w:tcPr>
          <w:p w14:paraId="1293412D">
            <w:pPr>
              <w:spacing w:line="480" w:lineRule="atLeast"/>
              <w:rPr>
                <w:rFonts w:hint="default" w:ascii="Times New Roman" w:hAnsi="Times New Roman" w:eastAsia="宋体" w:cs="Times New Roman"/>
                <w:bCs/>
                <w:iCs/>
                <w:color w:val="000000" w:themeColor="text1"/>
                <w:szCs w:val="21"/>
                <w:highlight w:val="none"/>
                <w14:textFill>
                  <w14:solidFill>
                    <w14:schemeClr w14:val="tx1"/>
                  </w14:solidFill>
                </w14:textFill>
              </w:rPr>
            </w:pPr>
            <w:r>
              <w:rPr>
                <w:rFonts w:hint="default" w:ascii="Times New Roman" w:hAnsi="Times New Roman" w:eastAsia="宋体" w:cs="Times New Roman"/>
                <w:bCs/>
                <w:iCs/>
                <w:color w:val="000000" w:themeColor="text1"/>
                <w:szCs w:val="21"/>
                <w:highlight w:val="none"/>
                <w14:textFill>
                  <w14:solidFill>
                    <w14:schemeClr w14:val="tx1"/>
                  </w14:solidFill>
                </w14:textFill>
              </w:rPr>
              <w:t>无</w:t>
            </w:r>
          </w:p>
        </w:tc>
      </w:tr>
    </w:tbl>
    <w:p w14:paraId="1293412F">
      <w:pPr>
        <w:rPr>
          <w:color w:val="000000" w:themeColor="text1"/>
          <w:highlight w:val="none"/>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7743358"/>
    </w:sdtPr>
    <w:sdtContent>
      <w:p w14:paraId="12934130">
        <w:pPr>
          <w:pStyle w:val="3"/>
          <w:jc w:val="center"/>
        </w:pPr>
        <w:r>
          <w:fldChar w:fldCharType="begin"/>
        </w:r>
        <w:r>
          <w:instrText xml:space="preserve">PAGE   \* MERGEFORMAT</w:instrText>
        </w:r>
        <w:r>
          <w:fldChar w:fldCharType="separate"/>
        </w:r>
        <w:r>
          <w:rPr>
            <w:lang w:val="zh-CN"/>
          </w:rPr>
          <w:t>2</w:t>
        </w:r>
        <w:r>
          <w:fldChar w:fldCharType="end"/>
        </w:r>
      </w:p>
    </w:sdtContent>
  </w:sdt>
  <w:p w14:paraId="1293413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zZmI5OGVjNzgwZTZjODYwNzZiMWU0ZjA0OWNlZDAifQ=="/>
  </w:docVars>
  <w:rsids>
    <w:rsidRoot w:val="004A25A4"/>
    <w:rsid w:val="00001A38"/>
    <w:rsid w:val="000024FB"/>
    <w:rsid w:val="000039C6"/>
    <w:rsid w:val="00010F80"/>
    <w:rsid w:val="00015A1D"/>
    <w:rsid w:val="00016670"/>
    <w:rsid w:val="00017030"/>
    <w:rsid w:val="00022AD8"/>
    <w:rsid w:val="00025A48"/>
    <w:rsid w:val="00027B06"/>
    <w:rsid w:val="00033E8C"/>
    <w:rsid w:val="00034686"/>
    <w:rsid w:val="00034975"/>
    <w:rsid w:val="00041261"/>
    <w:rsid w:val="00044C64"/>
    <w:rsid w:val="00055827"/>
    <w:rsid w:val="0005792F"/>
    <w:rsid w:val="00063517"/>
    <w:rsid w:val="00064F5E"/>
    <w:rsid w:val="00070105"/>
    <w:rsid w:val="00070793"/>
    <w:rsid w:val="00071D50"/>
    <w:rsid w:val="00073177"/>
    <w:rsid w:val="000762D7"/>
    <w:rsid w:val="0008058A"/>
    <w:rsid w:val="0008080C"/>
    <w:rsid w:val="000827D4"/>
    <w:rsid w:val="000831CB"/>
    <w:rsid w:val="00085D11"/>
    <w:rsid w:val="00085FD6"/>
    <w:rsid w:val="00090ADD"/>
    <w:rsid w:val="00094E37"/>
    <w:rsid w:val="00095BC3"/>
    <w:rsid w:val="000979EA"/>
    <w:rsid w:val="000A1222"/>
    <w:rsid w:val="000A1E4C"/>
    <w:rsid w:val="000A485E"/>
    <w:rsid w:val="000A51E0"/>
    <w:rsid w:val="000A7488"/>
    <w:rsid w:val="000B0B6D"/>
    <w:rsid w:val="000B1389"/>
    <w:rsid w:val="000B1B12"/>
    <w:rsid w:val="000B4CB0"/>
    <w:rsid w:val="000B5059"/>
    <w:rsid w:val="000B6447"/>
    <w:rsid w:val="000B685D"/>
    <w:rsid w:val="000B7464"/>
    <w:rsid w:val="000B7F91"/>
    <w:rsid w:val="000C0BCC"/>
    <w:rsid w:val="000C3CA8"/>
    <w:rsid w:val="000C45C0"/>
    <w:rsid w:val="000C7BC8"/>
    <w:rsid w:val="000D0A1E"/>
    <w:rsid w:val="000D21BB"/>
    <w:rsid w:val="000D3C0F"/>
    <w:rsid w:val="000D4835"/>
    <w:rsid w:val="000D4854"/>
    <w:rsid w:val="000E1241"/>
    <w:rsid w:val="000E1D11"/>
    <w:rsid w:val="000E6036"/>
    <w:rsid w:val="000F0106"/>
    <w:rsid w:val="000F0BA0"/>
    <w:rsid w:val="000F1549"/>
    <w:rsid w:val="000F5E9F"/>
    <w:rsid w:val="00103D30"/>
    <w:rsid w:val="001072CC"/>
    <w:rsid w:val="00107575"/>
    <w:rsid w:val="00113869"/>
    <w:rsid w:val="00114592"/>
    <w:rsid w:val="001166B3"/>
    <w:rsid w:val="00122A35"/>
    <w:rsid w:val="0012406F"/>
    <w:rsid w:val="00126729"/>
    <w:rsid w:val="00131842"/>
    <w:rsid w:val="00131C78"/>
    <w:rsid w:val="001331FF"/>
    <w:rsid w:val="00134B1D"/>
    <w:rsid w:val="00135ACD"/>
    <w:rsid w:val="00143769"/>
    <w:rsid w:val="001460A9"/>
    <w:rsid w:val="001520D7"/>
    <w:rsid w:val="00155BB0"/>
    <w:rsid w:val="0015780C"/>
    <w:rsid w:val="001619B9"/>
    <w:rsid w:val="001638A0"/>
    <w:rsid w:val="00164618"/>
    <w:rsid w:val="001706F5"/>
    <w:rsid w:val="00171939"/>
    <w:rsid w:val="00175A08"/>
    <w:rsid w:val="00176F77"/>
    <w:rsid w:val="001776DD"/>
    <w:rsid w:val="001818BA"/>
    <w:rsid w:val="00181FE9"/>
    <w:rsid w:val="00184364"/>
    <w:rsid w:val="00184AB4"/>
    <w:rsid w:val="001864ED"/>
    <w:rsid w:val="00191FF7"/>
    <w:rsid w:val="00194FB8"/>
    <w:rsid w:val="00196A8D"/>
    <w:rsid w:val="0019727C"/>
    <w:rsid w:val="001A3FA0"/>
    <w:rsid w:val="001A6060"/>
    <w:rsid w:val="001A6A18"/>
    <w:rsid w:val="001B07D0"/>
    <w:rsid w:val="001B21D7"/>
    <w:rsid w:val="001B29D9"/>
    <w:rsid w:val="001B4286"/>
    <w:rsid w:val="001B474F"/>
    <w:rsid w:val="001B4822"/>
    <w:rsid w:val="001B4EA5"/>
    <w:rsid w:val="001B4F51"/>
    <w:rsid w:val="001B54B2"/>
    <w:rsid w:val="001B5DE8"/>
    <w:rsid w:val="001C083E"/>
    <w:rsid w:val="001C0A11"/>
    <w:rsid w:val="001C1354"/>
    <w:rsid w:val="001C2CCD"/>
    <w:rsid w:val="001C465F"/>
    <w:rsid w:val="001C5761"/>
    <w:rsid w:val="001C5A7F"/>
    <w:rsid w:val="001C6670"/>
    <w:rsid w:val="001D101E"/>
    <w:rsid w:val="001D375F"/>
    <w:rsid w:val="001D3CF0"/>
    <w:rsid w:val="001D522A"/>
    <w:rsid w:val="001F01BD"/>
    <w:rsid w:val="00200C04"/>
    <w:rsid w:val="002015DE"/>
    <w:rsid w:val="002033EE"/>
    <w:rsid w:val="00205C72"/>
    <w:rsid w:val="00205EE8"/>
    <w:rsid w:val="002124E6"/>
    <w:rsid w:val="0021714E"/>
    <w:rsid w:val="00217DEB"/>
    <w:rsid w:val="00220591"/>
    <w:rsid w:val="00221B50"/>
    <w:rsid w:val="002233C1"/>
    <w:rsid w:val="00223A54"/>
    <w:rsid w:val="00225376"/>
    <w:rsid w:val="00225BEA"/>
    <w:rsid w:val="00226714"/>
    <w:rsid w:val="00226B32"/>
    <w:rsid w:val="00230C59"/>
    <w:rsid w:val="002315DA"/>
    <w:rsid w:val="00234B60"/>
    <w:rsid w:val="0023528D"/>
    <w:rsid w:val="00237420"/>
    <w:rsid w:val="00242CAA"/>
    <w:rsid w:val="00242E03"/>
    <w:rsid w:val="00244CAB"/>
    <w:rsid w:val="0024767F"/>
    <w:rsid w:val="00250595"/>
    <w:rsid w:val="00251836"/>
    <w:rsid w:val="00251C5F"/>
    <w:rsid w:val="00254FA4"/>
    <w:rsid w:val="0025783D"/>
    <w:rsid w:val="00257F9C"/>
    <w:rsid w:val="00260280"/>
    <w:rsid w:val="00260B95"/>
    <w:rsid w:val="00260D37"/>
    <w:rsid w:val="00262117"/>
    <w:rsid w:val="0026211E"/>
    <w:rsid w:val="00266310"/>
    <w:rsid w:val="00266727"/>
    <w:rsid w:val="002669CD"/>
    <w:rsid w:val="00273812"/>
    <w:rsid w:val="0027430A"/>
    <w:rsid w:val="00275CC4"/>
    <w:rsid w:val="002768B6"/>
    <w:rsid w:val="00276AF2"/>
    <w:rsid w:val="00276FE6"/>
    <w:rsid w:val="00277259"/>
    <w:rsid w:val="0029074B"/>
    <w:rsid w:val="00290EA7"/>
    <w:rsid w:val="00294B43"/>
    <w:rsid w:val="002976AF"/>
    <w:rsid w:val="00297A82"/>
    <w:rsid w:val="00297D92"/>
    <w:rsid w:val="002A0810"/>
    <w:rsid w:val="002A1937"/>
    <w:rsid w:val="002B09A6"/>
    <w:rsid w:val="002B16F3"/>
    <w:rsid w:val="002B5CF6"/>
    <w:rsid w:val="002B70CE"/>
    <w:rsid w:val="002B7D9C"/>
    <w:rsid w:val="002C356E"/>
    <w:rsid w:val="002C6993"/>
    <w:rsid w:val="002C6B7B"/>
    <w:rsid w:val="002D0179"/>
    <w:rsid w:val="002D118D"/>
    <w:rsid w:val="002D1B76"/>
    <w:rsid w:val="002D505E"/>
    <w:rsid w:val="002D5F7A"/>
    <w:rsid w:val="002D686A"/>
    <w:rsid w:val="002E0697"/>
    <w:rsid w:val="002E2D74"/>
    <w:rsid w:val="002E3D6B"/>
    <w:rsid w:val="002E4C60"/>
    <w:rsid w:val="002E68B6"/>
    <w:rsid w:val="002F08E7"/>
    <w:rsid w:val="002F210A"/>
    <w:rsid w:val="002F5169"/>
    <w:rsid w:val="002F7C21"/>
    <w:rsid w:val="003015A7"/>
    <w:rsid w:val="0030371C"/>
    <w:rsid w:val="0030580A"/>
    <w:rsid w:val="0030642F"/>
    <w:rsid w:val="00307DB0"/>
    <w:rsid w:val="0031107F"/>
    <w:rsid w:val="00311A5F"/>
    <w:rsid w:val="0031380D"/>
    <w:rsid w:val="00314B27"/>
    <w:rsid w:val="0031519A"/>
    <w:rsid w:val="0031622F"/>
    <w:rsid w:val="0031713E"/>
    <w:rsid w:val="003202DE"/>
    <w:rsid w:val="00322442"/>
    <w:rsid w:val="00330488"/>
    <w:rsid w:val="00330AC2"/>
    <w:rsid w:val="00333897"/>
    <w:rsid w:val="003339F0"/>
    <w:rsid w:val="00334CE5"/>
    <w:rsid w:val="0033509F"/>
    <w:rsid w:val="003353D2"/>
    <w:rsid w:val="00335F2C"/>
    <w:rsid w:val="00336FBB"/>
    <w:rsid w:val="00343500"/>
    <w:rsid w:val="00345CFF"/>
    <w:rsid w:val="0034615F"/>
    <w:rsid w:val="00350CB9"/>
    <w:rsid w:val="00351B9D"/>
    <w:rsid w:val="00351F08"/>
    <w:rsid w:val="00363425"/>
    <w:rsid w:val="00363952"/>
    <w:rsid w:val="0036466D"/>
    <w:rsid w:val="003721CE"/>
    <w:rsid w:val="003722AE"/>
    <w:rsid w:val="00374FDE"/>
    <w:rsid w:val="00375C2F"/>
    <w:rsid w:val="00377D5D"/>
    <w:rsid w:val="00380EAF"/>
    <w:rsid w:val="00383322"/>
    <w:rsid w:val="00383B58"/>
    <w:rsid w:val="00383EFA"/>
    <w:rsid w:val="003841D3"/>
    <w:rsid w:val="00384819"/>
    <w:rsid w:val="00385442"/>
    <w:rsid w:val="00393A35"/>
    <w:rsid w:val="00394638"/>
    <w:rsid w:val="003A15AB"/>
    <w:rsid w:val="003A1BD4"/>
    <w:rsid w:val="003B00A0"/>
    <w:rsid w:val="003B2B79"/>
    <w:rsid w:val="003B76BC"/>
    <w:rsid w:val="003C2370"/>
    <w:rsid w:val="003C25E4"/>
    <w:rsid w:val="003C2CC0"/>
    <w:rsid w:val="003C3432"/>
    <w:rsid w:val="003C5EF6"/>
    <w:rsid w:val="003D05CC"/>
    <w:rsid w:val="003D257F"/>
    <w:rsid w:val="003D5342"/>
    <w:rsid w:val="003D787A"/>
    <w:rsid w:val="003E39B1"/>
    <w:rsid w:val="003E6764"/>
    <w:rsid w:val="003F15F3"/>
    <w:rsid w:val="003F176D"/>
    <w:rsid w:val="003F253E"/>
    <w:rsid w:val="003F3007"/>
    <w:rsid w:val="003F315C"/>
    <w:rsid w:val="003F5285"/>
    <w:rsid w:val="0040430A"/>
    <w:rsid w:val="004058F0"/>
    <w:rsid w:val="00405F68"/>
    <w:rsid w:val="00410A76"/>
    <w:rsid w:val="00411906"/>
    <w:rsid w:val="00413943"/>
    <w:rsid w:val="0041496B"/>
    <w:rsid w:val="00416B86"/>
    <w:rsid w:val="00420141"/>
    <w:rsid w:val="00420E3F"/>
    <w:rsid w:val="00422553"/>
    <w:rsid w:val="00423385"/>
    <w:rsid w:val="00424322"/>
    <w:rsid w:val="00430242"/>
    <w:rsid w:val="00431FEB"/>
    <w:rsid w:val="004322EF"/>
    <w:rsid w:val="00432325"/>
    <w:rsid w:val="0043557B"/>
    <w:rsid w:val="00435B3A"/>
    <w:rsid w:val="0043687F"/>
    <w:rsid w:val="00443554"/>
    <w:rsid w:val="00443C1A"/>
    <w:rsid w:val="004450DD"/>
    <w:rsid w:val="0044746A"/>
    <w:rsid w:val="00447C53"/>
    <w:rsid w:val="00451D9A"/>
    <w:rsid w:val="004526A4"/>
    <w:rsid w:val="00452A9C"/>
    <w:rsid w:val="00461786"/>
    <w:rsid w:val="00461D52"/>
    <w:rsid w:val="004623F4"/>
    <w:rsid w:val="00465709"/>
    <w:rsid w:val="0047029E"/>
    <w:rsid w:val="00471DAB"/>
    <w:rsid w:val="00472C7B"/>
    <w:rsid w:val="00474856"/>
    <w:rsid w:val="00475192"/>
    <w:rsid w:val="00477890"/>
    <w:rsid w:val="00484F18"/>
    <w:rsid w:val="004877AC"/>
    <w:rsid w:val="0048787F"/>
    <w:rsid w:val="004908D1"/>
    <w:rsid w:val="00490E5A"/>
    <w:rsid w:val="00492C50"/>
    <w:rsid w:val="00495C73"/>
    <w:rsid w:val="00496E54"/>
    <w:rsid w:val="0049771B"/>
    <w:rsid w:val="004A25A4"/>
    <w:rsid w:val="004A3347"/>
    <w:rsid w:val="004A34A5"/>
    <w:rsid w:val="004B00BC"/>
    <w:rsid w:val="004B1329"/>
    <w:rsid w:val="004B1617"/>
    <w:rsid w:val="004B241B"/>
    <w:rsid w:val="004B299A"/>
    <w:rsid w:val="004B6373"/>
    <w:rsid w:val="004C10AA"/>
    <w:rsid w:val="004C143F"/>
    <w:rsid w:val="004C2838"/>
    <w:rsid w:val="004C2985"/>
    <w:rsid w:val="004C36C5"/>
    <w:rsid w:val="004C71A5"/>
    <w:rsid w:val="004C7362"/>
    <w:rsid w:val="004D18C6"/>
    <w:rsid w:val="004D2186"/>
    <w:rsid w:val="004D33E0"/>
    <w:rsid w:val="004D35A2"/>
    <w:rsid w:val="004E06A7"/>
    <w:rsid w:val="004E3A7F"/>
    <w:rsid w:val="004E7193"/>
    <w:rsid w:val="004E7506"/>
    <w:rsid w:val="004E7FCF"/>
    <w:rsid w:val="004F1C94"/>
    <w:rsid w:val="00501EDA"/>
    <w:rsid w:val="00503B3E"/>
    <w:rsid w:val="00506498"/>
    <w:rsid w:val="00507561"/>
    <w:rsid w:val="00507AB8"/>
    <w:rsid w:val="005108EC"/>
    <w:rsid w:val="00510BD0"/>
    <w:rsid w:val="00513E13"/>
    <w:rsid w:val="00520743"/>
    <w:rsid w:val="00520A96"/>
    <w:rsid w:val="00520E18"/>
    <w:rsid w:val="00523AF8"/>
    <w:rsid w:val="00523E87"/>
    <w:rsid w:val="0052459A"/>
    <w:rsid w:val="005321BB"/>
    <w:rsid w:val="0053280E"/>
    <w:rsid w:val="00534178"/>
    <w:rsid w:val="005402A9"/>
    <w:rsid w:val="00540FF2"/>
    <w:rsid w:val="00544294"/>
    <w:rsid w:val="00547EB9"/>
    <w:rsid w:val="00554D60"/>
    <w:rsid w:val="0055505F"/>
    <w:rsid w:val="005556D0"/>
    <w:rsid w:val="00561597"/>
    <w:rsid w:val="00565E16"/>
    <w:rsid w:val="00566CCC"/>
    <w:rsid w:val="0056764C"/>
    <w:rsid w:val="00570366"/>
    <w:rsid w:val="005703BD"/>
    <w:rsid w:val="00570A24"/>
    <w:rsid w:val="00571F9F"/>
    <w:rsid w:val="00577861"/>
    <w:rsid w:val="00584B90"/>
    <w:rsid w:val="00585EEF"/>
    <w:rsid w:val="00590C53"/>
    <w:rsid w:val="005917EC"/>
    <w:rsid w:val="005930A5"/>
    <w:rsid w:val="00593344"/>
    <w:rsid w:val="005969F1"/>
    <w:rsid w:val="005B26FC"/>
    <w:rsid w:val="005B293F"/>
    <w:rsid w:val="005B2A85"/>
    <w:rsid w:val="005B6BC7"/>
    <w:rsid w:val="005B792D"/>
    <w:rsid w:val="005C0CF6"/>
    <w:rsid w:val="005D03BF"/>
    <w:rsid w:val="005D0FE4"/>
    <w:rsid w:val="005D1A37"/>
    <w:rsid w:val="005D7350"/>
    <w:rsid w:val="005E027E"/>
    <w:rsid w:val="005E04E6"/>
    <w:rsid w:val="005E1C73"/>
    <w:rsid w:val="005E49BA"/>
    <w:rsid w:val="005E784D"/>
    <w:rsid w:val="005E7FBD"/>
    <w:rsid w:val="005F06AA"/>
    <w:rsid w:val="005F2469"/>
    <w:rsid w:val="005F3E03"/>
    <w:rsid w:val="005F5C88"/>
    <w:rsid w:val="00602C58"/>
    <w:rsid w:val="00604B8E"/>
    <w:rsid w:val="0060525A"/>
    <w:rsid w:val="00605ED9"/>
    <w:rsid w:val="00607162"/>
    <w:rsid w:val="00607FDD"/>
    <w:rsid w:val="00610630"/>
    <w:rsid w:val="00616BCF"/>
    <w:rsid w:val="00617E7F"/>
    <w:rsid w:val="00621514"/>
    <w:rsid w:val="00625AAE"/>
    <w:rsid w:val="006272E4"/>
    <w:rsid w:val="0062785A"/>
    <w:rsid w:val="00631B77"/>
    <w:rsid w:val="0063604B"/>
    <w:rsid w:val="0063747F"/>
    <w:rsid w:val="00637DD8"/>
    <w:rsid w:val="00640822"/>
    <w:rsid w:val="00640B89"/>
    <w:rsid w:val="0064212B"/>
    <w:rsid w:val="00643370"/>
    <w:rsid w:val="00647754"/>
    <w:rsid w:val="00650A17"/>
    <w:rsid w:val="006528C3"/>
    <w:rsid w:val="006528C7"/>
    <w:rsid w:val="006564EE"/>
    <w:rsid w:val="00660344"/>
    <w:rsid w:val="00661557"/>
    <w:rsid w:val="00661726"/>
    <w:rsid w:val="00663138"/>
    <w:rsid w:val="006655C5"/>
    <w:rsid w:val="006718C8"/>
    <w:rsid w:val="00675CF3"/>
    <w:rsid w:val="00685656"/>
    <w:rsid w:val="00690C82"/>
    <w:rsid w:val="00690F18"/>
    <w:rsid w:val="006937A3"/>
    <w:rsid w:val="00695DAE"/>
    <w:rsid w:val="00697DBF"/>
    <w:rsid w:val="006A000E"/>
    <w:rsid w:val="006A1706"/>
    <w:rsid w:val="006A1DB8"/>
    <w:rsid w:val="006A2661"/>
    <w:rsid w:val="006A5973"/>
    <w:rsid w:val="006A5D7A"/>
    <w:rsid w:val="006A6F1B"/>
    <w:rsid w:val="006B1D6C"/>
    <w:rsid w:val="006B285B"/>
    <w:rsid w:val="006B5A7C"/>
    <w:rsid w:val="006B6615"/>
    <w:rsid w:val="006B7665"/>
    <w:rsid w:val="006B7924"/>
    <w:rsid w:val="006C07B7"/>
    <w:rsid w:val="006C1388"/>
    <w:rsid w:val="006C2372"/>
    <w:rsid w:val="006C3C5D"/>
    <w:rsid w:val="006C4AB0"/>
    <w:rsid w:val="006C5604"/>
    <w:rsid w:val="006C5B4D"/>
    <w:rsid w:val="006C7C77"/>
    <w:rsid w:val="006D1C77"/>
    <w:rsid w:val="006D31A3"/>
    <w:rsid w:val="006D5342"/>
    <w:rsid w:val="006D5B09"/>
    <w:rsid w:val="006D5BA7"/>
    <w:rsid w:val="006D6F3B"/>
    <w:rsid w:val="006D7B20"/>
    <w:rsid w:val="006E04CA"/>
    <w:rsid w:val="006E7707"/>
    <w:rsid w:val="006F04CF"/>
    <w:rsid w:val="006F2AFC"/>
    <w:rsid w:val="006F376B"/>
    <w:rsid w:val="006F6E15"/>
    <w:rsid w:val="006F7167"/>
    <w:rsid w:val="00706209"/>
    <w:rsid w:val="00706558"/>
    <w:rsid w:val="00707CD4"/>
    <w:rsid w:val="007102E1"/>
    <w:rsid w:val="00710BCA"/>
    <w:rsid w:val="00711896"/>
    <w:rsid w:val="00711D34"/>
    <w:rsid w:val="007126A1"/>
    <w:rsid w:val="00712A37"/>
    <w:rsid w:val="007176DA"/>
    <w:rsid w:val="0072107D"/>
    <w:rsid w:val="00721E88"/>
    <w:rsid w:val="00722386"/>
    <w:rsid w:val="00723324"/>
    <w:rsid w:val="0073087F"/>
    <w:rsid w:val="0073402C"/>
    <w:rsid w:val="00734A55"/>
    <w:rsid w:val="007363BF"/>
    <w:rsid w:val="00744FB3"/>
    <w:rsid w:val="007467FA"/>
    <w:rsid w:val="007476BB"/>
    <w:rsid w:val="007503CE"/>
    <w:rsid w:val="007538A9"/>
    <w:rsid w:val="00754528"/>
    <w:rsid w:val="00754556"/>
    <w:rsid w:val="00755DA0"/>
    <w:rsid w:val="00760E76"/>
    <w:rsid w:val="007621E2"/>
    <w:rsid w:val="007629D1"/>
    <w:rsid w:val="007640F4"/>
    <w:rsid w:val="0076412F"/>
    <w:rsid w:val="007644BB"/>
    <w:rsid w:val="007647ED"/>
    <w:rsid w:val="0077259F"/>
    <w:rsid w:val="00772976"/>
    <w:rsid w:val="00775D7F"/>
    <w:rsid w:val="00776D6A"/>
    <w:rsid w:val="00776D76"/>
    <w:rsid w:val="00777929"/>
    <w:rsid w:val="00781B4C"/>
    <w:rsid w:val="0078750A"/>
    <w:rsid w:val="00793F42"/>
    <w:rsid w:val="007A0FA9"/>
    <w:rsid w:val="007A6F63"/>
    <w:rsid w:val="007A7AB0"/>
    <w:rsid w:val="007B7557"/>
    <w:rsid w:val="007C28D2"/>
    <w:rsid w:val="007C533B"/>
    <w:rsid w:val="007D1437"/>
    <w:rsid w:val="007D44B3"/>
    <w:rsid w:val="007D70F9"/>
    <w:rsid w:val="007D737E"/>
    <w:rsid w:val="007E1474"/>
    <w:rsid w:val="007E3403"/>
    <w:rsid w:val="007E518F"/>
    <w:rsid w:val="007E53D2"/>
    <w:rsid w:val="007E5A3A"/>
    <w:rsid w:val="007E602E"/>
    <w:rsid w:val="007E6206"/>
    <w:rsid w:val="007E7CD1"/>
    <w:rsid w:val="007F10C3"/>
    <w:rsid w:val="007F1326"/>
    <w:rsid w:val="007F134C"/>
    <w:rsid w:val="007F1C7F"/>
    <w:rsid w:val="007F2A56"/>
    <w:rsid w:val="007F33CC"/>
    <w:rsid w:val="007F3574"/>
    <w:rsid w:val="007F35C8"/>
    <w:rsid w:val="007F5682"/>
    <w:rsid w:val="007F5DBF"/>
    <w:rsid w:val="007F60CE"/>
    <w:rsid w:val="007F6B1C"/>
    <w:rsid w:val="007F6FCB"/>
    <w:rsid w:val="007F7C1B"/>
    <w:rsid w:val="007F7F7E"/>
    <w:rsid w:val="008032FD"/>
    <w:rsid w:val="00803E92"/>
    <w:rsid w:val="008042E9"/>
    <w:rsid w:val="00806984"/>
    <w:rsid w:val="00811372"/>
    <w:rsid w:val="00814B7F"/>
    <w:rsid w:val="00821FB2"/>
    <w:rsid w:val="00823020"/>
    <w:rsid w:val="0082490E"/>
    <w:rsid w:val="00827AD7"/>
    <w:rsid w:val="008303E7"/>
    <w:rsid w:val="008371EB"/>
    <w:rsid w:val="0084046B"/>
    <w:rsid w:val="008453F0"/>
    <w:rsid w:val="00846989"/>
    <w:rsid w:val="00846D29"/>
    <w:rsid w:val="00847CE7"/>
    <w:rsid w:val="00851874"/>
    <w:rsid w:val="008550A7"/>
    <w:rsid w:val="0085613E"/>
    <w:rsid w:val="00867601"/>
    <w:rsid w:val="0086780A"/>
    <w:rsid w:val="00870E79"/>
    <w:rsid w:val="00871AA7"/>
    <w:rsid w:val="00875F10"/>
    <w:rsid w:val="00876E27"/>
    <w:rsid w:val="008811F6"/>
    <w:rsid w:val="008842C9"/>
    <w:rsid w:val="00884717"/>
    <w:rsid w:val="00885384"/>
    <w:rsid w:val="00886625"/>
    <w:rsid w:val="00890819"/>
    <w:rsid w:val="00891E72"/>
    <w:rsid w:val="00892FE9"/>
    <w:rsid w:val="008A1932"/>
    <w:rsid w:val="008A22ED"/>
    <w:rsid w:val="008A318A"/>
    <w:rsid w:val="008A5EF9"/>
    <w:rsid w:val="008A5F6B"/>
    <w:rsid w:val="008A70E5"/>
    <w:rsid w:val="008A7E69"/>
    <w:rsid w:val="008A7EAC"/>
    <w:rsid w:val="008B2192"/>
    <w:rsid w:val="008B2429"/>
    <w:rsid w:val="008B3769"/>
    <w:rsid w:val="008C1B3C"/>
    <w:rsid w:val="008C20A2"/>
    <w:rsid w:val="008C2CC0"/>
    <w:rsid w:val="008C3190"/>
    <w:rsid w:val="008C5A0F"/>
    <w:rsid w:val="008C7696"/>
    <w:rsid w:val="008D253E"/>
    <w:rsid w:val="008D732C"/>
    <w:rsid w:val="008E0312"/>
    <w:rsid w:val="008E2E27"/>
    <w:rsid w:val="008F03E3"/>
    <w:rsid w:val="008F2062"/>
    <w:rsid w:val="008F6709"/>
    <w:rsid w:val="00900B67"/>
    <w:rsid w:val="00900D62"/>
    <w:rsid w:val="0090519F"/>
    <w:rsid w:val="009141F9"/>
    <w:rsid w:val="00914D3C"/>
    <w:rsid w:val="00915D14"/>
    <w:rsid w:val="00920A2A"/>
    <w:rsid w:val="00921D5B"/>
    <w:rsid w:val="00922C5B"/>
    <w:rsid w:val="00925373"/>
    <w:rsid w:val="00925DDE"/>
    <w:rsid w:val="00932A15"/>
    <w:rsid w:val="00934043"/>
    <w:rsid w:val="009350B5"/>
    <w:rsid w:val="00937507"/>
    <w:rsid w:val="00940118"/>
    <w:rsid w:val="00940831"/>
    <w:rsid w:val="00941999"/>
    <w:rsid w:val="00942029"/>
    <w:rsid w:val="0094261C"/>
    <w:rsid w:val="00945B76"/>
    <w:rsid w:val="00951711"/>
    <w:rsid w:val="00954F59"/>
    <w:rsid w:val="00957CCC"/>
    <w:rsid w:val="00960856"/>
    <w:rsid w:val="00961663"/>
    <w:rsid w:val="00962A2C"/>
    <w:rsid w:val="00963002"/>
    <w:rsid w:val="00963F38"/>
    <w:rsid w:val="0097117A"/>
    <w:rsid w:val="00976F25"/>
    <w:rsid w:val="009806CB"/>
    <w:rsid w:val="0098339E"/>
    <w:rsid w:val="0098547D"/>
    <w:rsid w:val="009862A7"/>
    <w:rsid w:val="009871E3"/>
    <w:rsid w:val="009950E3"/>
    <w:rsid w:val="00995D05"/>
    <w:rsid w:val="009A0094"/>
    <w:rsid w:val="009A27A7"/>
    <w:rsid w:val="009A3254"/>
    <w:rsid w:val="009A3742"/>
    <w:rsid w:val="009A594C"/>
    <w:rsid w:val="009A66BA"/>
    <w:rsid w:val="009B1F31"/>
    <w:rsid w:val="009B27BD"/>
    <w:rsid w:val="009B3854"/>
    <w:rsid w:val="009B475B"/>
    <w:rsid w:val="009C028A"/>
    <w:rsid w:val="009C2324"/>
    <w:rsid w:val="009C35DB"/>
    <w:rsid w:val="009C4759"/>
    <w:rsid w:val="009D1A8D"/>
    <w:rsid w:val="009D7777"/>
    <w:rsid w:val="009E13DE"/>
    <w:rsid w:val="009E30E7"/>
    <w:rsid w:val="009E3F6A"/>
    <w:rsid w:val="009E416C"/>
    <w:rsid w:val="009F24C4"/>
    <w:rsid w:val="009F6AAF"/>
    <w:rsid w:val="009F6F29"/>
    <w:rsid w:val="009F747C"/>
    <w:rsid w:val="00A02813"/>
    <w:rsid w:val="00A028A6"/>
    <w:rsid w:val="00A036A4"/>
    <w:rsid w:val="00A03EDA"/>
    <w:rsid w:val="00A068A6"/>
    <w:rsid w:val="00A14077"/>
    <w:rsid w:val="00A15720"/>
    <w:rsid w:val="00A1757D"/>
    <w:rsid w:val="00A26661"/>
    <w:rsid w:val="00A27F1B"/>
    <w:rsid w:val="00A32812"/>
    <w:rsid w:val="00A35412"/>
    <w:rsid w:val="00A3612A"/>
    <w:rsid w:val="00A42103"/>
    <w:rsid w:val="00A4262F"/>
    <w:rsid w:val="00A4389C"/>
    <w:rsid w:val="00A477F6"/>
    <w:rsid w:val="00A51765"/>
    <w:rsid w:val="00A61600"/>
    <w:rsid w:val="00A66CF9"/>
    <w:rsid w:val="00A739D7"/>
    <w:rsid w:val="00A7572C"/>
    <w:rsid w:val="00A76498"/>
    <w:rsid w:val="00A77F30"/>
    <w:rsid w:val="00A8199E"/>
    <w:rsid w:val="00A81E41"/>
    <w:rsid w:val="00A84B96"/>
    <w:rsid w:val="00A86DAA"/>
    <w:rsid w:val="00A87758"/>
    <w:rsid w:val="00A9128C"/>
    <w:rsid w:val="00A93796"/>
    <w:rsid w:val="00A94798"/>
    <w:rsid w:val="00AA258B"/>
    <w:rsid w:val="00AA298E"/>
    <w:rsid w:val="00AA44A9"/>
    <w:rsid w:val="00AA5CF9"/>
    <w:rsid w:val="00AB4864"/>
    <w:rsid w:val="00AB4ED4"/>
    <w:rsid w:val="00AB6A7F"/>
    <w:rsid w:val="00AC3813"/>
    <w:rsid w:val="00AC3F36"/>
    <w:rsid w:val="00AC4519"/>
    <w:rsid w:val="00AC4B50"/>
    <w:rsid w:val="00AC746C"/>
    <w:rsid w:val="00AC75D5"/>
    <w:rsid w:val="00AD2D8B"/>
    <w:rsid w:val="00AD72BB"/>
    <w:rsid w:val="00AD798D"/>
    <w:rsid w:val="00AE0070"/>
    <w:rsid w:val="00AE7599"/>
    <w:rsid w:val="00AE7CD0"/>
    <w:rsid w:val="00AF621D"/>
    <w:rsid w:val="00AF6298"/>
    <w:rsid w:val="00B00565"/>
    <w:rsid w:val="00B02357"/>
    <w:rsid w:val="00B05AF7"/>
    <w:rsid w:val="00B12847"/>
    <w:rsid w:val="00B14928"/>
    <w:rsid w:val="00B152C4"/>
    <w:rsid w:val="00B15A73"/>
    <w:rsid w:val="00B161DE"/>
    <w:rsid w:val="00B17D0D"/>
    <w:rsid w:val="00B22B23"/>
    <w:rsid w:val="00B25FBD"/>
    <w:rsid w:val="00B26121"/>
    <w:rsid w:val="00B32214"/>
    <w:rsid w:val="00B33384"/>
    <w:rsid w:val="00B34038"/>
    <w:rsid w:val="00B3473E"/>
    <w:rsid w:val="00B35EAC"/>
    <w:rsid w:val="00B3646F"/>
    <w:rsid w:val="00B3702E"/>
    <w:rsid w:val="00B41884"/>
    <w:rsid w:val="00B444D4"/>
    <w:rsid w:val="00B455EB"/>
    <w:rsid w:val="00B457C4"/>
    <w:rsid w:val="00B4603E"/>
    <w:rsid w:val="00B46552"/>
    <w:rsid w:val="00B50AF8"/>
    <w:rsid w:val="00B52731"/>
    <w:rsid w:val="00B52E30"/>
    <w:rsid w:val="00B52F41"/>
    <w:rsid w:val="00B534D8"/>
    <w:rsid w:val="00B53636"/>
    <w:rsid w:val="00B53779"/>
    <w:rsid w:val="00B54B67"/>
    <w:rsid w:val="00B555B6"/>
    <w:rsid w:val="00B55F7A"/>
    <w:rsid w:val="00B576AB"/>
    <w:rsid w:val="00B64B29"/>
    <w:rsid w:val="00B676C9"/>
    <w:rsid w:val="00B72949"/>
    <w:rsid w:val="00B72C62"/>
    <w:rsid w:val="00B73814"/>
    <w:rsid w:val="00B7680D"/>
    <w:rsid w:val="00B7764A"/>
    <w:rsid w:val="00B805A9"/>
    <w:rsid w:val="00B80C49"/>
    <w:rsid w:val="00B81682"/>
    <w:rsid w:val="00B83A39"/>
    <w:rsid w:val="00B8662B"/>
    <w:rsid w:val="00B90D19"/>
    <w:rsid w:val="00B910B0"/>
    <w:rsid w:val="00B9520A"/>
    <w:rsid w:val="00B97492"/>
    <w:rsid w:val="00BA00B7"/>
    <w:rsid w:val="00BA664B"/>
    <w:rsid w:val="00BB0AE5"/>
    <w:rsid w:val="00BB0EC9"/>
    <w:rsid w:val="00BB10FB"/>
    <w:rsid w:val="00BB2F1E"/>
    <w:rsid w:val="00BB67DB"/>
    <w:rsid w:val="00BB771F"/>
    <w:rsid w:val="00BC1D5F"/>
    <w:rsid w:val="00BC38D3"/>
    <w:rsid w:val="00BC3CA6"/>
    <w:rsid w:val="00BC4188"/>
    <w:rsid w:val="00BC4525"/>
    <w:rsid w:val="00BC5A31"/>
    <w:rsid w:val="00BC5FEF"/>
    <w:rsid w:val="00BC772D"/>
    <w:rsid w:val="00BD6D5B"/>
    <w:rsid w:val="00BD7337"/>
    <w:rsid w:val="00BE09AB"/>
    <w:rsid w:val="00BE3F85"/>
    <w:rsid w:val="00BE4FEC"/>
    <w:rsid w:val="00BF1560"/>
    <w:rsid w:val="00BF17A2"/>
    <w:rsid w:val="00BF1BF7"/>
    <w:rsid w:val="00BF4AFA"/>
    <w:rsid w:val="00C00586"/>
    <w:rsid w:val="00C01349"/>
    <w:rsid w:val="00C02EF9"/>
    <w:rsid w:val="00C07232"/>
    <w:rsid w:val="00C075F7"/>
    <w:rsid w:val="00C1122A"/>
    <w:rsid w:val="00C128B6"/>
    <w:rsid w:val="00C13E4E"/>
    <w:rsid w:val="00C20F33"/>
    <w:rsid w:val="00C242CF"/>
    <w:rsid w:val="00C24631"/>
    <w:rsid w:val="00C2514E"/>
    <w:rsid w:val="00C33818"/>
    <w:rsid w:val="00C349FA"/>
    <w:rsid w:val="00C35073"/>
    <w:rsid w:val="00C35711"/>
    <w:rsid w:val="00C36394"/>
    <w:rsid w:val="00C37D73"/>
    <w:rsid w:val="00C47400"/>
    <w:rsid w:val="00C50561"/>
    <w:rsid w:val="00C50B26"/>
    <w:rsid w:val="00C50B7C"/>
    <w:rsid w:val="00C52616"/>
    <w:rsid w:val="00C5320B"/>
    <w:rsid w:val="00C55820"/>
    <w:rsid w:val="00C55AA1"/>
    <w:rsid w:val="00C55C02"/>
    <w:rsid w:val="00C55E3E"/>
    <w:rsid w:val="00C56E8C"/>
    <w:rsid w:val="00C60958"/>
    <w:rsid w:val="00C63C7D"/>
    <w:rsid w:val="00C64049"/>
    <w:rsid w:val="00C640FE"/>
    <w:rsid w:val="00C64791"/>
    <w:rsid w:val="00C66BD8"/>
    <w:rsid w:val="00C72A2E"/>
    <w:rsid w:val="00C7305E"/>
    <w:rsid w:val="00C81107"/>
    <w:rsid w:val="00C841C3"/>
    <w:rsid w:val="00C86474"/>
    <w:rsid w:val="00C87163"/>
    <w:rsid w:val="00C914BF"/>
    <w:rsid w:val="00C93CBE"/>
    <w:rsid w:val="00C96D3A"/>
    <w:rsid w:val="00CA0147"/>
    <w:rsid w:val="00CA2037"/>
    <w:rsid w:val="00CA4A88"/>
    <w:rsid w:val="00CB1DE0"/>
    <w:rsid w:val="00CB1E59"/>
    <w:rsid w:val="00CB570E"/>
    <w:rsid w:val="00CB5D0C"/>
    <w:rsid w:val="00CB74CF"/>
    <w:rsid w:val="00CC119D"/>
    <w:rsid w:val="00CC227B"/>
    <w:rsid w:val="00CC34C2"/>
    <w:rsid w:val="00CC55BF"/>
    <w:rsid w:val="00CC59A9"/>
    <w:rsid w:val="00CC60A5"/>
    <w:rsid w:val="00CE0851"/>
    <w:rsid w:val="00CE1DA2"/>
    <w:rsid w:val="00CE2379"/>
    <w:rsid w:val="00CE4E92"/>
    <w:rsid w:val="00CE57BC"/>
    <w:rsid w:val="00CE5CD0"/>
    <w:rsid w:val="00CE7C87"/>
    <w:rsid w:val="00CF175F"/>
    <w:rsid w:val="00CF4BE6"/>
    <w:rsid w:val="00CF4DA3"/>
    <w:rsid w:val="00CF6784"/>
    <w:rsid w:val="00CF6CCC"/>
    <w:rsid w:val="00CF7CB2"/>
    <w:rsid w:val="00D02DC8"/>
    <w:rsid w:val="00D06947"/>
    <w:rsid w:val="00D106BF"/>
    <w:rsid w:val="00D12A0A"/>
    <w:rsid w:val="00D14D53"/>
    <w:rsid w:val="00D20A0C"/>
    <w:rsid w:val="00D21547"/>
    <w:rsid w:val="00D21BAE"/>
    <w:rsid w:val="00D23F9A"/>
    <w:rsid w:val="00D339D8"/>
    <w:rsid w:val="00D34AA0"/>
    <w:rsid w:val="00D35817"/>
    <w:rsid w:val="00D363F6"/>
    <w:rsid w:val="00D36C7D"/>
    <w:rsid w:val="00D42B14"/>
    <w:rsid w:val="00D51D37"/>
    <w:rsid w:val="00D52519"/>
    <w:rsid w:val="00D52B6E"/>
    <w:rsid w:val="00D5349B"/>
    <w:rsid w:val="00D565BA"/>
    <w:rsid w:val="00D613F4"/>
    <w:rsid w:val="00D62238"/>
    <w:rsid w:val="00D63ACC"/>
    <w:rsid w:val="00D66B93"/>
    <w:rsid w:val="00D66CFE"/>
    <w:rsid w:val="00D67887"/>
    <w:rsid w:val="00D679F7"/>
    <w:rsid w:val="00D74123"/>
    <w:rsid w:val="00D754DC"/>
    <w:rsid w:val="00D80B63"/>
    <w:rsid w:val="00D81FF4"/>
    <w:rsid w:val="00D82437"/>
    <w:rsid w:val="00D84675"/>
    <w:rsid w:val="00D87062"/>
    <w:rsid w:val="00D94CC5"/>
    <w:rsid w:val="00D95FB3"/>
    <w:rsid w:val="00DA00E2"/>
    <w:rsid w:val="00DA0DC7"/>
    <w:rsid w:val="00DA6A4F"/>
    <w:rsid w:val="00DB4BFC"/>
    <w:rsid w:val="00DB620C"/>
    <w:rsid w:val="00DB625D"/>
    <w:rsid w:val="00DC0898"/>
    <w:rsid w:val="00DC29B7"/>
    <w:rsid w:val="00DD0112"/>
    <w:rsid w:val="00DD1C7E"/>
    <w:rsid w:val="00DD2119"/>
    <w:rsid w:val="00DD224D"/>
    <w:rsid w:val="00DD2539"/>
    <w:rsid w:val="00DD2AC6"/>
    <w:rsid w:val="00DD6A01"/>
    <w:rsid w:val="00DE296A"/>
    <w:rsid w:val="00DE32E0"/>
    <w:rsid w:val="00DE34EA"/>
    <w:rsid w:val="00DE3C3E"/>
    <w:rsid w:val="00DF3ACF"/>
    <w:rsid w:val="00DF565A"/>
    <w:rsid w:val="00DF61C5"/>
    <w:rsid w:val="00DF7622"/>
    <w:rsid w:val="00E03662"/>
    <w:rsid w:val="00E04AE0"/>
    <w:rsid w:val="00E05E1C"/>
    <w:rsid w:val="00E0786D"/>
    <w:rsid w:val="00E14089"/>
    <w:rsid w:val="00E1516B"/>
    <w:rsid w:val="00E157F7"/>
    <w:rsid w:val="00E242A0"/>
    <w:rsid w:val="00E3079B"/>
    <w:rsid w:val="00E33804"/>
    <w:rsid w:val="00E34330"/>
    <w:rsid w:val="00E3490A"/>
    <w:rsid w:val="00E415CD"/>
    <w:rsid w:val="00E4712D"/>
    <w:rsid w:val="00E478D7"/>
    <w:rsid w:val="00E541DB"/>
    <w:rsid w:val="00E55923"/>
    <w:rsid w:val="00E61D22"/>
    <w:rsid w:val="00E65E54"/>
    <w:rsid w:val="00E713CC"/>
    <w:rsid w:val="00E75DF3"/>
    <w:rsid w:val="00E76A68"/>
    <w:rsid w:val="00E76C25"/>
    <w:rsid w:val="00E82250"/>
    <w:rsid w:val="00E82B66"/>
    <w:rsid w:val="00E90542"/>
    <w:rsid w:val="00E91903"/>
    <w:rsid w:val="00E928FB"/>
    <w:rsid w:val="00E9358B"/>
    <w:rsid w:val="00E943F6"/>
    <w:rsid w:val="00E97809"/>
    <w:rsid w:val="00EA2E2D"/>
    <w:rsid w:val="00EA3669"/>
    <w:rsid w:val="00EA55C9"/>
    <w:rsid w:val="00EA64B1"/>
    <w:rsid w:val="00EA6B3B"/>
    <w:rsid w:val="00EA6BD4"/>
    <w:rsid w:val="00EA6F7D"/>
    <w:rsid w:val="00EB0E6D"/>
    <w:rsid w:val="00EB4FDC"/>
    <w:rsid w:val="00EB5503"/>
    <w:rsid w:val="00EB6A62"/>
    <w:rsid w:val="00EB79C7"/>
    <w:rsid w:val="00EC07BD"/>
    <w:rsid w:val="00EC0DC7"/>
    <w:rsid w:val="00EC12E5"/>
    <w:rsid w:val="00EC464B"/>
    <w:rsid w:val="00EC7543"/>
    <w:rsid w:val="00EC7849"/>
    <w:rsid w:val="00ED536D"/>
    <w:rsid w:val="00EE2609"/>
    <w:rsid w:val="00EE5622"/>
    <w:rsid w:val="00EE634C"/>
    <w:rsid w:val="00EF195D"/>
    <w:rsid w:val="00EF43A1"/>
    <w:rsid w:val="00F02A97"/>
    <w:rsid w:val="00F030C8"/>
    <w:rsid w:val="00F14298"/>
    <w:rsid w:val="00F16774"/>
    <w:rsid w:val="00F176B6"/>
    <w:rsid w:val="00F20597"/>
    <w:rsid w:val="00F215B7"/>
    <w:rsid w:val="00F21C1A"/>
    <w:rsid w:val="00F223C0"/>
    <w:rsid w:val="00F23298"/>
    <w:rsid w:val="00F271C4"/>
    <w:rsid w:val="00F335FE"/>
    <w:rsid w:val="00F36A1C"/>
    <w:rsid w:val="00F470CE"/>
    <w:rsid w:val="00F47C46"/>
    <w:rsid w:val="00F47F01"/>
    <w:rsid w:val="00F6191D"/>
    <w:rsid w:val="00F62C43"/>
    <w:rsid w:val="00F63DE7"/>
    <w:rsid w:val="00F67B1C"/>
    <w:rsid w:val="00F74B4B"/>
    <w:rsid w:val="00F76CE5"/>
    <w:rsid w:val="00F802E9"/>
    <w:rsid w:val="00F82012"/>
    <w:rsid w:val="00F84442"/>
    <w:rsid w:val="00F85208"/>
    <w:rsid w:val="00F855BB"/>
    <w:rsid w:val="00F8633E"/>
    <w:rsid w:val="00F91C59"/>
    <w:rsid w:val="00F95722"/>
    <w:rsid w:val="00F96769"/>
    <w:rsid w:val="00F97E6E"/>
    <w:rsid w:val="00FA4250"/>
    <w:rsid w:val="00FA43C6"/>
    <w:rsid w:val="00FA73A6"/>
    <w:rsid w:val="00FB17A8"/>
    <w:rsid w:val="00FB23FE"/>
    <w:rsid w:val="00FB58E0"/>
    <w:rsid w:val="00FB7DC5"/>
    <w:rsid w:val="00FC2EE2"/>
    <w:rsid w:val="00FD4226"/>
    <w:rsid w:val="00FD6EE7"/>
    <w:rsid w:val="00FD703A"/>
    <w:rsid w:val="00FD7F09"/>
    <w:rsid w:val="00FF4046"/>
    <w:rsid w:val="00FF4E7F"/>
    <w:rsid w:val="00FF73BF"/>
    <w:rsid w:val="021C6A11"/>
    <w:rsid w:val="022E7DE4"/>
    <w:rsid w:val="024C492F"/>
    <w:rsid w:val="025657AD"/>
    <w:rsid w:val="038002F5"/>
    <w:rsid w:val="03A16A61"/>
    <w:rsid w:val="03B64756"/>
    <w:rsid w:val="0414147C"/>
    <w:rsid w:val="0534627A"/>
    <w:rsid w:val="054B711F"/>
    <w:rsid w:val="05524952"/>
    <w:rsid w:val="05AF3B52"/>
    <w:rsid w:val="05F45A09"/>
    <w:rsid w:val="0668313F"/>
    <w:rsid w:val="068B1EC9"/>
    <w:rsid w:val="06FD1152"/>
    <w:rsid w:val="07CC09EB"/>
    <w:rsid w:val="0A43792E"/>
    <w:rsid w:val="0A892BC4"/>
    <w:rsid w:val="0AD007F3"/>
    <w:rsid w:val="0BFB6956"/>
    <w:rsid w:val="0CEE0054"/>
    <w:rsid w:val="0F655282"/>
    <w:rsid w:val="0F887AD5"/>
    <w:rsid w:val="11302AA6"/>
    <w:rsid w:val="123C329C"/>
    <w:rsid w:val="127E5DF7"/>
    <w:rsid w:val="12DD329C"/>
    <w:rsid w:val="139525D9"/>
    <w:rsid w:val="13AF4D1D"/>
    <w:rsid w:val="13C945E3"/>
    <w:rsid w:val="1449256E"/>
    <w:rsid w:val="15757288"/>
    <w:rsid w:val="1605412F"/>
    <w:rsid w:val="16D51CFA"/>
    <w:rsid w:val="17FC7140"/>
    <w:rsid w:val="18543B9A"/>
    <w:rsid w:val="18597DC9"/>
    <w:rsid w:val="18C63235"/>
    <w:rsid w:val="195D78AF"/>
    <w:rsid w:val="1A381F10"/>
    <w:rsid w:val="1A512FD2"/>
    <w:rsid w:val="1AAC1FB7"/>
    <w:rsid w:val="1B853B6E"/>
    <w:rsid w:val="1BA70797"/>
    <w:rsid w:val="1C2E5F55"/>
    <w:rsid w:val="1C387FA6"/>
    <w:rsid w:val="1C734345"/>
    <w:rsid w:val="1CE85C6D"/>
    <w:rsid w:val="1CF57C45"/>
    <w:rsid w:val="1D37200B"/>
    <w:rsid w:val="1D4B38F5"/>
    <w:rsid w:val="1E472722"/>
    <w:rsid w:val="1EDD4E34"/>
    <w:rsid w:val="1F59095F"/>
    <w:rsid w:val="1F8F4381"/>
    <w:rsid w:val="1FED10A7"/>
    <w:rsid w:val="2075775B"/>
    <w:rsid w:val="21B93937"/>
    <w:rsid w:val="22001928"/>
    <w:rsid w:val="23072480"/>
    <w:rsid w:val="24BF1FDE"/>
    <w:rsid w:val="265509A9"/>
    <w:rsid w:val="268362C1"/>
    <w:rsid w:val="28DC7F0B"/>
    <w:rsid w:val="28F04484"/>
    <w:rsid w:val="291120E1"/>
    <w:rsid w:val="293E4722"/>
    <w:rsid w:val="297866BA"/>
    <w:rsid w:val="29C72969"/>
    <w:rsid w:val="2A247DBB"/>
    <w:rsid w:val="2A4A20BF"/>
    <w:rsid w:val="2A7228D5"/>
    <w:rsid w:val="2ADA2CD5"/>
    <w:rsid w:val="2B9003C6"/>
    <w:rsid w:val="2B98725E"/>
    <w:rsid w:val="2D04536F"/>
    <w:rsid w:val="2D1B53DC"/>
    <w:rsid w:val="2D57575B"/>
    <w:rsid w:val="2E3A7BAD"/>
    <w:rsid w:val="2E410EF0"/>
    <w:rsid w:val="2EA414CB"/>
    <w:rsid w:val="2FE57FED"/>
    <w:rsid w:val="317240D7"/>
    <w:rsid w:val="31772EC7"/>
    <w:rsid w:val="31D51632"/>
    <w:rsid w:val="32F04CDF"/>
    <w:rsid w:val="33D831F4"/>
    <w:rsid w:val="33EB691E"/>
    <w:rsid w:val="34515C51"/>
    <w:rsid w:val="34B93D2E"/>
    <w:rsid w:val="352073D1"/>
    <w:rsid w:val="35493D59"/>
    <w:rsid w:val="35927C16"/>
    <w:rsid w:val="36ED3D7F"/>
    <w:rsid w:val="379C71E3"/>
    <w:rsid w:val="38463457"/>
    <w:rsid w:val="38912AC0"/>
    <w:rsid w:val="39A93E39"/>
    <w:rsid w:val="3A1F5EA9"/>
    <w:rsid w:val="3AB02FA5"/>
    <w:rsid w:val="3B037579"/>
    <w:rsid w:val="3B295232"/>
    <w:rsid w:val="3D45031D"/>
    <w:rsid w:val="3D6179CB"/>
    <w:rsid w:val="3E8D1F7B"/>
    <w:rsid w:val="400E49F6"/>
    <w:rsid w:val="407F2E52"/>
    <w:rsid w:val="40F63E08"/>
    <w:rsid w:val="43346E69"/>
    <w:rsid w:val="435B61A4"/>
    <w:rsid w:val="435F0420"/>
    <w:rsid w:val="43A833B4"/>
    <w:rsid w:val="43F32B15"/>
    <w:rsid w:val="440A3726"/>
    <w:rsid w:val="44CB3B1B"/>
    <w:rsid w:val="44F00B6E"/>
    <w:rsid w:val="45A7200D"/>
    <w:rsid w:val="464E6A92"/>
    <w:rsid w:val="466943F9"/>
    <w:rsid w:val="46E26BDC"/>
    <w:rsid w:val="475342CD"/>
    <w:rsid w:val="47F95F8C"/>
    <w:rsid w:val="49170DBF"/>
    <w:rsid w:val="4AEB514B"/>
    <w:rsid w:val="4AF018C8"/>
    <w:rsid w:val="4C827D01"/>
    <w:rsid w:val="4D5D0D6B"/>
    <w:rsid w:val="4D8012AB"/>
    <w:rsid w:val="4F020B66"/>
    <w:rsid w:val="4F2A5AEA"/>
    <w:rsid w:val="4F455F5A"/>
    <w:rsid w:val="4F6C798B"/>
    <w:rsid w:val="4FD74E04"/>
    <w:rsid w:val="502E69EF"/>
    <w:rsid w:val="503264DF"/>
    <w:rsid w:val="508A0853"/>
    <w:rsid w:val="531E0F9C"/>
    <w:rsid w:val="541E4C3C"/>
    <w:rsid w:val="543D36A4"/>
    <w:rsid w:val="54D933CD"/>
    <w:rsid w:val="54DE4E87"/>
    <w:rsid w:val="54DF6509"/>
    <w:rsid w:val="551D59AF"/>
    <w:rsid w:val="55236D3E"/>
    <w:rsid w:val="55322ADD"/>
    <w:rsid w:val="558772CD"/>
    <w:rsid w:val="55CF3F22"/>
    <w:rsid w:val="55F36710"/>
    <w:rsid w:val="55F81F79"/>
    <w:rsid w:val="568832FC"/>
    <w:rsid w:val="56DF6C95"/>
    <w:rsid w:val="57174680"/>
    <w:rsid w:val="57476CAE"/>
    <w:rsid w:val="57961A49"/>
    <w:rsid w:val="57D1482F"/>
    <w:rsid w:val="58816255"/>
    <w:rsid w:val="58913F28"/>
    <w:rsid w:val="59213594"/>
    <w:rsid w:val="59254DF1"/>
    <w:rsid w:val="59441031"/>
    <w:rsid w:val="594B7E05"/>
    <w:rsid w:val="5A07278A"/>
    <w:rsid w:val="5A421A14"/>
    <w:rsid w:val="5A522F08"/>
    <w:rsid w:val="5A5A5963"/>
    <w:rsid w:val="5B780513"/>
    <w:rsid w:val="5BB50481"/>
    <w:rsid w:val="5BF43BC4"/>
    <w:rsid w:val="5C6739B4"/>
    <w:rsid w:val="5E4D0988"/>
    <w:rsid w:val="5E8048B9"/>
    <w:rsid w:val="5ED752A6"/>
    <w:rsid w:val="5F1A6ABC"/>
    <w:rsid w:val="6058095A"/>
    <w:rsid w:val="60AE3960"/>
    <w:rsid w:val="60C82547"/>
    <w:rsid w:val="610C0686"/>
    <w:rsid w:val="61477910"/>
    <w:rsid w:val="618D5C6B"/>
    <w:rsid w:val="62FA7330"/>
    <w:rsid w:val="631B65F7"/>
    <w:rsid w:val="6351014E"/>
    <w:rsid w:val="63691DC0"/>
    <w:rsid w:val="64010D7E"/>
    <w:rsid w:val="64B17EC2"/>
    <w:rsid w:val="64C23E7D"/>
    <w:rsid w:val="659A2704"/>
    <w:rsid w:val="659B1574"/>
    <w:rsid w:val="662326FA"/>
    <w:rsid w:val="6864524C"/>
    <w:rsid w:val="68701E42"/>
    <w:rsid w:val="6A184540"/>
    <w:rsid w:val="6A2B6021"/>
    <w:rsid w:val="6A527A52"/>
    <w:rsid w:val="6A9F07BD"/>
    <w:rsid w:val="6BD3071E"/>
    <w:rsid w:val="6C054650"/>
    <w:rsid w:val="6C156F89"/>
    <w:rsid w:val="6C944351"/>
    <w:rsid w:val="6CC4450B"/>
    <w:rsid w:val="6DEC5AC7"/>
    <w:rsid w:val="6EF763A3"/>
    <w:rsid w:val="6F123851"/>
    <w:rsid w:val="6F373053"/>
    <w:rsid w:val="702459EC"/>
    <w:rsid w:val="70271038"/>
    <w:rsid w:val="707D334E"/>
    <w:rsid w:val="712A5284"/>
    <w:rsid w:val="714F0A0D"/>
    <w:rsid w:val="728D7D7F"/>
    <w:rsid w:val="73855D46"/>
    <w:rsid w:val="7443040B"/>
    <w:rsid w:val="746F1200"/>
    <w:rsid w:val="74E6194D"/>
    <w:rsid w:val="74EC0AA3"/>
    <w:rsid w:val="75E17EDC"/>
    <w:rsid w:val="7670679E"/>
    <w:rsid w:val="76C04026"/>
    <w:rsid w:val="76D31F1A"/>
    <w:rsid w:val="76E9529A"/>
    <w:rsid w:val="77B238DE"/>
    <w:rsid w:val="77E54B1C"/>
    <w:rsid w:val="7803238B"/>
    <w:rsid w:val="782C23C9"/>
    <w:rsid w:val="79751067"/>
    <w:rsid w:val="7A00379E"/>
    <w:rsid w:val="7A3662A4"/>
    <w:rsid w:val="7A3E3686"/>
    <w:rsid w:val="7AC04563"/>
    <w:rsid w:val="7ADB314B"/>
    <w:rsid w:val="7AF661D7"/>
    <w:rsid w:val="7B354F51"/>
    <w:rsid w:val="7B4A207F"/>
    <w:rsid w:val="7B656EB9"/>
    <w:rsid w:val="7BA13D11"/>
    <w:rsid w:val="7BC434F8"/>
    <w:rsid w:val="7BF5023D"/>
    <w:rsid w:val="7C12344E"/>
    <w:rsid w:val="7D132A29"/>
    <w:rsid w:val="7D332FBE"/>
    <w:rsid w:val="7D3905FD"/>
    <w:rsid w:val="7DF82266"/>
    <w:rsid w:val="7E9632C3"/>
    <w:rsid w:val="7F912972"/>
    <w:rsid w:val="7FD66215"/>
    <w:rsid w:val="7FE70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Emphasis"/>
    <w:basedOn w:val="6"/>
    <w:qFormat/>
    <w:uiPriority w:val="20"/>
    <w:rPr>
      <w:i/>
      <w:iCs/>
    </w:rPr>
  </w:style>
  <w:style w:type="paragraph" w:styleId="8">
    <w:name w:val="List Paragraph"/>
    <w:basedOn w:val="1"/>
    <w:qFormat/>
    <w:uiPriority w:val="34"/>
    <w:pPr>
      <w:ind w:firstLine="420" w:firstLineChars="200"/>
    </w:pPr>
  </w:style>
  <w:style w:type="character" w:customStyle="1" w:styleId="9">
    <w:name w:val="页眉 字符"/>
    <w:basedOn w:val="6"/>
    <w:link w:val="4"/>
    <w:qFormat/>
    <w:uiPriority w:val="99"/>
    <w:rPr>
      <w:rFonts w:ascii="Times New Roman" w:hAnsi="Times New Roman" w:eastAsia="宋体" w:cs="Times New Roman"/>
      <w:sz w:val="18"/>
      <w:szCs w:val="18"/>
    </w:rPr>
  </w:style>
  <w:style w:type="character" w:customStyle="1" w:styleId="10">
    <w:name w:val="页脚 字符"/>
    <w:basedOn w:val="6"/>
    <w:link w:val="3"/>
    <w:qFormat/>
    <w:uiPriority w:val="99"/>
    <w:rPr>
      <w:rFonts w:ascii="Times New Roman" w:hAnsi="Times New Roman" w:eastAsia="宋体" w:cs="Times New Roman"/>
      <w:sz w:val="18"/>
      <w:szCs w:val="18"/>
    </w:rPr>
  </w:style>
  <w:style w:type="paragraph" w:customStyle="1" w:styleId="1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2">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3">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14">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5">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6">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5191</Words>
  <Characters>5403</Characters>
  <Lines>131</Lines>
  <Paragraphs>86</Paragraphs>
  <TotalTime>3</TotalTime>
  <ScaleCrop>false</ScaleCrop>
  <LinksUpToDate>false</LinksUpToDate>
  <CharactersWithSpaces>5562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2025-11-17T02:01:00Z</dcterms:created>
  <dc:creator>单 泳诗</dc:creator>
  <cp:lastModifiedBy>naijing</cp:lastModifiedBy>
  <cp:lastPrinted>2023-11-02T05:35:00Z</cp:lastPrinted>
  <dcterms:modified xsi:type="dcterms:W3CDTF">2026-09-18T01:51:48Z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676D8746382544F091AC7E89DCE7B91C_13</vt:lpwstr>
  </property>
  <property fmtid="{D5CDD505-2E9C-101B-9397-08002B2CF9AE}" pid="4" name="KSOTemplateDocerSaveRecord">
    <vt:lpwstr>eyJoZGlkIjoiODc4MTFlZDJmNTNjNDFjM2ZhMGZlMjZjNTM4NmEzM2EiLCJ1c2VySWQiOiI3MzkxMDAwMjIifQ==</vt:lpwstr>
  </property>
</Properties>
</file>