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84A76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证券代码：</w:t>
      </w:r>
      <w:r>
        <w:rPr>
          <w:rFonts w:hint="eastAsia" w:ascii="Times New Roman" w:hAnsi="Times New Roman" w:eastAsia="宋体" w:cs="Times New Roman"/>
          <w:sz w:val="24"/>
          <w:szCs w:val="24"/>
        </w:rPr>
        <w:t>688813                                    公司简称：泰金新能</w:t>
      </w:r>
    </w:p>
    <w:p w14:paraId="5BEF5EE6">
      <w:pPr>
        <w:spacing w:before="240" w:after="240"/>
        <w:jc w:val="center"/>
        <w:rPr>
          <w:rFonts w:ascii="黑体" w:hAnsi="黑体" w:eastAsia="黑体" w:cs="Times New Roman"/>
          <w:b/>
          <w:bCs/>
          <w:color w:val="EE0000"/>
          <w:sz w:val="36"/>
          <w:szCs w:val="36"/>
        </w:rPr>
      </w:pPr>
      <w:r>
        <w:rPr>
          <w:rFonts w:hint="eastAsia" w:ascii="黑体" w:hAnsi="黑体" w:eastAsia="黑体" w:cs="Times New Roman"/>
          <w:b/>
          <w:bCs/>
          <w:color w:val="EE0000"/>
          <w:sz w:val="36"/>
          <w:szCs w:val="36"/>
        </w:rPr>
        <w:t>西安泰金新能科技股份有限公司</w:t>
      </w:r>
      <w:r>
        <w:rPr>
          <w:rFonts w:ascii="黑体" w:hAnsi="黑体" w:eastAsia="黑体" w:cs="Times New Roman"/>
          <w:b/>
          <w:bCs/>
          <w:color w:val="EE0000"/>
          <w:sz w:val="36"/>
          <w:szCs w:val="36"/>
        </w:rPr>
        <w:br w:type="textWrapping"/>
      </w:r>
      <w:r>
        <w:rPr>
          <w:rFonts w:hint="eastAsia" w:ascii="黑体" w:hAnsi="黑体" w:eastAsia="黑体" w:cs="Times New Roman"/>
          <w:b/>
          <w:bCs/>
          <w:color w:val="EE0000"/>
          <w:sz w:val="36"/>
          <w:szCs w:val="36"/>
        </w:rPr>
        <w:t>投资者关系活动记录表</w:t>
      </w:r>
    </w:p>
    <w:p w14:paraId="6BAA74DC">
      <w:pPr>
        <w:spacing w:line="360" w:lineRule="auto"/>
        <w:jc w:val="right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编号：2026-001</w:t>
      </w:r>
    </w:p>
    <w:tbl>
      <w:tblPr>
        <w:tblStyle w:val="2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06"/>
        <w:gridCol w:w="2106"/>
        <w:gridCol w:w="2107"/>
      </w:tblGrid>
      <w:tr w14:paraId="018D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92" w:type="pct"/>
            <w:vMerge w:val="restart"/>
            <w:vAlign w:val="center"/>
          </w:tcPr>
          <w:p w14:paraId="7CB6DD5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投资者关系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活动类别</w:t>
            </w:r>
          </w:p>
        </w:tc>
        <w:tc>
          <w:tcPr>
            <w:tcW w:w="1269" w:type="pct"/>
            <w:tcBorders>
              <w:bottom w:val="nil"/>
              <w:right w:val="nil"/>
            </w:tcBorders>
            <w:vAlign w:val="center"/>
          </w:tcPr>
          <w:p w14:paraId="0E5582F6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□特定对象调研</w:t>
            </w:r>
          </w:p>
        </w:tc>
        <w:tc>
          <w:tcPr>
            <w:tcW w:w="1269" w:type="pct"/>
            <w:tcBorders>
              <w:left w:val="nil"/>
              <w:bottom w:val="nil"/>
              <w:right w:val="nil"/>
            </w:tcBorders>
            <w:vAlign w:val="center"/>
          </w:tcPr>
          <w:p w14:paraId="6C2A828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□分析师会议</w:t>
            </w:r>
          </w:p>
        </w:tc>
        <w:tc>
          <w:tcPr>
            <w:tcW w:w="1270" w:type="pct"/>
            <w:tcBorders>
              <w:left w:val="nil"/>
              <w:bottom w:val="nil"/>
            </w:tcBorders>
            <w:vAlign w:val="center"/>
          </w:tcPr>
          <w:p w14:paraId="56122197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□媒体采访</w:t>
            </w:r>
          </w:p>
        </w:tc>
      </w:tr>
      <w:tr w14:paraId="3884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Merge w:val="continue"/>
            <w:vAlign w:val="center"/>
          </w:tcPr>
          <w:p w14:paraId="3405AAE9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pct"/>
            <w:tcBorders>
              <w:top w:val="nil"/>
              <w:bottom w:val="nil"/>
              <w:right w:val="nil"/>
            </w:tcBorders>
            <w:vAlign w:val="center"/>
          </w:tcPr>
          <w:p w14:paraId="587A7F5D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√业绩说明会</w:t>
            </w:r>
          </w:p>
        </w:tc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0101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□新闻发布会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</w:tcBorders>
            <w:vAlign w:val="center"/>
          </w:tcPr>
          <w:p w14:paraId="19B4649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□路演活动</w:t>
            </w:r>
          </w:p>
        </w:tc>
      </w:tr>
      <w:tr w14:paraId="0F88E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Merge w:val="continue"/>
            <w:vAlign w:val="center"/>
          </w:tcPr>
          <w:p w14:paraId="4001376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pct"/>
            <w:tcBorders>
              <w:top w:val="nil"/>
              <w:right w:val="nil"/>
            </w:tcBorders>
            <w:vAlign w:val="center"/>
          </w:tcPr>
          <w:p w14:paraId="09B83E5F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□现场参观</w:t>
            </w:r>
          </w:p>
        </w:tc>
        <w:tc>
          <w:tcPr>
            <w:tcW w:w="2539" w:type="pct"/>
            <w:gridSpan w:val="2"/>
            <w:tcBorders>
              <w:top w:val="nil"/>
              <w:left w:val="nil"/>
            </w:tcBorders>
            <w:vAlign w:val="center"/>
          </w:tcPr>
          <w:p w14:paraId="5D7C95BA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□其他（投资者交流）</w:t>
            </w:r>
          </w:p>
        </w:tc>
      </w:tr>
      <w:tr w14:paraId="69EDD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3732D79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3808" w:type="pct"/>
            <w:gridSpan w:val="3"/>
            <w:vAlign w:val="center"/>
          </w:tcPr>
          <w:p w14:paraId="52A2A39C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通过上证路演中心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</w:t>
            </w:r>
            <w:r>
              <w:fldChar w:fldCharType="begin"/>
            </w:r>
            <w:r>
              <w:instrText xml:space="preserve"> HYPERLINK "http://roadshow.sseinfo.com" </w:instrText>
            </w:r>
            <w:r>
              <w:fldChar w:fldCharType="separate"/>
            </w:r>
            <w:r>
              <w:rPr>
                <w:rStyle w:val="22"/>
                <w:rFonts w:ascii="Times New Roman" w:hAnsi="Times New Roman" w:eastAsia="宋体" w:cs="Times New Roman"/>
                <w:sz w:val="24"/>
                <w:szCs w:val="24"/>
              </w:rPr>
              <w:t>http://roadshow.sseinfo.com</w:t>
            </w:r>
            <w:r>
              <w:rPr>
                <w:rStyle w:val="22"/>
                <w:rFonts w:ascii="Times New Roman" w:hAnsi="Times New Roman" w:eastAsia="宋体" w:cs="Times New Roman"/>
                <w:sz w:val="24"/>
                <w:szCs w:val="24"/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参与科创板2026年半年度新材料行业集体业绩说明会的广大投资者。</w:t>
            </w:r>
          </w:p>
        </w:tc>
      </w:tr>
      <w:tr w14:paraId="50E7B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640847C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808" w:type="pct"/>
            <w:gridSpan w:val="3"/>
            <w:vAlign w:val="center"/>
          </w:tcPr>
          <w:p w14:paraId="68984424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2026年9月18日15:00-17:00</w:t>
            </w:r>
          </w:p>
        </w:tc>
      </w:tr>
      <w:tr w14:paraId="3F69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65B8D1C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3808" w:type="pct"/>
            <w:gridSpan w:val="3"/>
            <w:vAlign w:val="center"/>
          </w:tcPr>
          <w:p w14:paraId="6CFC651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上证路演中心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</w:t>
            </w:r>
            <w:r>
              <w:fldChar w:fldCharType="begin"/>
            </w:r>
            <w:r>
              <w:instrText xml:space="preserve"> HYPERLINK "http://roadshow.sseinfo.com" </w:instrText>
            </w:r>
            <w:r>
              <w:fldChar w:fldCharType="separate"/>
            </w:r>
            <w:r>
              <w:rPr>
                <w:rStyle w:val="22"/>
                <w:rFonts w:ascii="Times New Roman" w:hAnsi="Times New Roman" w:eastAsia="宋体" w:cs="Times New Roman"/>
                <w:sz w:val="24"/>
                <w:szCs w:val="24"/>
              </w:rPr>
              <w:t>http://roadshow.sseinfo.com</w:t>
            </w:r>
            <w:r>
              <w:rPr>
                <w:rStyle w:val="22"/>
                <w:rFonts w:ascii="Times New Roman" w:hAnsi="Times New Roman" w:eastAsia="宋体" w:cs="Times New Roman"/>
                <w:sz w:val="24"/>
                <w:szCs w:val="24"/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）</w:t>
            </w:r>
          </w:p>
        </w:tc>
      </w:tr>
      <w:tr w14:paraId="62B8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5D8844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上市公司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接待人员姓名</w:t>
            </w:r>
          </w:p>
        </w:tc>
        <w:tc>
          <w:tcPr>
            <w:tcW w:w="3808" w:type="pct"/>
            <w:gridSpan w:val="3"/>
            <w:vAlign w:val="center"/>
          </w:tcPr>
          <w:p w14:paraId="646DA9C3">
            <w:pPr>
              <w:spacing w:line="360" w:lineRule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董事长 冯庆先生</w:t>
            </w:r>
          </w:p>
          <w:p w14:paraId="5E1682EB">
            <w:pPr>
              <w:spacing w:line="360" w:lineRule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董事会秘书、副总经理 贾波先生</w:t>
            </w:r>
          </w:p>
          <w:p w14:paraId="20A94C7C">
            <w:pPr>
              <w:spacing w:line="360" w:lineRule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财务总监 王栋先生</w:t>
            </w:r>
          </w:p>
          <w:p w14:paraId="0A3E682B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独立董事 刘刚先生</w:t>
            </w:r>
          </w:p>
        </w:tc>
      </w:tr>
      <w:tr w14:paraId="09333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vAlign w:val="center"/>
          </w:tcPr>
          <w:p w14:paraId="502F333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投资者关系活动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主要内容介绍</w:t>
            </w:r>
          </w:p>
        </w:tc>
        <w:tc>
          <w:tcPr>
            <w:tcW w:w="3808" w:type="pct"/>
            <w:gridSpan w:val="3"/>
            <w:vAlign w:val="center"/>
          </w:tcPr>
          <w:p w14:paraId="434C9E42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“2026年半年度新材料行业集体业绩说明会”主要交流内容：</w:t>
            </w:r>
          </w:p>
          <w:p w14:paraId="3464C789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（一）主持人开场</w:t>
            </w:r>
          </w:p>
          <w:p w14:paraId="461F04C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（二）网络文字互动问答</w:t>
            </w:r>
          </w:p>
          <w:p w14:paraId="4AFA1AA9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1、公司本期是否有分红？</w:t>
            </w:r>
          </w:p>
          <w:p w14:paraId="5A6B6482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尊敬的投资人您好！公司于2026年9月10日召开了2026年第二次临时股东会，审议并通过了《关于2026年中期利润分配方案的议案》，具体方案请关注公司2026-021号公告，谢谢。</w:t>
            </w:r>
          </w:p>
          <w:p w14:paraId="6B2B1127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2、公司研发占比如何？有无资金压力？</w:t>
            </w:r>
          </w:p>
          <w:p w14:paraId="6E3E05AB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！公司2026年上半年发生研发费用4168.07万元，占比约为4.05%，较去年同期上升0.24个百分点。当前公司经营良好，2026年上半年，公司新签订单金额（不含税）为110,797.84万元，同比增长54.51%，截至报告期末累计在手订单金额（不含税）为329,145.42万元，货币资金余额14.6亿元，谢谢。</w:t>
            </w:r>
          </w:p>
          <w:p w14:paraId="02DE9A7E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3、公司在ESG方面有哪些举措和成果？有无职能部门负责？</w:t>
            </w:r>
          </w:p>
          <w:p w14:paraId="55BD9969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尊敬的投资人您好！公司目前尚未披露过ESG报告，公司目前正持续推进ESG体系建设，由董事会监督各部门推进相关ESG事务，感谢您的关注！</w:t>
            </w:r>
          </w:p>
          <w:p w14:paraId="1BA16A30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4、公司海外收入占比如何，未来海外拓展的重点区域和客户方向是什么？当前地缘冲突叠加全球能源供给失衡，对公司新材料所需上游原材料的采购成本、供货稳定性带来哪些实际影响？主要哪些品类原材料价格波动最为明显？</w:t>
            </w:r>
          </w:p>
          <w:p w14:paraId="1A73838A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！公司尚未公开披露过报告期海外收入占比，但目前新能源及电子电路铜箔、湿法冶金等行业海外市场潜力很大，公司也在积极布局海外市场推广；公司主要原材料价格主要受供需关系影响，贵金属、铜等原材料的价格波动相对明显，感谢关注。</w:t>
            </w:r>
          </w:p>
          <w:p w14:paraId="316AE00B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5、结合下半年下游需求预判，公司新兴领域中，对应新材料产能产品投放节奏如何规划？新兴领域中，新材料业务2026年下半年营收、毛利率目标如何展望，哪些产品会成为拉动业绩增长的主力？公司新兴领域的新产品管线主要有哪些，对应下游应用场景？当前重点新产品处在哪个验证阶段，2026年预计有哪些认证突破？</w:t>
            </w:r>
          </w:p>
          <w:p w14:paraId="6C21CE4D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尊敬的投资人您好！基于商业限制及技术保密原因，公司新产品推广进展及对业绩贡献情况请关注公司后续公告；目前新兴领域产品主要围绕hvlp铜箔装备、PCB阳极等产品展开，主要用于高端PCB线路板领域。</w:t>
            </w:r>
          </w:p>
          <w:p w14:paraId="2FD9053B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6、如何看待所在细分领域趋势？有哪些应对举措？新材料行业技术迭代加速，相关企业产品的新兴应用方向有哪些？又有哪些准备和计划？</w:t>
            </w:r>
          </w:p>
          <w:p w14:paraId="7DB81059">
            <w:pPr>
              <w:spacing w:line="360" w:lineRule="auto"/>
              <w:ind w:firstLine="480" w:firstLineChars="200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尊敬的投资人您好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！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公司目前所处铜箔行业主要服务新能源、储能及PCB领域，行业当前景气度较高，预计“十五五”仍将保持增长，公司一方面在加快产能建设，为行业发展提供支持，同时也在持续加大研发投入，通过装备技术的升级赋能产业链，谢谢关注。</w:t>
            </w:r>
          </w:p>
          <w:p w14:paraId="4DBC4414">
            <w:pPr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原材料涨价或供应紧张时，公司产品成本传导机制如何？能否向下游客户调价，调价周期、议价难度如何？针对原材料价格波动风险，公司有哪些应对举措？例如长协锁价、多供应商布局、上游原料国产替代、工艺降本、库存策略等，目前落地成效怎么样？</w:t>
            </w:r>
          </w:p>
          <w:p w14:paraId="1B492085">
            <w:pPr>
              <w:spacing w:line="360" w:lineRule="auto"/>
              <w:ind w:firstLine="480" w:firstLineChars="200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尊敬的投资人您好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！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公司主要原材料与客户在签订合同时有调价机制，也对贵金属等价格波动较大的原材料制定了相应的应急策略，谢谢关注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。</w:t>
            </w:r>
            <w:bookmarkStart w:id="0" w:name="_GoBack"/>
            <w:bookmarkEnd w:id="0"/>
          </w:p>
        </w:tc>
      </w:tr>
    </w:tbl>
    <w:p w14:paraId="3561FF2C"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注：</w:t>
      </w:r>
      <w:r>
        <w:rPr>
          <w:rFonts w:ascii="Times New Roman" w:hAnsi="Times New Roman" w:eastAsia="宋体" w:cs="Times New Roman"/>
        </w:rPr>
        <w:t>以上如涉及公司所处行业发展趋势、公司发展规划等相关内容，不代表公司或公司管理层对行业发展、公司发展或业绩的预测和承诺，不构成公司或公司管理层对投资者的实质性承诺，敬请广大投资者注意投资风险。</w:t>
      </w:r>
    </w:p>
    <w:p w14:paraId="5764DDC4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0E8F3">
    <w:pPr>
      <w:pStyle w:val="1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42BC7">
    <w:pPr>
      <w:pStyle w:val="13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9C83A">
    <w:pPr>
      <w:pStyle w:val="1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53915">
    <w:pPr>
      <w:pStyle w:val="14"/>
      <w:pBdr>
        <w:bottom w:val="single" w:color="auto" w:sz="4" w:space="1"/>
      </w:pBdr>
      <w:jc w:val="right"/>
      <w:rPr>
        <w:rFonts w:hint="eastAsia" w:ascii="宋体" w:hAnsi="宋体" w:eastAsia="宋体"/>
      </w:rPr>
    </w:pPr>
    <w:r>
      <w:rPr>
        <w:rFonts w:hint="eastAsia" w:ascii="宋体" w:hAnsi="宋体" w:eastAsia="宋体"/>
      </w:rPr>
      <w:t>西安泰金新能科技股份有限公司投资者关系活动记录表</w:t>
    </w:r>
  </w:p>
  <w:p w14:paraId="3F5DCADB">
    <w:pPr>
      <w:pStyle w:val="14"/>
      <w:rPr>
        <w:rFonts w:hint="eastAsia" w:ascii="宋体" w:hAnsi="宋体" w:eastAsia="宋体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18E51">
    <w:pPr>
      <w:pStyle w:val="14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911E1">
    <w:pPr>
      <w:pStyle w:val="14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E2CC6"/>
    <w:multiLevelType w:val="multilevel"/>
    <w:tmpl w:val="211E2CC6"/>
    <w:lvl w:ilvl="0" w:tentative="0">
      <w:start w:val="1"/>
      <w:numFmt w:val="chineseCounting"/>
      <w:pStyle w:val="2"/>
      <w:suff w:val="space"/>
      <w:lvlText w:val="第%1节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32"/>
      </w:rPr>
    </w:lvl>
    <w:lvl w:ilvl="1" w:tentative="0">
      <w:start w:val="1"/>
      <w:numFmt w:val="chineseCounting"/>
      <w:pStyle w:val="4"/>
      <w:suff w:val="nothing"/>
      <w:lvlText w:val="%2、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2" w:tentative="0">
      <w:start w:val="1"/>
      <w:numFmt w:val="chineseCounting"/>
      <w:pStyle w:val="5"/>
      <w:suff w:val="nothing"/>
      <w:lvlText w:val="（%3）"/>
      <w:lvlJc w:val="left"/>
      <w:pPr>
        <w:ind w:left="0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24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pStyle w:val="6"/>
      <w:suff w:val="nothing"/>
      <w:lvlText w:val="%4、"/>
      <w:lvlJc w:val="left"/>
      <w:pPr>
        <w:ind w:left="0" w:firstLine="0"/>
      </w:pPr>
      <w:rPr>
        <w:rFonts w:hint="default" w:ascii="Times New Roman" w:hAnsi="Times New Roman" w:cs="Times New Roman"/>
        <w:b/>
        <w:i w:val="0"/>
        <w:sz w:val="24"/>
      </w:rPr>
    </w:lvl>
    <w:lvl w:ilvl="4" w:tentative="0">
      <w:start w:val="1"/>
      <w:numFmt w:val="decimal"/>
      <w:pStyle w:val="7"/>
      <w:suff w:val="nothing"/>
      <w:lvlText w:val="（%5）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24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default" w:ascii="Times New Roman" w:hAnsi="Times New Roman" w:cs="Times New Roman"/>
        <w:b w:val="0"/>
        <w:i w:val="0"/>
        <w:sz w:val="24"/>
        <w:u w:val="none"/>
      </w:rPr>
    </w:lvl>
    <w:lvl w:ilvl="6" w:tentative="0">
      <w:start w:val="1"/>
      <w:numFmt w:val="decimalEnclosedCircle"/>
      <w:pStyle w:val="9"/>
      <w:suff w:val="nothing"/>
      <w:lvlText w:val="%7"/>
      <w:lvlJc w:val="left"/>
      <w:pPr>
        <w:ind w:left="0" w:firstLine="0"/>
      </w:pPr>
      <w:rPr>
        <w:rFonts w:hint="default" w:ascii="Times New Roman" w:hAnsi="Times New Roman" w:cs="Times New Roman"/>
        <w:b w:val="0"/>
        <w:i w:val="0"/>
        <w:sz w:val="24"/>
        <w:lang w:val="en-US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BF"/>
    <w:rsid w:val="00003434"/>
    <w:rsid w:val="00013F57"/>
    <w:rsid w:val="0003641F"/>
    <w:rsid w:val="00052AEE"/>
    <w:rsid w:val="00087737"/>
    <w:rsid w:val="00097949"/>
    <w:rsid w:val="000B202D"/>
    <w:rsid w:val="000B7DDA"/>
    <w:rsid w:val="000D42D1"/>
    <w:rsid w:val="000D58BF"/>
    <w:rsid w:val="000F4643"/>
    <w:rsid w:val="001066C1"/>
    <w:rsid w:val="001448F5"/>
    <w:rsid w:val="001856B4"/>
    <w:rsid w:val="001B311D"/>
    <w:rsid w:val="001B68B6"/>
    <w:rsid w:val="002074A1"/>
    <w:rsid w:val="00211BAE"/>
    <w:rsid w:val="00217DDB"/>
    <w:rsid w:val="00221BF8"/>
    <w:rsid w:val="0023525F"/>
    <w:rsid w:val="00252422"/>
    <w:rsid w:val="00266DF7"/>
    <w:rsid w:val="00276021"/>
    <w:rsid w:val="00285417"/>
    <w:rsid w:val="002A47BA"/>
    <w:rsid w:val="002E6D9E"/>
    <w:rsid w:val="002F7EE6"/>
    <w:rsid w:val="00301862"/>
    <w:rsid w:val="0031037B"/>
    <w:rsid w:val="00311FE1"/>
    <w:rsid w:val="003310D1"/>
    <w:rsid w:val="00340763"/>
    <w:rsid w:val="00385FA3"/>
    <w:rsid w:val="003D1E83"/>
    <w:rsid w:val="003D278A"/>
    <w:rsid w:val="003E2E84"/>
    <w:rsid w:val="003E5C68"/>
    <w:rsid w:val="003F22B7"/>
    <w:rsid w:val="00403EEA"/>
    <w:rsid w:val="0042181F"/>
    <w:rsid w:val="00456C39"/>
    <w:rsid w:val="004621A2"/>
    <w:rsid w:val="00467BB2"/>
    <w:rsid w:val="004A09A3"/>
    <w:rsid w:val="004B1074"/>
    <w:rsid w:val="004B3702"/>
    <w:rsid w:val="004D5D29"/>
    <w:rsid w:val="004E1B7A"/>
    <w:rsid w:val="004E2B19"/>
    <w:rsid w:val="004E5314"/>
    <w:rsid w:val="00511C0B"/>
    <w:rsid w:val="00523045"/>
    <w:rsid w:val="00556977"/>
    <w:rsid w:val="00595A1B"/>
    <w:rsid w:val="005A2C9F"/>
    <w:rsid w:val="005B1372"/>
    <w:rsid w:val="005B13CE"/>
    <w:rsid w:val="005F4158"/>
    <w:rsid w:val="0060107A"/>
    <w:rsid w:val="00604978"/>
    <w:rsid w:val="00614719"/>
    <w:rsid w:val="006160DF"/>
    <w:rsid w:val="00630214"/>
    <w:rsid w:val="00635C41"/>
    <w:rsid w:val="006808BE"/>
    <w:rsid w:val="006B6478"/>
    <w:rsid w:val="006C345F"/>
    <w:rsid w:val="006D07BB"/>
    <w:rsid w:val="006E15DD"/>
    <w:rsid w:val="00734BE6"/>
    <w:rsid w:val="00751733"/>
    <w:rsid w:val="00757F8F"/>
    <w:rsid w:val="0076144B"/>
    <w:rsid w:val="007650DC"/>
    <w:rsid w:val="007732EB"/>
    <w:rsid w:val="00792396"/>
    <w:rsid w:val="00797315"/>
    <w:rsid w:val="007D0E4C"/>
    <w:rsid w:val="007E1548"/>
    <w:rsid w:val="007F3296"/>
    <w:rsid w:val="007F52D2"/>
    <w:rsid w:val="00804930"/>
    <w:rsid w:val="00804F4D"/>
    <w:rsid w:val="00832CD8"/>
    <w:rsid w:val="008543E4"/>
    <w:rsid w:val="0088215C"/>
    <w:rsid w:val="00885B69"/>
    <w:rsid w:val="008934F1"/>
    <w:rsid w:val="008D4E26"/>
    <w:rsid w:val="008D626D"/>
    <w:rsid w:val="008E4294"/>
    <w:rsid w:val="00922262"/>
    <w:rsid w:val="009323C1"/>
    <w:rsid w:val="00934D41"/>
    <w:rsid w:val="00936F52"/>
    <w:rsid w:val="00944874"/>
    <w:rsid w:val="009526EC"/>
    <w:rsid w:val="00953415"/>
    <w:rsid w:val="0096623D"/>
    <w:rsid w:val="009925BE"/>
    <w:rsid w:val="009B0736"/>
    <w:rsid w:val="009D1834"/>
    <w:rsid w:val="009E0975"/>
    <w:rsid w:val="009E33F5"/>
    <w:rsid w:val="009E3CC3"/>
    <w:rsid w:val="009F5239"/>
    <w:rsid w:val="00A0229E"/>
    <w:rsid w:val="00A10F3E"/>
    <w:rsid w:val="00A21B70"/>
    <w:rsid w:val="00A3142C"/>
    <w:rsid w:val="00A36504"/>
    <w:rsid w:val="00A622E2"/>
    <w:rsid w:val="00A730E8"/>
    <w:rsid w:val="00AA4E9A"/>
    <w:rsid w:val="00AC7233"/>
    <w:rsid w:val="00AD0821"/>
    <w:rsid w:val="00AF2045"/>
    <w:rsid w:val="00B02CAE"/>
    <w:rsid w:val="00B16710"/>
    <w:rsid w:val="00B17502"/>
    <w:rsid w:val="00B43AC3"/>
    <w:rsid w:val="00B44A41"/>
    <w:rsid w:val="00B44FBB"/>
    <w:rsid w:val="00B45C73"/>
    <w:rsid w:val="00B83D85"/>
    <w:rsid w:val="00B90FD0"/>
    <w:rsid w:val="00BA65E3"/>
    <w:rsid w:val="00C1198B"/>
    <w:rsid w:val="00C334AB"/>
    <w:rsid w:val="00C41CD8"/>
    <w:rsid w:val="00C747B5"/>
    <w:rsid w:val="00C97EBD"/>
    <w:rsid w:val="00CB3DCC"/>
    <w:rsid w:val="00CB7425"/>
    <w:rsid w:val="00CC53C0"/>
    <w:rsid w:val="00CF5532"/>
    <w:rsid w:val="00CF7A88"/>
    <w:rsid w:val="00D02300"/>
    <w:rsid w:val="00D02982"/>
    <w:rsid w:val="00D0340A"/>
    <w:rsid w:val="00D22446"/>
    <w:rsid w:val="00D27085"/>
    <w:rsid w:val="00D46F12"/>
    <w:rsid w:val="00D857DB"/>
    <w:rsid w:val="00D96BA1"/>
    <w:rsid w:val="00DA0CEA"/>
    <w:rsid w:val="00DC49F5"/>
    <w:rsid w:val="00DC5D00"/>
    <w:rsid w:val="00DD39E5"/>
    <w:rsid w:val="00DE1D58"/>
    <w:rsid w:val="00E32336"/>
    <w:rsid w:val="00E3283D"/>
    <w:rsid w:val="00E71E23"/>
    <w:rsid w:val="00E72C14"/>
    <w:rsid w:val="00E80272"/>
    <w:rsid w:val="00EA14F1"/>
    <w:rsid w:val="00EB1DF6"/>
    <w:rsid w:val="00EE0117"/>
    <w:rsid w:val="00EE27F5"/>
    <w:rsid w:val="00EF4838"/>
    <w:rsid w:val="00F03CE5"/>
    <w:rsid w:val="00F05EF2"/>
    <w:rsid w:val="00F062C4"/>
    <w:rsid w:val="00F1454F"/>
    <w:rsid w:val="00F22152"/>
    <w:rsid w:val="00F36095"/>
    <w:rsid w:val="00F67652"/>
    <w:rsid w:val="00FA36D7"/>
    <w:rsid w:val="00FB1ED6"/>
    <w:rsid w:val="00FD666B"/>
    <w:rsid w:val="00FE3A01"/>
    <w:rsid w:val="00FE6ECA"/>
    <w:rsid w:val="00FF7CCF"/>
    <w:rsid w:val="0764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nhideWhenUsed="0" w:uiPriority="1" w:semiHidden="0" w:name="heading 6"/>
    <w:lsdException w:qFormat="1" w:uiPriority="2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  <w14:ligatures w14:val="standardContextual"/>
    </w:rPr>
  </w:style>
  <w:style w:type="paragraph" w:styleId="2">
    <w:name w:val="heading 1"/>
    <w:next w:val="3"/>
    <w:link w:val="23"/>
    <w:autoRedefine/>
    <w:qFormat/>
    <w:uiPriority w:val="1"/>
    <w:pPr>
      <w:keepNext/>
      <w:keepLines/>
      <w:pageBreakBefore/>
      <w:numPr>
        <w:ilvl w:val="0"/>
        <w:numId w:val="1"/>
      </w:numPr>
      <w:spacing w:before="50" w:beforeLines="50" w:after="50" w:afterLines="50" w:line="360" w:lineRule="auto"/>
      <w:jc w:val="center"/>
      <w:outlineLvl w:val="0"/>
    </w:pPr>
    <w:rPr>
      <w:rFonts w:ascii="Times New Roman" w:hAnsi="Times New Roman" w:eastAsia="黑体" w:cs="Times New Roman"/>
      <w:bCs/>
      <w:kern w:val="0"/>
      <w:sz w:val="32"/>
      <w:szCs w:val="44"/>
      <w:lang w:val="en-US" w:eastAsia="zh-CN" w:bidi="ar-SA"/>
      <w14:ligatures w14:val="standardContextual"/>
    </w:rPr>
  </w:style>
  <w:style w:type="paragraph" w:styleId="4">
    <w:name w:val="heading 2"/>
    <w:next w:val="3"/>
    <w:link w:val="24"/>
    <w:autoRedefine/>
    <w:qFormat/>
    <w:uiPriority w:val="1"/>
    <w:pPr>
      <w:keepNext/>
      <w:keepLines/>
      <w:numPr>
        <w:ilvl w:val="1"/>
        <w:numId w:val="1"/>
      </w:numPr>
      <w:spacing w:before="50" w:beforeLines="50" w:afterLines="50" w:line="360" w:lineRule="auto"/>
      <w:jc w:val="both"/>
      <w:outlineLvl w:val="1"/>
    </w:pPr>
    <w:rPr>
      <w:rFonts w:ascii="Times New Roman" w:hAnsi="Times New Roman" w:eastAsia="黑体" w:cs="Times New Roman"/>
      <w:bCs/>
      <w:kern w:val="2"/>
      <w:sz w:val="28"/>
      <w:szCs w:val="32"/>
      <w:lang w:val="en-US" w:eastAsia="zh-CN" w:bidi="ar-SA"/>
      <w14:ligatures w14:val="standardContextual"/>
    </w:rPr>
  </w:style>
  <w:style w:type="paragraph" w:styleId="5">
    <w:name w:val="heading 3"/>
    <w:next w:val="3"/>
    <w:link w:val="25"/>
    <w:autoRedefine/>
    <w:qFormat/>
    <w:uiPriority w:val="1"/>
    <w:pPr>
      <w:keepNext/>
      <w:keepLines/>
      <w:numPr>
        <w:ilvl w:val="2"/>
        <w:numId w:val="1"/>
      </w:numPr>
      <w:spacing w:before="50" w:beforeLines="50" w:afterLines="50" w:line="360" w:lineRule="auto"/>
      <w:jc w:val="both"/>
      <w:outlineLvl w:val="2"/>
    </w:pPr>
    <w:rPr>
      <w:rFonts w:ascii="Times New Roman" w:hAnsi="Times New Roman" w:eastAsia="黑体" w:cs="Times New Roman"/>
      <w:bCs/>
      <w:color w:val="000000"/>
      <w:kern w:val="0"/>
      <w:sz w:val="24"/>
      <w:szCs w:val="24"/>
      <w:lang w:val="en-US" w:eastAsia="ar-SA" w:bidi="ar-SA"/>
      <w14:ligatures w14:val="standardContextual"/>
    </w:rPr>
  </w:style>
  <w:style w:type="paragraph" w:styleId="6">
    <w:name w:val="heading 4"/>
    <w:next w:val="3"/>
    <w:link w:val="26"/>
    <w:autoRedefine/>
    <w:qFormat/>
    <w:uiPriority w:val="1"/>
    <w:pPr>
      <w:keepNext/>
      <w:keepLines/>
      <w:numPr>
        <w:ilvl w:val="3"/>
        <w:numId w:val="1"/>
      </w:numPr>
      <w:spacing w:before="50" w:beforeLines="50" w:after="50" w:afterLines="5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4"/>
      <w:szCs w:val="28"/>
      <w:lang w:val="en-US" w:eastAsia="zh-CN" w:bidi="ar-SA"/>
      <w14:ligatures w14:val="standardContextual"/>
    </w:rPr>
  </w:style>
  <w:style w:type="paragraph" w:styleId="7">
    <w:name w:val="heading 5"/>
    <w:next w:val="3"/>
    <w:link w:val="27"/>
    <w:autoRedefine/>
    <w:qFormat/>
    <w:uiPriority w:val="1"/>
    <w:pPr>
      <w:keepNext/>
      <w:keepLines/>
      <w:numPr>
        <w:ilvl w:val="4"/>
        <w:numId w:val="1"/>
      </w:numPr>
      <w:spacing w:before="50" w:beforeLines="50" w:after="50" w:afterLines="50" w:line="360" w:lineRule="auto"/>
      <w:ind w:firstLine="482"/>
      <w:outlineLvl w:val="4"/>
    </w:pPr>
    <w:rPr>
      <w:rFonts w:ascii="Times New Roman" w:hAnsi="Times New Roman" w:eastAsia="宋体" w:cs="Times New Roman"/>
      <w:bCs/>
      <w:kern w:val="2"/>
      <w:sz w:val="24"/>
      <w:szCs w:val="28"/>
      <w:lang w:val="en-US" w:eastAsia="zh-CN" w:bidi="ar-SA"/>
      <w14:ligatures w14:val="standardContextual"/>
    </w:rPr>
  </w:style>
  <w:style w:type="paragraph" w:styleId="8">
    <w:name w:val="heading 6"/>
    <w:next w:val="3"/>
    <w:link w:val="28"/>
    <w:autoRedefine/>
    <w:qFormat/>
    <w:uiPriority w:val="1"/>
    <w:pPr>
      <w:numPr>
        <w:ilvl w:val="5"/>
        <w:numId w:val="1"/>
      </w:numPr>
      <w:spacing w:before="50" w:beforeLines="50" w:after="50" w:afterLines="50" w:line="360" w:lineRule="auto"/>
      <w:jc w:val="both"/>
      <w:outlineLvl w:val="5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  <w14:ligatures w14:val="standardContextual"/>
    </w:rPr>
  </w:style>
  <w:style w:type="paragraph" w:styleId="9">
    <w:name w:val="heading 7"/>
    <w:next w:val="3"/>
    <w:link w:val="29"/>
    <w:autoRedefine/>
    <w:unhideWhenUsed/>
    <w:qFormat/>
    <w:uiPriority w:val="2"/>
    <w:pPr>
      <w:keepNext/>
      <w:keepLines/>
      <w:numPr>
        <w:ilvl w:val="6"/>
        <w:numId w:val="1"/>
      </w:numPr>
      <w:spacing w:before="50" w:beforeLines="50" w:after="50" w:afterLines="50" w:line="360" w:lineRule="auto"/>
      <w:outlineLvl w:val="6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  <w14:ligatures w14:val="standardContextual"/>
    </w:rPr>
  </w:style>
  <w:style w:type="paragraph" w:styleId="10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autoRedefine/>
    <w:qFormat/>
    <w:uiPriority w:val="0"/>
    <w:pPr>
      <w:spacing w:before="50" w:beforeLines="5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3"/>
      <w:lang w:val="en-US" w:eastAsia="zh-CN" w:bidi="ar-SA"/>
      <w14:ligatures w14:val="standardContextual"/>
    </w:rPr>
  </w:style>
  <w:style w:type="paragraph" w:styleId="12">
    <w:name w:val="toc 3"/>
    <w:basedOn w:val="1"/>
    <w:next w:val="1"/>
    <w:autoRedefine/>
    <w:unhideWhenUsed/>
    <w:qFormat/>
    <w:uiPriority w:val="39"/>
    <w:pPr>
      <w:ind w:left="840" w:leftChars="400"/>
    </w:pPr>
    <w:rPr>
      <w:rFonts w:ascii="Times New Roman" w:hAnsi="Times New Roman" w:eastAsia="黑体"/>
      <w:sz w:val="24"/>
    </w:rPr>
  </w:style>
  <w:style w:type="paragraph" w:styleId="13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rPr>
      <w:rFonts w:ascii="Times New Roman" w:hAnsi="Times New Roman" w:eastAsia="黑体"/>
      <w:sz w:val="24"/>
    </w:rPr>
  </w:style>
  <w:style w:type="paragraph" w:styleId="16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oc 2"/>
    <w:basedOn w:val="1"/>
    <w:next w:val="1"/>
    <w:autoRedefine/>
    <w:unhideWhenUsed/>
    <w:qFormat/>
    <w:uiPriority w:val="39"/>
    <w:pPr>
      <w:ind w:left="420" w:leftChars="200"/>
    </w:pPr>
    <w:rPr>
      <w:rFonts w:ascii="Times New Roman" w:hAnsi="Times New Roman" w:eastAsia="黑体"/>
      <w:sz w:val="24"/>
    </w:rPr>
  </w:style>
  <w:style w:type="paragraph" w:styleId="18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1"/>
    <w:link w:val="2"/>
    <w:uiPriority w:val="1"/>
    <w:rPr>
      <w:rFonts w:ascii="Times New Roman" w:hAnsi="Times New Roman" w:eastAsia="黑体" w:cs="Times New Roman"/>
      <w:bCs/>
      <w:kern w:val="0"/>
      <w:sz w:val="32"/>
      <w:szCs w:val="44"/>
    </w:rPr>
  </w:style>
  <w:style w:type="character" w:customStyle="1" w:styleId="24">
    <w:name w:val="标题 2 字符"/>
    <w:basedOn w:val="21"/>
    <w:link w:val="4"/>
    <w:uiPriority w:val="1"/>
    <w:rPr>
      <w:rFonts w:ascii="Times New Roman" w:hAnsi="Times New Roman" w:eastAsia="黑体" w:cs="Times New Roman"/>
      <w:bCs/>
      <w:sz w:val="28"/>
      <w:szCs w:val="32"/>
    </w:rPr>
  </w:style>
  <w:style w:type="character" w:customStyle="1" w:styleId="25">
    <w:name w:val="标题 3 字符"/>
    <w:basedOn w:val="21"/>
    <w:link w:val="5"/>
    <w:uiPriority w:val="1"/>
    <w:rPr>
      <w:rFonts w:ascii="Times New Roman" w:hAnsi="Times New Roman" w:eastAsia="黑体" w:cs="Times New Roman"/>
      <w:bCs/>
      <w:color w:val="000000"/>
      <w:kern w:val="0"/>
      <w:sz w:val="24"/>
      <w:szCs w:val="24"/>
      <w:lang w:eastAsia="ar-SA"/>
    </w:rPr>
  </w:style>
  <w:style w:type="character" w:customStyle="1" w:styleId="26">
    <w:name w:val="标题 4 字符"/>
    <w:basedOn w:val="21"/>
    <w:link w:val="6"/>
    <w:uiPriority w:val="1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7">
    <w:name w:val="标题 5 字符"/>
    <w:basedOn w:val="21"/>
    <w:link w:val="7"/>
    <w:uiPriority w:val="1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28">
    <w:name w:val="标题 6 字符"/>
    <w:basedOn w:val="21"/>
    <w:link w:val="8"/>
    <w:uiPriority w:val="1"/>
    <w:rPr>
      <w:rFonts w:ascii="Times New Roman" w:hAnsi="Times New Roman" w:eastAsia="宋体" w:cs="Times New Roman"/>
      <w:bCs/>
      <w:sz w:val="24"/>
      <w:szCs w:val="24"/>
    </w:rPr>
  </w:style>
  <w:style w:type="character" w:customStyle="1" w:styleId="29">
    <w:name w:val="标题 7 字符"/>
    <w:basedOn w:val="21"/>
    <w:link w:val="9"/>
    <w:uiPriority w:val="2"/>
    <w:rPr>
      <w:rFonts w:ascii="Times New Roman" w:hAnsi="Times New Roman" w:eastAsia="宋体" w:cs="Times New Roman"/>
      <w:bCs/>
      <w:sz w:val="24"/>
      <w:szCs w:val="24"/>
    </w:rPr>
  </w:style>
  <w:style w:type="paragraph" w:customStyle="1" w:styleId="30">
    <w:name w:val="表格后说明"/>
    <w:next w:val="3"/>
    <w:autoRedefine/>
    <w:qFormat/>
    <w:uiPriority w:val="3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standardContextual"/>
    </w:rPr>
  </w:style>
  <w:style w:type="paragraph" w:customStyle="1" w:styleId="31">
    <w:name w:val="表格前单位"/>
    <w:next w:val="3"/>
    <w:autoRedefine/>
    <w:qFormat/>
    <w:uiPriority w:val="2"/>
    <w:pPr>
      <w:keepNext/>
      <w:jc w:val="righ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standardContextual"/>
    </w:rPr>
  </w:style>
  <w:style w:type="table" w:customStyle="1" w:styleId="32">
    <w:name w:val="报告表格"/>
    <w:basedOn w:val="19"/>
    <w:uiPriority w:val="99"/>
    <w:rPr>
      <w:rFonts w:ascii="Times New Roman" w:hAnsi="Times New Roman" w:eastAsia="宋体"/>
      <w:sz w:val="18"/>
    </w:rPr>
  </w:style>
  <w:style w:type="paragraph" w:customStyle="1" w:styleId="33">
    <w:name w:val="TOC Heading"/>
    <w:basedOn w:val="2"/>
    <w:next w:val="1"/>
    <w:unhideWhenUsed/>
    <w:qFormat/>
    <w:uiPriority w:val="39"/>
    <w:pPr>
      <w:pageBreakBefore w:val="0"/>
      <w:numPr>
        <w:numId w:val="0"/>
      </w:numPr>
      <w:snapToGrid w:val="0"/>
      <w:spacing w:before="240" w:beforeLines="0" w:after="0" w:afterLines="0" w:line="259" w:lineRule="auto"/>
      <w:outlineLvl w:val="9"/>
    </w:pPr>
    <w:rPr>
      <w:bCs w:val="0"/>
      <w:szCs w:val="32"/>
    </w:rPr>
  </w:style>
  <w:style w:type="character" w:customStyle="1" w:styleId="34">
    <w:name w:val="标题 8 字符"/>
    <w:basedOn w:val="21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21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21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21"/>
    <w:qFormat/>
    <w:uiPriority w:val="21"/>
    <w:rPr>
      <w:i/>
      <w:iCs/>
      <w:color w:val="104862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3">
    <w:name w:val="明显引用 字符"/>
    <w:basedOn w:val="21"/>
    <w:link w:val="42"/>
    <w:qFormat/>
    <w:uiPriority w:val="30"/>
    <w:rPr>
      <w:i/>
      <w:iCs/>
      <w:color w:val="104862" w:themeColor="accent1" w:themeShade="BF"/>
    </w:rPr>
  </w:style>
  <w:style w:type="character" w:customStyle="1" w:styleId="44">
    <w:name w:val="Intense Reference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5">
    <w:name w:val="页眉 字符"/>
    <w:basedOn w:val="21"/>
    <w:link w:val="14"/>
    <w:qFormat/>
    <w:uiPriority w:val="99"/>
    <w:rPr>
      <w:sz w:val="18"/>
      <w:szCs w:val="18"/>
    </w:rPr>
  </w:style>
  <w:style w:type="character" w:customStyle="1" w:styleId="46">
    <w:name w:val="页脚 字符"/>
    <w:basedOn w:val="21"/>
    <w:link w:val="13"/>
    <w:qFormat/>
    <w:uiPriority w:val="99"/>
    <w:rPr>
      <w:sz w:val="18"/>
      <w:szCs w:val="18"/>
    </w:rPr>
  </w:style>
  <w:style w:type="character" w:customStyle="1" w:styleId="47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3C5E0358-C00E-4066-A658-5710333B70F4}">
  <ds:schemaRefs/>
</ds:datastoreItem>
</file>

<file path=customXml/itemProps2.xml><?xml version="1.0" encoding="utf-8"?>
<ds:datastoreItem xmlns:ds="http://schemas.openxmlformats.org/officeDocument/2006/customXml" ds:itemID="{E3935ED6-3C58-4D94-A9C7-A33CD5767044}">
  <ds:schemaRefs/>
</ds:datastoreItem>
</file>

<file path=customXml/itemProps3.xml><?xml version="1.0" encoding="utf-8"?>
<ds:datastoreItem xmlns:ds="http://schemas.openxmlformats.org/officeDocument/2006/customXml" ds:itemID="{A3D8CA0D-54BD-46DF-A298-6535AFE98C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1304</Words>
  <Characters>1474</Characters>
  <Lines>34</Lines>
  <Paragraphs>33</Paragraphs>
  <TotalTime>0</TotalTime>
  <ScaleCrop>false</ScaleCrop>
  <LinksUpToDate>false</LinksUpToDate>
  <CharactersWithSpaces>1514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2026-09-20T00:43:00Z</dcterms:created>
  <dc:creator>楚越 金</dc:creator>
  <cp:lastModifiedBy>GH</cp:lastModifiedBy>
  <dcterms:modified xsi:type="dcterms:W3CDTF">2026-09-20T01:36:15Z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eyJoZGlkIjoiNWVkNGJhMmFlN2RkODE1NTRjYTliOGQ2ZjhkZmI0NWEiLCJ1c2VySWQiOiIxOTI5NTA2NjYifQ==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6318CF6D17E7462DB940CDFBB16E0300_13</vt:lpwstr>
  </property>
</Properties>
</file>