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609D">
      <w:pPr>
        <w:autoSpaceDE/>
        <w:autoSpaceDN/>
        <w:spacing w:line="360" w:lineRule="auto"/>
        <w:jc w:val="center"/>
        <w:outlineLvl w:val="0"/>
        <w:rPr>
          <w:rFonts w:ascii="Times New Roman" w:hAnsi="Times New Roman" w:eastAsia="宋体" w:cs="宋体"/>
          <w:b/>
          <w:bCs/>
          <w:spacing w:val="-3"/>
          <w:sz w:val="28"/>
          <w:szCs w:val="28"/>
          <w:lang w:eastAsia="zh-CN"/>
        </w:rPr>
      </w:pPr>
      <w:r>
        <w:rPr>
          <w:rFonts w:ascii="Times New Roman" w:hAnsi="Times New Roman" w:eastAsia="宋体" w:cs="宋体"/>
          <w:b/>
          <w:bCs/>
          <w:spacing w:val="-3"/>
          <w:sz w:val="28"/>
          <w:szCs w:val="28"/>
          <w:lang w:eastAsia="zh-CN"/>
        </w:rPr>
        <w:t>北京九州一轨环境科技股份有限公司</w:t>
      </w:r>
    </w:p>
    <w:p w14:paraId="5682AACC">
      <w:pPr>
        <w:autoSpaceDE/>
        <w:autoSpaceDN/>
        <w:spacing w:line="360" w:lineRule="auto"/>
        <w:jc w:val="center"/>
        <w:outlineLvl w:val="0"/>
        <w:rPr>
          <w:rFonts w:ascii="Times New Roman" w:hAnsi="Times New Roman" w:eastAsia="宋体" w:cs="宋体"/>
          <w:sz w:val="28"/>
          <w:szCs w:val="28"/>
          <w:lang w:eastAsia="zh-CN"/>
        </w:rPr>
      </w:pPr>
      <w:r>
        <w:rPr>
          <w:rFonts w:ascii="Times New Roman" w:hAnsi="Times New Roman" w:eastAsia="宋体" w:cs="宋体"/>
          <w:b/>
          <w:bCs/>
          <w:spacing w:val="-4"/>
          <w:sz w:val="28"/>
          <w:szCs w:val="28"/>
          <w:lang w:eastAsia="zh-CN"/>
        </w:rPr>
        <w:t>投资者关系活动记录表</w:t>
      </w:r>
    </w:p>
    <w:p w14:paraId="6DDF452C">
      <w:pPr>
        <w:spacing w:after="120" w:afterLines="50" w:line="360" w:lineRule="auto"/>
        <w:jc w:val="center"/>
        <w:rPr>
          <w:rFonts w:ascii="Times New Roman" w:hAnsi="Times New Roman" w:cs="Times New Roman" w:eastAsiaTheme="minorEastAsia"/>
          <w:sz w:val="24"/>
          <w:szCs w:val="24"/>
          <w:highlight w:val="yellow"/>
          <w:lang w:eastAsia="zh-CN"/>
        </w:rPr>
      </w:pPr>
      <w:r>
        <w:rPr>
          <w:rFonts w:ascii="Times New Roman" w:hAnsi="Times New Roman" w:eastAsia="宋体" w:cs="宋体"/>
          <w:b/>
          <w:bCs/>
          <w:sz w:val="24"/>
          <w:szCs w:val="24"/>
          <w:lang w:eastAsia="zh-CN"/>
        </w:rPr>
        <w:t>证券简称：</w:t>
      </w:r>
      <w:r>
        <w:rPr>
          <w:rFonts w:ascii="Times New Roman" w:hAnsi="Times New Roman" w:eastAsia="宋体" w:cs="宋体"/>
          <w:sz w:val="24"/>
          <w:szCs w:val="24"/>
          <w:lang w:eastAsia="zh-CN"/>
        </w:rPr>
        <w:t>九州一轨</w:t>
      </w:r>
      <w:r>
        <w:rPr>
          <w:rFonts w:hint="eastAsia" w:ascii="Times New Roman" w:hAnsi="Times New Roman" w:eastAsia="宋体" w:cs="宋体"/>
          <w:b/>
          <w:bCs/>
          <w:sz w:val="24"/>
          <w:szCs w:val="24"/>
          <w:lang w:eastAsia="zh-CN"/>
        </w:rPr>
        <w:t xml:space="preserve">                 </w:t>
      </w:r>
      <w:r>
        <w:rPr>
          <w:rFonts w:ascii="Times New Roman" w:hAnsi="Times New Roman" w:eastAsia="宋体" w:cs="宋体"/>
          <w:b/>
          <w:bCs/>
          <w:sz w:val="24"/>
          <w:szCs w:val="24"/>
          <w:lang w:eastAsia="zh-CN"/>
        </w:rPr>
        <w:t>证券代</w:t>
      </w:r>
      <w:r>
        <w:rPr>
          <w:rFonts w:ascii="Times New Roman" w:hAnsi="Times New Roman" w:eastAsia="宋体" w:cs="宋体"/>
          <w:b/>
          <w:bCs/>
          <w:spacing w:val="-1"/>
          <w:sz w:val="24"/>
          <w:szCs w:val="24"/>
          <w:lang w:eastAsia="zh-CN"/>
        </w:rPr>
        <w:t>码：</w:t>
      </w:r>
      <w:r>
        <w:rPr>
          <w:rFonts w:ascii="Times New Roman" w:hAnsi="Times New Roman" w:eastAsia="Times New Roman" w:cs="Times New Roman"/>
          <w:spacing w:val="-1"/>
          <w:sz w:val="24"/>
          <w:szCs w:val="24"/>
          <w:lang w:eastAsia="zh-CN"/>
        </w:rPr>
        <w:t>688485</w:t>
      </w:r>
      <w:r>
        <w:rPr>
          <w:rFonts w:hint="eastAsia" w:ascii="Times New Roman" w:hAnsi="Times New Roman" w:eastAsia="宋体" w:cs="Times New Roman"/>
          <w:b/>
          <w:bCs/>
          <w:spacing w:val="-1"/>
          <w:sz w:val="24"/>
          <w:szCs w:val="24"/>
          <w:lang w:eastAsia="zh-CN"/>
        </w:rPr>
        <w:t xml:space="preserve">                         </w:t>
      </w:r>
      <w:r>
        <w:rPr>
          <w:rFonts w:ascii="Times New Roman" w:hAnsi="Times New Roman" w:eastAsia="宋体" w:cs="宋体"/>
          <w:b/>
          <w:bCs/>
          <w:spacing w:val="-1"/>
          <w:sz w:val="24"/>
          <w:szCs w:val="24"/>
          <w:lang w:eastAsia="zh-CN"/>
        </w:rPr>
        <w:t>编号：</w:t>
      </w:r>
      <w:r>
        <w:rPr>
          <w:rFonts w:ascii="Times New Roman" w:hAnsi="Times New Roman" w:eastAsia="宋体" w:cs="Times New Roman"/>
          <w:spacing w:val="-1"/>
          <w:sz w:val="24"/>
          <w:szCs w:val="24"/>
          <w:lang w:eastAsia="zh-CN"/>
        </w:rPr>
        <w:t>202</w:t>
      </w:r>
      <w:r>
        <w:rPr>
          <w:rFonts w:hint="eastAsia" w:ascii="Times New Roman" w:hAnsi="Times New Roman" w:eastAsia="宋体" w:cs="Times New Roman"/>
          <w:spacing w:val="-1"/>
          <w:sz w:val="24"/>
          <w:szCs w:val="24"/>
          <w:lang w:eastAsia="zh-CN"/>
        </w:rPr>
        <w:t>6</w:t>
      </w:r>
      <w:r>
        <w:rPr>
          <w:rFonts w:ascii="Times New Roman" w:hAnsi="Times New Roman" w:eastAsia="宋体" w:cs="Times New Roman"/>
          <w:spacing w:val="-1"/>
          <w:sz w:val="24"/>
          <w:szCs w:val="24"/>
          <w:lang w:eastAsia="zh-CN"/>
        </w:rPr>
        <w:t>-0</w:t>
      </w:r>
      <w:r>
        <w:rPr>
          <w:rFonts w:hint="eastAsia" w:ascii="Times New Roman" w:hAnsi="Times New Roman" w:eastAsia="宋体" w:cs="Times New Roman"/>
          <w:spacing w:val="-1"/>
          <w:sz w:val="24"/>
          <w:szCs w:val="24"/>
          <w:lang w:eastAsia="zh-CN"/>
        </w:rPr>
        <w:t>03</w:t>
      </w:r>
    </w:p>
    <w:tbl>
      <w:tblPr>
        <w:tblStyle w:val="14"/>
        <w:tblW w:w="8295"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1"/>
        <w:gridCol w:w="3189"/>
        <w:gridCol w:w="2935"/>
      </w:tblGrid>
      <w:tr w14:paraId="7AD1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171" w:type="dxa"/>
            <w:vAlign w:val="center"/>
          </w:tcPr>
          <w:p w14:paraId="6F8D41C5">
            <w:pPr>
              <w:pStyle w:val="15"/>
              <w:spacing w:line="360" w:lineRule="auto"/>
              <w:jc w:val="center"/>
              <w:rPr>
                <w:rFonts w:ascii="Times New Roman" w:hAnsi="Times New Roman"/>
                <w:b/>
                <w:bCs/>
                <w:spacing w:val="-4"/>
              </w:rPr>
            </w:pPr>
            <w:r>
              <w:rPr>
                <w:rFonts w:hint="eastAsia" w:ascii="Times New Roman" w:hAnsi="Times New Roman"/>
                <w:b/>
                <w:bCs/>
                <w:spacing w:val="-4"/>
              </w:rPr>
              <w:t>投资者关系活动</w:t>
            </w:r>
            <w:r>
              <w:rPr>
                <w:rFonts w:hint="eastAsia" w:ascii="Times New Roman" w:hAnsi="Times New Roman"/>
                <w:b/>
                <w:bCs/>
                <w:spacing w:val="-7"/>
              </w:rPr>
              <w:t>类别</w:t>
            </w:r>
          </w:p>
        </w:tc>
        <w:tc>
          <w:tcPr>
            <w:tcW w:w="3189" w:type="dxa"/>
            <w:tcBorders>
              <w:bottom w:val="nil"/>
              <w:right w:val="nil"/>
            </w:tcBorders>
            <w:vAlign w:val="center"/>
          </w:tcPr>
          <w:p w14:paraId="6CD66F7D">
            <w:pPr>
              <w:pStyle w:val="15"/>
              <w:autoSpaceDE/>
              <w:autoSpaceDN/>
              <w:spacing w:before="120" w:beforeLines="50" w:after="120" w:afterLines="50"/>
              <w:ind w:firstLine="492" w:firstLineChars="200"/>
              <w:jc w:val="both"/>
              <w:rPr>
                <w:rFonts w:ascii="Times New Roman" w:hAnsi="Times New Roman"/>
                <w:spacing w:val="3"/>
                <w:lang w:eastAsia="zh-CN"/>
              </w:rPr>
            </w:pPr>
            <w:r>
              <w:rPr>
                <w:rFonts w:hint="eastAsia" w:ascii="Times New Roman" w:hAnsi="Times New Roman"/>
                <w:spacing w:val="3"/>
              </w:rPr>
              <w:sym w:font="Wingdings 2" w:char="0052"/>
            </w:r>
            <w:r>
              <w:rPr>
                <w:rFonts w:hint="eastAsia" w:ascii="Times New Roman" w:hAnsi="Times New Roman"/>
                <w:spacing w:val="3"/>
                <w:lang w:eastAsia="zh-CN"/>
              </w:rPr>
              <w:t>特定对象调研</w:t>
            </w:r>
          </w:p>
          <w:p w14:paraId="3C799993">
            <w:pPr>
              <w:pStyle w:val="15"/>
              <w:autoSpaceDE/>
              <w:autoSpaceDN/>
              <w:spacing w:before="120" w:beforeLines="50" w:after="120" w:afterLines="50"/>
              <w:ind w:firstLine="492" w:firstLineChars="200"/>
              <w:jc w:val="both"/>
              <w:rPr>
                <w:rFonts w:ascii="Times New Roman" w:hAnsi="Times New Roman"/>
                <w:spacing w:val="-6"/>
                <w:lang w:eastAsia="zh-CN"/>
              </w:rPr>
            </w:pPr>
            <w:r>
              <w:rPr>
                <w:rFonts w:hint="eastAsia" w:ascii="Times New Roman" w:hAnsi="Times New Roman"/>
                <w:spacing w:val="3"/>
              </w:rPr>
              <w:sym w:font="Wingdings 2" w:char="00A3"/>
            </w:r>
            <w:r>
              <w:rPr>
                <w:rFonts w:hint="eastAsia" w:ascii="Times New Roman" w:hAnsi="Times New Roman"/>
                <w:spacing w:val="-6"/>
                <w:lang w:eastAsia="zh-CN"/>
              </w:rPr>
              <w:t>媒体采访</w:t>
            </w:r>
          </w:p>
          <w:p w14:paraId="0D74F8FF">
            <w:pPr>
              <w:pStyle w:val="15"/>
              <w:autoSpaceDE/>
              <w:autoSpaceDN/>
              <w:spacing w:before="120" w:beforeLines="50" w:after="120" w:afterLines="50"/>
              <w:ind w:firstLine="492" w:firstLineChars="200"/>
              <w:jc w:val="both"/>
              <w:rPr>
                <w:rFonts w:ascii="Times New Roman" w:hAnsi="Times New Roman"/>
                <w:spacing w:val="-5"/>
                <w:lang w:eastAsia="zh-CN"/>
              </w:rPr>
            </w:pPr>
            <w:r>
              <w:rPr>
                <w:rFonts w:hint="eastAsia" w:ascii="Times New Roman" w:hAnsi="Times New Roman"/>
                <w:spacing w:val="3"/>
              </w:rPr>
              <w:sym w:font="Wingdings 2" w:char="00A3"/>
            </w:r>
            <w:r>
              <w:rPr>
                <w:rFonts w:hint="eastAsia" w:ascii="Times New Roman" w:hAnsi="Times New Roman"/>
                <w:spacing w:val="-5"/>
                <w:lang w:eastAsia="zh-CN"/>
              </w:rPr>
              <w:t>新闻发布会</w:t>
            </w:r>
          </w:p>
          <w:p w14:paraId="19211835">
            <w:pPr>
              <w:pStyle w:val="15"/>
              <w:autoSpaceDE/>
              <w:autoSpaceDN/>
              <w:spacing w:before="120" w:beforeLines="50" w:after="120" w:afterLines="50"/>
              <w:ind w:firstLine="508" w:firstLineChars="200"/>
              <w:jc w:val="both"/>
              <w:rPr>
                <w:rFonts w:ascii="Times New Roman" w:hAnsi="Times New Roman"/>
                <w:lang w:eastAsia="zh-CN"/>
              </w:rPr>
            </w:pPr>
            <w:r>
              <w:rPr>
                <w:rFonts w:hint="eastAsia" w:ascii="Times New Roman" w:hAnsi="Times New Roman"/>
                <w:spacing w:val="7"/>
              </w:rPr>
              <w:sym w:font="Wingdings 2" w:char="0052"/>
            </w:r>
            <w:r>
              <w:rPr>
                <w:rFonts w:hint="eastAsia" w:ascii="Times New Roman" w:hAnsi="Times New Roman"/>
                <w:spacing w:val="7"/>
              </w:rPr>
              <w:t>现场参观</w:t>
            </w:r>
          </w:p>
        </w:tc>
        <w:tc>
          <w:tcPr>
            <w:tcW w:w="2935" w:type="dxa"/>
            <w:tcBorders>
              <w:left w:val="nil"/>
              <w:bottom w:val="nil"/>
            </w:tcBorders>
            <w:vAlign w:val="center"/>
          </w:tcPr>
          <w:p w14:paraId="4F009989">
            <w:pPr>
              <w:pStyle w:val="15"/>
              <w:autoSpaceDE/>
              <w:autoSpaceDN/>
              <w:spacing w:before="120" w:beforeLines="50" w:after="120" w:afterLines="50"/>
              <w:jc w:val="both"/>
              <w:rPr>
                <w:rFonts w:ascii="Times New Roman" w:hAnsi="Times New Roman"/>
                <w:spacing w:val="3"/>
                <w:lang w:eastAsia="zh-CN"/>
              </w:rPr>
            </w:pPr>
            <w:r>
              <w:rPr>
                <w:rFonts w:hint="eastAsia" w:ascii="Times New Roman" w:hAnsi="Times New Roman"/>
                <w:spacing w:val="3"/>
              </w:rPr>
              <w:sym w:font="Wingdings 2" w:char="0052"/>
            </w:r>
            <w:r>
              <w:rPr>
                <w:rFonts w:hint="eastAsia" w:ascii="Times New Roman" w:hAnsi="Times New Roman"/>
                <w:spacing w:val="-5"/>
                <w:lang w:eastAsia="zh-CN"/>
              </w:rPr>
              <w:t>分析师会议</w:t>
            </w:r>
          </w:p>
          <w:p w14:paraId="01616EAD">
            <w:pPr>
              <w:pStyle w:val="15"/>
              <w:autoSpaceDE/>
              <w:autoSpaceDN/>
              <w:spacing w:before="120" w:beforeLines="50" w:after="120" w:afterLines="50"/>
              <w:jc w:val="both"/>
              <w:rPr>
                <w:rFonts w:ascii="Times New Roman" w:hAnsi="Times New Roman"/>
                <w:spacing w:val="3"/>
                <w:lang w:eastAsia="zh-CN"/>
              </w:rPr>
            </w:pPr>
            <w:r>
              <w:rPr>
                <w:rFonts w:hint="eastAsia" w:ascii="Times New Roman" w:hAnsi="Times New Roman"/>
                <w:spacing w:val="3"/>
              </w:rPr>
              <w:sym w:font="Wingdings 2" w:char="00A3"/>
            </w:r>
            <w:r>
              <w:rPr>
                <w:rFonts w:hint="eastAsia" w:ascii="Times New Roman" w:hAnsi="Times New Roman"/>
                <w:spacing w:val="-5"/>
                <w:lang w:eastAsia="zh-CN"/>
              </w:rPr>
              <w:t>业绩说明会</w:t>
            </w:r>
          </w:p>
          <w:p w14:paraId="762AEE12">
            <w:pPr>
              <w:pStyle w:val="15"/>
              <w:tabs>
                <w:tab w:val="center" w:pos="1465"/>
              </w:tabs>
              <w:autoSpaceDE/>
              <w:autoSpaceDN/>
              <w:spacing w:before="120" w:beforeLines="50" w:after="120" w:afterLines="50"/>
              <w:jc w:val="both"/>
              <w:rPr>
                <w:rFonts w:ascii="Times New Roman" w:hAnsi="Times New Roman"/>
                <w:spacing w:val="-6"/>
                <w:lang w:eastAsia="zh-CN"/>
              </w:rPr>
            </w:pPr>
            <w:r>
              <w:rPr>
                <w:rFonts w:hint="eastAsia" w:ascii="Times New Roman" w:hAnsi="Times New Roman"/>
                <w:spacing w:val="3"/>
              </w:rPr>
              <w:sym w:font="Wingdings 2" w:char="0052"/>
            </w:r>
            <w:r>
              <w:rPr>
                <w:rFonts w:hint="eastAsia" w:ascii="Times New Roman" w:hAnsi="Times New Roman"/>
                <w:spacing w:val="-6"/>
                <w:lang w:eastAsia="zh-CN"/>
              </w:rPr>
              <w:t>路演活动</w:t>
            </w:r>
          </w:p>
          <w:p w14:paraId="397800D4">
            <w:pPr>
              <w:pStyle w:val="15"/>
              <w:autoSpaceDE/>
              <w:autoSpaceDN/>
              <w:spacing w:before="120" w:beforeLines="50" w:after="120" w:afterLines="50"/>
              <w:jc w:val="both"/>
              <w:rPr>
                <w:rFonts w:ascii="Times New Roman" w:hAnsi="Times New Roman"/>
                <w:lang w:eastAsia="zh-CN"/>
              </w:rPr>
            </w:pPr>
            <w:r>
              <w:rPr>
                <w:rFonts w:hint="eastAsia" w:ascii="Times New Roman" w:hAnsi="Times New Roman"/>
                <w:spacing w:val="-6"/>
              </w:rPr>
              <w:sym w:font="Wingdings 2" w:char="00A3"/>
            </w:r>
            <w:r>
              <w:rPr>
                <w:rFonts w:hint="eastAsia" w:ascii="Times New Roman" w:hAnsi="Times New Roman"/>
                <w:spacing w:val="-6"/>
                <w:lang w:eastAsia="zh-CN"/>
              </w:rPr>
              <w:t>其他</w:t>
            </w:r>
          </w:p>
        </w:tc>
      </w:tr>
      <w:tr w14:paraId="7392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171" w:type="dxa"/>
            <w:vAlign w:val="center"/>
          </w:tcPr>
          <w:p w14:paraId="6615185F">
            <w:pPr>
              <w:pStyle w:val="15"/>
              <w:spacing w:line="360" w:lineRule="auto"/>
              <w:jc w:val="center"/>
              <w:rPr>
                <w:rFonts w:ascii="Times New Roman" w:hAnsi="Times New Roman"/>
                <w:spacing w:val="1"/>
                <w:lang w:eastAsia="zh-CN"/>
              </w:rPr>
            </w:pPr>
            <w:r>
              <w:rPr>
                <w:rFonts w:hint="eastAsia" w:ascii="Times New Roman" w:hAnsi="Times New Roman"/>
                <w:b/>
                <w:bCs/>
                <w:spacing w:val="-4"/>
                <w:lang w:eastAsia="zh-CN"/>
              </w:rPr>
              <w:t>参与单位名称</w:t>
            </w:r>
          </w:p>
          <w:p w14:paraId="5254F3E4">
            <w:pPr>
              <w:pStyle w:val="15"/>
              <w:spacing w:line="360" w:lineRule="auto"/>
              <w:jc w:val="center"/>
              <w:rPr>
                <w:rFonts w:ascii="Times New Roman" w:hAnsi="Times New Roman"/>
                <w:lang w:eastAsia="zh-CN"/>
              </w:rPr>
            </w:pPr>
            <w:r>
              <w:rPr>
                <w:rFonts w:hint="eastAsia" w:ascii="Times New Roman" w:hAnsi="Times New Roman"/>
                <w:b/>
                <w:bCs/>
                <w:spacing w:val="-4"/>
                <w:lang w:eastAsia="zh-CN"/>
              </w:rPr>
              <w:t>及人员姓名</w:t>
            </w:r>
          </w:p>
        </w:tc>
        <w:tc>
          <w:tcPr>
            <w:tcW w:w="6124" w:type="dxa"/>
            <w:gridSpan w:val="2"/>
            <w:vAlign w:val="center"/>
          </w:tcPr>
          <w:p w14:paraId="33CA8131">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水璞基金 陈伟斌</w:t>
            </w:r>
          </w:p>
          <w:p w14:paraId="5E9E90D9">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国泰基金 陈雨杨</w:t>
            </w:r>
          </w:p>
          <w:p w14:paraId="7B9AB63B">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德邦基金 陈艳妮</w:t>
            </w:r>
          </w:p>
          <w:p w14:paraId="3FF99403">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华夏基金 曹雅媞</w:t>
            </w:r>
          </w:p>
          <w:p w14:paraId="0F4CA515">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中欧基金 代云锋</w:t>
            </w:r>
          </w:p>
          <w:p w14:paraId="77F1CFBD">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华泰保兴 惠乐颖</w:t>
            </w:r>
          </w:p>
          <w:p w14:paraId="553255AA">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长信基金 黄向南</w:t>
            </w:r>
          </w:p>
          <w:p w14:paraId="027E6792">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浙商证券 蒋逸</w:t>
            </w:r>
          </w:p>
          <w:p w14:paraId="1E10E22F">
            <w:pPr>
              <w:pStyle w:val="15"/>
              <w:spacing w:before="120" w:beforeLines="50" w:after="120" w:afterLines="50"/>
              <w:jc w:val="center"/>
            </w:pPr>
            <w:r>
              <w:rPr>
                <w:color w:val="000000" w:themeColor="text1"/>
                <w:spacing w:val="-1"/>
                <w:lang w:eastAsia="zh-CN"/>
                <w14:textFill>
                  <w14:solidFill>
                    <w14:schemeClr w14:val="tx1"/>
                  </w14:solidFill>
                </w14:textFill>
              </w:rPr>
              <w:t>汇添富 江健</w:t>
            </w:r>
          </w:p>
          <w:p w14:paraId="5E2E6260">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圆信永丰 姜昊</w:t>
            </w:r>
          </w:p>
          <w:p w14:paraId="57D4032F">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红骅投资 罗世嘉</w:t>
            </w:r>
          </w:p>
          <w:p w14:paraId="25D99585">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西部证券</w:t>
            </w:r>
            <w:r>
              <w:rPr>
                <w:rFonts w:hint="eastAsia"/>
                <w:color w:val="000000" w:themeColor="text1"/>
                <w:spacing w:val="-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乐智华</w:t>
            </w:r>
          </w:p>
          <w:p w14:paraId="2D89BA05">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华泰柏瑞 刘腾飞</w:t>
            </w:r>
          </w:p>
          <w:p w14:paraId="36B5C971">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景林</w:t>
            </w:r>
            <w:r>
              <w:rPr>
                <w:rFonts w:hint="eastAsia"/>
                <w:color w:val="000000" w:themeColor="text1"/>
                <w:spacing w:val="-1"/>
                <w:lang w:val="en-US" w:eastAsia="zh-CN"/>
                <w14:textFill>
                  <w14:solidFill>
                    <w14:schemeClr w14:val="tx1"/>
                  </w14:solidFill>
                </w14:textFill>
              </w:rPr>
              <w:t>资产</w:t>
            </w:r>
            <w:r>
              <w:rPr>
                <w:color w:val="000000" w:themeColor="text1"/>
                <w:spacing w:val="-1"/>
                <w:lang w:eastAsia="zh-CN"/>
                <w14:textFill>
                  <w14:solidFill>
                    <w14:schemeClr w14:val="tx1"/>
                  </w14:solidFill>
                </w14:textFill>
              </w:rPr>
              <w:t xml:space="preserve"> 明笛</w:t>
            </w:r>
          </w:p>
          <w:p w14:paraId="1E1B3B3A">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长信基金 乔木</w:t>
            </w:r>
          </w:p>
          <w:p w14:paraId="41B48A29">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浙商证券 秦乐恒</w:t>
            </w:r>
          </w:p>
          <w:p w14:paraId="76BD49CB">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华泰柏瑞 钱建江</w:t>
            </w:r>
          </w:p>
          <w:p w14:paraId="752519C7">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平安资管 史俊奇</w:t>
            </w:r>
          </w:p>
          <w:p w14:paraId="10816822">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平安基金</w:t>
            </w:r>
            <w:r>
              <w:rPr>
                <w:rFonts w:hint="eastAsia"/>
                <w:color w:val="000000" w:themeColor="text1"/>
                <w:spacing w:val="-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唐煜</w:t>
            </w:r>
          </w:p>
          <w:p w14:paraId="208AB2E6">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西南证券</w:t>
            </w:r>
            <w:r>
              <w:rPr>
                <w:rFonts w:hint="eastAsia"/>
                <w:color w:val="000000" w:themeColor="text1"/>
                <w:spacing w:val="-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邰桂</w:t>
            </w:r>
            <w:r>
              <w:rPr>
                <w:rFonts w:hint="eastAsia"/>
                <w:color w:val="000000" w:themeColor="text1"/>
                <w:spacing w:val="-1"/>
                <w:lang w:val="en-US" w:eastAsia="zh-CN"/>
                <w14:textFill>
                  <w14:solidFill>
                    <w14:schemeClr w14:val="tx1"/>
                  </w14:solidFill>
                </w14:textFill>
              </w:rPr>
              <w:t>龙</w:t>
            </w:r>
          </w:p>
          <w:p w14:paraId="5E4E5E90">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浙商证券 王华君</w:t>
            </w:r>
          </w:p>
          <w:p w14:paraId="15E855BC">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国寿安保 肖佳琪</w:t>
            </w:r>
          </w:p>
          <w:p w14:paraId="5ED8D038">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工银瑞信 谢怡婷</w:t>
            </w:r>
          </w:p>
          <w:p w14:paraId="74DA7F59">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平安基金 要文强</w:t>
            </w:r>
          </w:p>
          <w:p w14:paraId="119FFAE5">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瑞士百达</w:t>
            </w:r>
            <w:r>
              <w:rPr>
                <w:rFonts w:hint="eastAsia"/>
                <w:color w:val="000000" w:themeColor="text1"/>
                <w:spacing w:val="-1"/>
                <w:lang w:eastAsia="zh-CN"/>
                <w14:textFill>
                  <w14:solidFill>
                    <w14:schemeClr w14:val="tx1"/>
                  </w14:solidFill>
                </w14:textFill>
              </w:rPr>
              <w:t xml:space="preserve"> </w:t>
            </w:r>
            <w:r>
              <w:rPr>
                <w:color w:val="000000" w:themeColor="text1"/>
                <w:spacing w:val="-1"/>
                <w:lang w:eastAsia="zh-CN"/>
                <w14:textFill>
                  <w14:solidFill>
                    <w14:schemeClr w14:val="tx1"/>
                  </w14:solidFill>
                </w14:textFill>
              </w:rPr>
              <w:t>朱燕</w:t>
            </w:r>
          </w:p>
          <w:p w14:paraId="234044DE">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长信基金 朱松</w:t>
            </w:r>
          </w:p>
          <w:p w14:paraId="0DFBDCEF">
            <w:pPr>
              <w:pStyle w:val="15"/>
              <w:spacing w:before="120" w:beforeLines="50" w:after="120" w:afterLines="50"/>
              <w:jc w:val="center"/>
              <w:rPr>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平安资管 周斌</w:t>
            </w:r>
          </w:p>
          <w:p w14:paraId="46AF5D7D">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运舟资产 张伟</w:t>
            </w:r>
          </w:p>
          <w:p w14:paraId="3BD75C23">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天弘基金 张磊</w:t>
            </w:r>
          </w:p>
          <w:p w14:paraId="2C09FA17">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兆顺基金 张琦佳</w:t>
            </w:r>
          </w:p>
          <w:p w14:paraId="3BF2D290">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招银理财 赵杰</w:t>
            </w:r>
          </w:p>
          <w:p w14:paraId="643B85B8">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华夏基金 周天翎</w:t>
            </w:r>
          </w:p>
          <w:p w14:paraId="1892932B">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民生加银 郑爱刚</w:t>
            </w:r>
          </w:p>
          <w:p w14:paraId="7A93CBDB">
            <w:pPr>
              <w:pStyle w:val="15"/>
              <w:spacing w:before="120" w:beforeLines="50" w:after="120" w:afterLines="50"/>
              <w:jc w:val="center"/>
              <w:rPr>
                <w:rFonts w:hint="eastAsia"/>
                <w:color w:val="000000" w:themeColor="text1"/>
                <w:spacing w:val="-1"/>
                <w:lang w:eastAsia="zh-CN"/>
                <w14:textFill>
                  <w14:solidFill>
                    <w14:schemeClr w14:val="tx1"/>
                  </w14:solidFill>
                </w14:textFill>
              </w:rPr>
            </w:pPr>
            <w:r>
              <w:rPr>
                <w:color w:val="000000" w:themeColor="text1"/>
                <w:spacing w:val="-1"/>
                <w:lang w:eastAsia="zh-CN"/>
                <w14:textFill>
                  <w14:solidFill>
                    <w14:schemeClr w14:val="tx1"/>
                  </w14:solidFill>
                </w14:textFill>
              </w:rPr>
              <w:t>利信资产 郑帮强</w:t>
            </w:r>
          </w:p>
        </w:tc>
      </w:tr>
      <w:tr w14:paraId="6A22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171" w:type="dxa"/>
            <w:vAlign w:val="center"/>
          </w:tcPr>
          <w:p w14:paraId="579C780A">
            <w:pPr>
              <w:pStyle w:val="15"/>
              <w:autoSpaceDE/>
              <w:autoSpaceDN/>
              <w:jc w:val="center"/>
              <w:rPr>
                <w:rFonts w:ascii="Times New Roman" w:hAnsi="Times New Roman"/>
              </w:rPr>
            </w:pPr>
            <w:r>
              <w:rPr>
                <w:rFonts w:hint="eastAsia" w:ascii="Times New Roman" w:hAnsi="Times New Roman"/>
                <w:b/>
                <w:bCs/>
                <w:spacing w:val="-13"/>
              </w:rPr>
              <w:t>时间</w:t>
            </w:r>
          </w:p>
        </w:tc>
        <w:tc>
          <w:tcPr>
            <w:tcW w:w="6124" w:type="dxa"/>
            <w:gridSpan w:val="2"/>
          </w:tcPr>
          <w:p w14:paraId="28B60674">
            <w:pPr>
              <w:pStyle w:val="15"/>
              <w:autoSpaceDE/>
              <w:autoSpaceDN/>
              <w:spacing w:before="139" w:line="221" w:lineRule="auto"/>
              <w:jc w:val="center"/>
              <w:rPr>
                <w:rFonts w:ascii="Times New Roman" w:hAnsi="Times New Roman"/>
                <w:lang w:eastAsia="zh-CN"/>
              </w:rPr>
            </w:pPr>
            <w:r>
              <w:rPr>
                <w:rFonts w:hint="eastAsia" w:ascii="Times New Roman" w:hAnsi="Times New Roman"/>
                <w:lang w:eastAsia="zh-CN"/>
              </w:rPr>
              <w:t>2026年9月18日</w:t>
            </w:r>
          </w:p>
        </w:tc>
      </w:tr>
      <w:tr w14:paraId="1491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2171" w:type="dxa"/>
            <w:vAlign w:val="center"/>
          </w:tcPr>
          <w:p w14:paraId="43404B43">
            <w:pPr>
              <w:pStyle w:val="15"/>
              <w:autoSpaceDE/>
              <w:autoSpaceDN/>
              <w:jc w:val="center"/>
              <w:rPr>
                <w:rFonts w:ascii="Times New Roman" w:hAnsi="Times New Roman"/>
              </w:rPr>
            </w:pPr>
            <w:r>
              <w:rPr>
                <w:rFonts w:hint="eastAsia" w:ascii="Times New Roman" w:hAnsi="Times New Roman"/>
                <w:b/>
                <w:bCs/>
                <w:spacing w:val="-7"/>
              </w:rPr>
              <w:t>地点</w:t>
            </w:r>
          </w:p>
        </w:tc>
        <w:tc>
          <w:tcPr>
            <w:tcW w:w="6124" w:type="dxa"/>
            <w:gridSpan w:val="2"/>
            <w:vAlign w:val="center"/>
          </w:tcPr>
          <w:p w14:paraId="149433BE">
            <w:pPr>
              <w:pStyle w:val="15"/>
              <w:spacing w:before="78" w:line="219" w:lineRule="auto"/>
              <w:jc w:val="center"/>
              <w:rPr>
                <w:rFonts w:ascii="Times New Roman" w:hAnsi="Times New Roman"/>
                <w:lang w:eastAsia="zh-CN"/>
              </w:rPr>
            </w:pPr>
            <w:r>
              <w:rPr>
                <w:rFonts w:hint="eastAsia"/>
                <w:lang w:eastAsia="zh-CN"/>
              </w:rPr>
              <w:t>江苏</w:t>
            </w:r>
          </w:p>
        </w:tc>
      </w:tr>
      <w:tr w14:paraId="3AAFB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171" w:type="dxa"/>
            <w:vAlign w:val="center"/>
          </w:tcPr>
          <w:p w14:paraId="7859184F">
            <w:pPr>
              <w:pStyle w:val="15"/>
              <w:autoSpaceDE/>
              <w:autoSpaceDN/>
              <w:jc w:val="center"/>
              <w:rPr>
                <w:rFonts w:ascii="Times New Roman" w:hAnsi="Times New Roman"/>
                <w:lang w:eastAsia="zh-CN"/>
              </w:rPr>
            </w:pPr>
            <w:r>
              <w:rPr>
                <w:rFonts w:hint="eastAsia" w:ascii="Times New Roman" w:hAnsi="Times New Roman"/>
                <w:b/>
                <w:bCs/>
                <w:spacing w:val="-4"/>
                <w:lang w:eastAsia="zh-CN"/>
              </w:rPr>
              <w:t>上市公司接待人员</w:t>
            </w:r>
            <w:r>
              <w:rPr>
                <w:rFonts w:hint="eastAsia" w:ascii="Times New Roman" w:hAnsi="Times New Roman"/>
                <w:b/>
                <w:bCs/>
                <w:spacing w:val="-7"/>
                <w:lang w:eastAsia="zh-CN"/>
              </w:rPr>
              <w:t>姓名</w:t>
            </w:r>
          </w:p>
        </w:tc>
        <w:tc>
          <w:tcPr>
            <w:tcW w:w="6124" w:type="dxa"/>
            <w:gridSpan w:val="2"/>
            <w:vAlign w:val="center"/>
          </w:tcPr>
          <w:p w14:paraId="7573F1DA">
            <w:pPr>
              <w:pStyle w:val="15"/>
              <w:autoSpaceDE/>
              <w:autoSpaceDN/>
              <w:spacing w:before="120" w:beforeLines="50" w:after="120" w:afterLines="50"/>
              <w:ind w:firstLine="833" w:firstLineChars="350"/>
              <w:rPr>
                <w:rFonts w:ascii="Times New Roman" w:hAnsi="Times New Roman"/>
                <w:spacing w:val="-1"/>
                <w:lang w:eastAsia="zh-CN"/>
              </w:rPr>
            </w:pPr>
            <w:r>
              <w:rPr>
                <w:rFonts w:hint="eastAsia" w:ascii="Times New Roman" w:hAnsi="Times New Roman"/>
                <w:spacing w:val="-1"/>
                <w:lang w:eastAsia="zh-CN"/>
              </w:rPr>
              <w:t>副总裁、子公司晶禧半导体总经理 陶为银</w:t>
            </w:r>
          </w:p>
          <w:p w14:paraId="2C58231A">
            <w:pPr>
              <w:pStyle w:val="15"/>
              <w:autoSpaceDE/>
              <w:autoSpaceDN/>
              <w:spacing w:before="120" w:beforeLines="50" w:after="120" w:afterLines="50"/>
              <w:ind w:firstLine="833" w:firstLineChars="350"/>
              <w:rPr>
                <w:rFonts w:ascii="Times New Roman" w:hAnsi="Times New Roman"/>
                <w:spacing w:val="-1"/>
                <w:lang w:eastAsia="zh-CN"/>
              </w:rPr>
            </w:pPr>
            <w:r>
              <w:rPr>
                <w:rFonts w:hint="eastAsia" w:ascii="Times New Roman" w:hAnsi="Times New Roman"/>
                <w:spacing w:val="-1"/>
                <w:lang w:eastAsia="zh-CN"/>
              </w:rPr>
              <w:t>副总裁、财务总监兼董事会秘书 张侃</w:t>
            </w:r>
          </w:p>
          <w:p w14:paraId="3A58F2DC">
            <w:pPr>
              <w:pStyle w:val="15"/>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子公司晶禧半导体执行董事兼常务副总经理 林静</w:t>
            </w:r>
          </w:p>
          <w:p w14:paraId="502DD2ED">
            <w:pPr>
              <w:pStyle w:val="15"/>
              <w:autoSpaceDE/>
              <w:autoSpaceDN/>
              <w:spacing w:before="120" w:beforeLines="50" w:after="120" w:afterLines="50"/>
              <w:ind w:firstLine="833" w:firstLineChars="350"/>
              <w:rPr>
                <w:rFonts w:ascii="Times New Roman" w:hAnsi="Times New Roman"/>
                <w:lang w:eastAsia="zh-CN"/>
              </w:rPr>
            </w:pPr>
            <w:r>
              <w:rPr>
                <w:rFonts w:hint="eastAsia" w:ascii="Times New Roman" w:hAnsi="Times New Roman"/>
                <w:spacing w:val="-1"/>
                <w:lang w:eastAsia="zh-CN"/>
              </w:rPr>
              <w:t xml:space="preserve">子公司晶禧半导体副总经理 陶明远 </w:t>
            </w:r>
          </w:p>
          <w:p w14:paraId="68413A68">
            <w:pPr>
              <w:pStyle w:val="15"/>
              <w:autoSpaceDE/>
              <w:autoSpaceDN/>
              <w:spacing w:before="120" w:beforeLines="50" w:after="120" w:afterLines="50"/>
              <w:ind w:firstLine="840" w:firstLineChars="350"/>
              <w:rPr>
                <w:rFonts w:ascii="Times New Roman" w:hAnsi="Times New Roman"/>
                <w:lang w:eastAsia="zh-CN"/>
              </w:rPr>
            </w:pPr>
            <w:r>
              <w:rPr>
                <w:rFonts w:hint="eastAsia" w:ascii="Times New Roman" w:hAnsi="Times New Roman"/>
                <w:lang w:eastAsia="zh-CN"/>
              </w:rPr>
              <w:t>董事会办公室副主任、证券事务代表 衡欢乐</w:t>
            </w:r>
          </w:p>
        </w:tc>
      </w:tr>
      <w:tr w14:paraId="2485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076E5011">
            <w:pPr>
              <w:pStyle w:val="15"/>
              <w:autoSpaceDE/>
              <w:autoSpaceDN/>
              <w:jc w:val="center"/>
              <w:rPr>
                <w:rFonts w:ascii="Times New Roman" w:hAnsi="Times New Roman"/>
                <w:lang w:eastAsia="zh-CN"/>
              </w:rPr>
            </w:pPr>
            <w:r>
              <w:rPr>
                <w:rFonts w:hint="eastAsia" w:ascii="Times New Roman" w:hAnsi="Times New Roman"/>
                <w:b/>
                <w:bCs/>
                <w:spacing w:val="-4"/>
                <w:lang w:eastAsia="zh-CN"/>
              </w:rPr>
              <w:t>投资者关系活动主要</w:t>
            </w:r>
            <w:r>
              <w:rPr>
                <w:rFonts w:hint="eastAsia" w:ascii="Times New Roman" w:hAnsi="Times New Roman"/>
                <w:b/>
                <w:bCs/>
                <w:spacing w:val="-12"/>
                <w:lang w:eastAsia="zh-CN"/>
              </w:rPr>
              <w:t>内容介绍</w:t>
            </w:r>
          </w:p>
        </w:tc>
        <w:tc>
          <w:tcPr>
            <w:tcW w:w="6124" w:type="dxa"/>
            <w:gridSpan w:val="2"/>
          </w:tcPr>
          <w:p w14:paraId="4A7B2D4B">
            <w:pPr>
              <w:pStyle w:val="16"/>
              <w:spacing w:before="120" w:beforeLines="50" w:after="120" w:afterLines="50"/>
              <w:ind w:left="23" w:right="23" w:firstLine="470" w:firstLineChars="200"/>
              <w:jc w:val="both"/>
              <w:rPr>
                <w:rFonts w:hint="eastAsia" w:ascii="宋体" w:hAnsi="宋体"/>
                <w:b/>
                <w:bCs/>
                <w:spacing w:val="-3"/>
                <w:sz w:val="24"/>
                <w:szCs w:val="24"/>
              </w:rPr>
            </w:pPr>
            <w:r>
              <w:rPr>
                <w:rFonts w:hint="eastAsia" w:ascii="宋体" w:hAnsi="宋体"/>
                <w:b/>
                <w:bCs/>
                <w:spacing w:val="-3"/>
                <w:sz w:val="24"/>
                <w:szCs w:val="24"/>
              </w:rPr>
              <w:t>一、公司在城市轨道交通减振降噪领域的市场地位、线路与城市覆盖情况如何？</w:t>
            </w:r>
          </w:p>
          <w:p w14:paraId="583BBD68">
            <w:pPr>
              <w:pStyle w:val="16"/>
              <w:spacing w:before="120" w:beforeLines="50" w:after="120" w:afterLines="50"/>
              <w:ind w:left="23" w:right="23" w:firstLine="480" w:firstLineChars="200"/>
              <w:jc w:val="both"/>
              <w:rPr>
                <w:rFonts w:hint="eastAsia" w:ascii="宋体" w:hAnsi="宋体"/>
                <w:b/>
                <w:bCs/>
                <w:spacing w:val="-3"/>
                <w:sz w:val="24"/>
                <w:szCs w:val="24"/>
              </w:rPr>
            </w:pPr>
            <w:r>
              <w:rPr>
                <w:rFonts w:hint="eastAsia" w:ascii="Times New Roman" w:hAnsi="Times New Roman"/>
                <w:sz w:val="24"/>
                <w:szCs w:val="24"/>
              </w:rPr>
              <w:t>回复：</w:t>
            </w:r>
          </w:p>
          <w:p w14:paraId="68D2003A">
            <w:pPr>
              <w:ind w:firstLine="480" w:firstLineChars="200"/>
              <w:jc w:val="both"/>
              <w:rPr>
                <w:color w:val="1F2329"/>
                <w:sz w:val="24"/>
                <w:szCs w:val="24"/>
                <w:lang w:eastAsia="zh-CN"/>
              </w:rPr>
            </w:pPr>
            <w:r>
              <w:rPr>
                <w:rFonts w:hint="eastAsia" w:ascii="宋体" w:hAnsi="宋体" w:eastAsia="宋体" w:cs="宋体"/>
                <w:sz w:val="24"/>
                <w:szCs w:val="24"/>
                <w:lang w:eastAsia="zh-CN"/>
              </w:rPr>
              <w:t>北京九州一轨环境科技股份有限公司（以下简称“公司”或“九州一轨”）</w:t>
            </w:r>
            <w:r>
              <w:rPr>
                <w:rFonts w:ascii="宋体" w:hAnsi="宋体" w:eastAsia="宋体" w:cs="宋体"/>
                <w:sz w:val="24"/>
                <w:szCs w:val="24"/>
                <w:lang w:eastAsia="zh-CN"/>
              </w:rPr>
              <w:t>是国内城市轨道交通减振降噪领域的领先企业，基于</w:t>
            </w:r>
            <w:r>
              <w:rPr>
                <w:rFonts w:hint="eastAsia" w:ascii="宋体" w:hAnsi="宋体" w:eastAsia="宋体" w:cs="宋体"/>
                <w:sz w:val="24"/>
                <w:szCs w:val="24"/>
                <w:lang w:eastAsia="zh-CN"/>
              </w:rPr>
              <w:t>“</w:t>
            </w:r>
            <w:r>
              <w:rPr>
                <w:rFonts w:ascii="宋体" w:hAnsi="宋体" w:eastAsia="宋体" w:cs="宋体"/>
                <w:sz w:val="24"/>
                <w:szCs w:val="24"/>
                <w:lang w:eastAsia="zh-CN"/>
              </w:rPr>
              <w:t>阻尼钢弹簧浮置板道床隔振系统</w:t>
            </w:r>
            <w:r>
              <w:rPr>
                <w:rFonts w:hint="eastAsia" w:ascii="宋体" w:hAnsi="宋体" w:eastAsia="宋体" w:cs="宋体"/>
                <w:sz w:val="24"/>
                <w:szCs w:val="24"/>
                <w:lang w:eastAsia="zh-CN"/>
              </w:rPr>
              <w:t>”</w:t>
            </w:r>
            <w:r>
              <w:rPr>
                <w:rFonts w:ascii="宋体" w:hAnsi="宋体" w:eastAsia="宋体" w:cs="宋体"/>
                <w:sz w:val="24"/>
                <w:szCs w:val="24"/>
                <w:lang w:eastAsia="zh-CN"/>
              </w:rPr>
              <w:t>科技成果转化，围绕</w:t>
            </w:r>
            <w:r>
              <w:rPr>
                <w:rFonts w:hint="eastAsia" w:ascii="宋体" w:hAnsi="宋体" w:eastAsia="宋体" w:cs="宋体"/>
                <w:sz w:val="24"/>
                <w:szCs w:val="24"/>
                <w:lang w:eastAsia="zh-CN"/>
              </w:rPr>
              <w:t>“</w:t>
            </w:r>
            <w:r>
              <w:rPr>
                <w:rFonts w:ascii="宋体" w:hAnsi="宋体" w:eastAsia="宋体" w:cs="宋体"/>
                <w:sz w:val="24"/>
                <w:szCs w:val="24"/>
                <w:lang w:eastAsia="zh-CN"/>
              </w:rPr>
              <w:t>阻尼弹簧浮置道床</w:t>
            </w:r>
            <w:r>
              <w:rPr>
                <w:rFonts w:hint="eastAsia" w:ascii="宋体" w:hAnsi="宋体" w:eastAsia="宋体" w:cs="宋体"/>
                <w:sz w:val="24"/>
                <w:szCs w:val="24"/>
                <w:lang w:eastAsia="zh-CN"/>
              </w:rPr>
              <w:t>”“</w:t>
            </w:r>
            <w:bookmarkStart w:id="0" w:name="OLE_LINK3"/>
            <w:r>
              <w:rPr>
                <w:rFonts w:ascii="宋体" w:hAnsi="宋体" w:eastAsia="宋体" w:cs="宋体"/>
                <w:sz w:val="24"/>
                <w:szCs w:val="24"/>
                <w:lang w:eastAsia="zh-CN"/>
              </w:rPr>
              <w:t>唧筒式阻尼结构</w:t>
            </w:r>
            <w:bookmarkEnd w:id="0"/>
            <w:r>
              <w:rPr>
                <w:rFonts w:hint="eastAsia" w:ascii="宋体" w:hAnsi="宋体" w:eastAsia="宋体" w:cs="宋体"/>
                <w:sz w:val="24"/>
                <w:szCs w:val="24"/>
                <w:lang w:eastAsia="zh-CN"/>
              </w:rPr>
              <w:t>”“</w:t>
            </w:r>
            <w:r>
              <w:rPr>
                <w:rFonts w:ascii="宋体" w:hAnsi="宋体" w:eastAsia="宋体" w:cs="宋体"/>
                <w:sz w:val="24"/>
                <w:szCs w:val="24"/>
                <w:lang w:eastAsia="zh-CN"/>
              </w:rPr>
              <w:t>预制板浮置减振道床</w:t>
            </w:r>
            <w:r>
              <w:rPr>
                <w:rFonts w:hint="eastAsia" w:ascii="宋体" w:hAnsi="宋体" w:eastAsia="宋体" w:cs="宋体"/>
                <w:sz w:val="24"/>
                <w:szCs w:val="24"/>
                <w:lang w:eastAsia="zh-CN"/>
              </w:rPr>
              <w:t>”</w:t>
            </w:r>
            <w:r>
              <w:rPr>
                <w:rFonts w:ascii="宋体" w:hAnsi="宋体" w:eastAsia="宋体" w:cs="宋体"/>
                <w:sz w:val="24"/>
                <w:szCs w:val="24"/>
                <w:lang w:eastAsia="zh-CN"/>
              </w:rPr>
              <w:t>等核心技术形成自主技术体系，突破国外专利封锁，打破外资垄断格局，实现高端隔振领域国产替代与自主可控，</w:t>
            </w:r>
            <w:r>
              <w:rPr>
                <w:rFonts w:hint="eastAsia" w:ascii="宋体" w:hAnsi="宋体" w:eastAsia="宋体" w:cs="宋体"/>
                <w:sz w:val="24"/>
                <w:szCs w:val="24"/>
                <w:lang w:eastAsia="zh-CN" w:bidi="ar"/>
              </w:rPr>
              <w:t>凭借多年积累的品牌影响力，依托覆盖全国的营销服务网络、完善的区域布局体系和高效的市场响应机制，</w:t>
            </w:r>
            <w:r>
              <w:rPr>
                <w:rFonts w:ascii="宋体" w:hAnsi="宋体" w:eastAsia="宋体" w:cs="宋体"/>
                <w:sz w:val="24"/>
                <w:szCs w:val="24"/>
                <w:lang w:eastAsia="zh-CN"/>
              </w:rPr>
              <w:t>在城市轨道交通存量市场</w:t>
            </w:r>
            <w:bookmarkStart w:id="1" w:name="OLE_LINK4"/>
            <w:r>
              <w:rPr>
                <w:rFonts w:ascii="宋体" w:hAnsi="宋体" w:eastAsia="宋体" w:cs="宋体"/>
                <w:sz w:val="24"/>
                <w:szCs w:val="24"/>
                <w:lang w:eastAsia="zh-CN"/>
              </w:rPr>
              <w:t>覆盖与服务</w:t>
            </w:r>
            <w:bookmarkEnd w:id="1"/>
            <w:r>
              <w:rPr>
                <w:rFonts w:ascii="宋体" w:hAnsi="宋体" w:eastAsia="宋体" w:cs="宋体"/>
                <w:sz w:val="24"/>
                <w:szCs w:val="24"/>
                <w:lang w:eastAsia="zh-CN"/>
              </w:rPr>
              <w:t>渗透方面稳居行业前列。在线路与城市覆盖方面，根据中国城市轨道交通协会统计，截至2026年6月30日中国内地已有58个城市投运城轨交通线路386条，公司主要产品已应用于北京、天津、石家庄、深圳、济南等</w:t>
            </w:r>
            <w:r>
              <w:rPr>
                <w:rFonts w:hint="eastAsia" w:ascii="宋体" w:hAnsi="宋体" w:eastAsia="宋体" w:cs="宋体"/>
                <w:sz w:val="24"/>
                <w:szCs w:val="24"/>
                <w:lang w:eastAsia="zh-CN" w:bidi="ar"/>
              </w:rPr>
              <w:t>33个城市的160余条线路，累计线路覆盖率超过40%、累计城市覆盖率超过50%</w:t>
            </w:r>
            <w:r>
              <w:rPr>
                <w:rFonts w:ascii="宋体" w:hAnsi="宋体" w:eastAsia="宋体" w:cs="宋体"/>
                <w:sz w:val="24"/>
                <w:szCs w:val="24"/>
                <w:lang w:eastAsia="zh-CN"/>
              </w:rPr>
              <w:t>。</w:t>
            </w:r>
          </w:p>
          <w:p w14:paraId="48E57ABF">
            <w:pPr>
              <w:pStyle w:val="16"/>
              <w:spacing w:before="120" w:beforeLines="50" w:after="120" w:afterLines="50"/>
              <w:ind w:left="23" w:right="23" w:firstLine="470" w:firstLineChars="200"/>
              <w:jc w:val="both"/>
              <w:rPr>
                <w:rFonts w:hint="eastAsia" w:ascii="宋体" w:hAnsi="宋体"/>
                <w:b/>
                <w:bCs/>
                <w:spacing w:val="-3"/>
                <w:sz w:val="24"/>
                <w:szCs w:val="24"/>
              </w:rPr>
            </w:pPr>
            <w:r>
              <w:rPr>
                <w:rFonts w:hint="eastAsia" w:ascii="宋体" w:hAnsi="宋体"/>
                <w:b/>
                <w:bCs/>
                <w:spacing w:val="-3"/>
                <w:sz w:val="24"/>
                <w:szCs w:val="24"/>
                <w:lang w:val="en-US" w:eastAsia="zh-CN"/>
              </w:rPr>
              <w:t>二</w:t>
            </w:r>
            <w:r>
              <w:rPr>
                <w:rFonts w:hint="eastAsia" w:ascii="宋体" w:hAnsi="宋体"/>
                <w:b/>
                <w:bCs/>
                <w:spacing w:val="-3"/>
                <w:sz w:val="24"/>
                <w:szCs w:val="24"/>
              </w:rPr>
              <w:t>、公司轨道声纹在线监测与智慧运维系统相比传统人工巡检有哪些优势？</w:t>
            </w:r>
          </w:p>
          <w:p w14:paraId="06A10433">
            <w:pPr>
              <w:pStyle w:val="16"/>
              <w:spacing w:before="120" w:beforeLines="50" w:after="120" w:afterLines="50"/>
              <w:ind w:left="23" w:right="23" w:firstLine="480" w:firstLineChars="200"/>
              <w:jc w:val="both"/>
              <w:rPr>
                <w:rFonts w:hint="eastAsia" w:ascii="宋体" w:hAnsi="宋体"/>
                <w:b/>
                <w:bCs/>
                <w:spacing w:val="-3"/>
                <w:sz w:val="24"/>
                <w:szCs w:val="24"/>
              </w:rPr>
            </w:pPr>
            <w:r>
              <w:rPr>
                <w:rFonts w:hint="eastAsia" w:ascii="Times New Roman" w:hAnsi="Times New Roman"/>
                <w:sz w:val="24"/>
                <w:szCs w:val="24"/>
              </w:rPr>
              <w:t>回复：</w:t>
            </w:r>
          </w:p>
          <w:p w14:paraId="78644519">
            <w:pPr>
              <w:ind w:firstLine="480" w:firstLineChars="200"/>
              <w:jc w:val="both"/>
              <w:rPr>
                <w:rFonts w:hint="eastAsia" w:ascii="宋体" w:hAnsi="宋体" w:eastAsia="宋体" w:cs="宋体"/>
                <w:sz w:val="24"/>
                <w:szCs w:val="24"/>
                <w:lang w:eastAsia="zh-CN"/>
              </w:rPr>
            </w:pPr>
            <w:r>
              <w:rPr>
                <w:rFonts w:ascii="宋体" w:hAnsi="宋体" w:eastAsia="宋体" w:cs="宋体"/>
                <w:sz w:val="24"/>
                <w:szCs w:val="24"/>
                <w:lang w:eastAsia="zh-CN"/>
              </w:rPr>
              <w:t>公司轨道声纹在线监测与智慧运维系统以自主开发的轨道断面、线路、车载声纹监测软硬件为基础，依托工务智慧运维管理信息系统平台，综合运用物联网、大数据、人工智能等技术，实现轨道与车辆真实状态的全时全域监测</w:t>
            </w:r>
            <w:r>
              <w:rPr>
                <w:rFonts w:hint="eastAsia" w:ascii="宋体" w:hAnsi="宋体" w:eastAsia="宋体" w:cs="宋体"/>
                <w:sz w:val="24"/>
                <w:szCs w:val="24"/>
                <w:lang w:eastAsia="zh-CN"/>
              </w:rPr>
              <w:t>。</w:t>
            </w:r>
            <w:r>
              <w:rPr>
                <w:rFonts w:ascii="宋体" w:hAnsi="宋体" w:eastAsia="宋体" w:cs="宋体"/>
                <w:sz w:val="24"/>
                <w:szCs w:val="24"/>
                <w:lang w:eastAsia="zh-CN"/>
              </w:rPr>
              <w:t>与传统以周期性、被动式检查为主的人工巡检相比，其优势主要体现在三</w:t>
            </w:r>
            <w:r>
              <w:rPr>
                <w:rFonts w:hint="eastAsia" w:ascii="宋体" w:hAnsi="宋体" w:eastAsia="宋体" w:cs="宋体"/>
                <w:sz w:val="24"/>
                <w:szCs w:val="24"/>
                <w:lang w:val="en-US" w:eastAsia="zh-CN"/>
              </w:rPr>
              <w:t>个</w:t>
            </w:r>
            <w:r>
              <w:rPr>
                <w:rFonts w:ascii="宋体" w:hAnsi="宋体" w:eastAsia="宋体" w:cs="宋体"/>
                <w:sz w:val="24"/>
                <w:szCs w:val="24"/>
                <w:lang w:eastAsia="zh-CN"/>
              </w:rPr>
              <w:t>方面：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）在及时性方面，</w:t>
            </w:r>
            <w:r>
              <w:rPr>
                <w:rFonts w:ascii="宋体" w:hAnsi="宋体" w:eastAsia="宋体" w:cs="宋体"/>
                <w:sz w:val="24"/>
                <w:szCs w:val="24"/>
                <w:lang w:eastAsia="zh-CN"/>
              </w:rPr>
              <w:t>该系统可变周期性被动检查为实时在线的主动性监测，实现轨道与车辆状态的全时全域感知，从病害发生初期即实时监控、适时响应、科学干预，并实现线路保护区施工作业的实时盯控，通过实时监测+日常巡查的新模式提升保护区作业安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ascii="宋体" w:hAnsi="宋体" w:eastAsia="宋体" w:cs="宋体"/>
                <w:sz w:val="24"/>
                <w:szCs w:val="24"/>
                <w:lang w:eastAsia="zh-CN"/>
              </w:rPr>
              <w:t>在准确性方面，系统通过振动、噪声</w:t>
            </w:r>
            <w:bookmarkStart w:id="2" w:name="OLE_LINK7"/>
            <w:r>
              <w:rPr>
                <w:rFonts w:hint="eastAsia" w:ascii="宋体" w:hAnsi="宋体" w:eastAsia="宋体" w:cs="宋体"/>
                <w:sz w:val="24"/>
                <w:szCs w:val="24"/>
                <w:lang w:eastAsia="zh-CN"/>
              </w:rPr>
              <w:t>，</w:t>
            </w:r>
            <w:r>
              <w:rPr>
                <w:rFonts w:ascii="宋体" w:hAnsi="宋体" w:eastAsia="宋体" w:cs="宋体"/>
                <w:sz w:val="24"/>
                <w:szCs w:val="24"/>
                <w:lang w:eastAsia="zh-CN"/>
              </w:rPr>
              <w:t>结合</w:t>
            </w:r>
            <w:bookmarkEnd w:id="2"/>
            <w:r>
              <w:rPr>
                <w:rFonts w:ascii="宋体" w:hAnsi="宋体" w:eastAsia="宋体" w:cs="宋体"/>
                <w:sz w:val="24"/>
                <w:szCs w:val="24"/>
                <w:lang w:eastAsia="zh-CN"/>
              </w:rPr>
              <w:t>模型计算，</w:t>
            </w:r>
            <w:bookmarkStart w:id="3" w:name="OLE_LINK8"/>
            <w:r>
              <w:rPr>
                <w:rFonts w:ascii="宋体" w:hAnsi="宋体" w:eastAsia="宋体" w:cs="宋体"/>
                <w:sz w:val="24"/>
                <w:szCs w:val="24"/>
                <w:lang w:eastAsia="zh-CN"/>
              </w:rPr>
              <w:t>智能化精准探知深层</w:t>
            </w:r>
            <w:bookmarkEnd w:id="3"/>
            <w:r>
              <w:rPr>
                <w:rFonts w:ascii="宋体" w:hAnsi="宋体" w:eastAsia="宋体" w:cs="宋体"/>
                <w:sz w:val="24"/>
                <w:szCs w:val="24"/>
                <w:lang w:eastAsia="zh-CN"/>
              </w:rPr>
              <w:t>结构病害，同时克服传统检测</w:t>
            </w:r>
            <w:r>
              <w:rPr>
                <w:rFonts w:hint="eastAsia" w:ascii="宋体" w:hAnsi="宋体" w:eastAsia="宋体" w:cs="宋体"/>
                <w:sz w:val="24"/>
                <w:szCs w:val="24"/>
                <w:lang w:eastAsia="zh-CN" w:bidi="ar"/>
              </w:rPr>
              <w:t>技术存在的短时、离散、高度不确定性等弊端，真实、准确记录噪声振动监测数据，</w:t>
            </w:r>
            <w:r>
              <w:rPr>
                <w:rFonts w:ascii="宋体" w:hAnsi="宋体" w:eastAsia="宋体" w:cs="宋体"/>
                <w:sz w:val="24"/>
                <w:szCs w:val="24"/>
                <w:lang w:eastAsia="zh-CN"/>
              </w:rPr>
              <w:t>减少人为</w:t>
            </w:r>
            <w:r>
              <w:rPr>
                <w:rFonts w:hint="eastAsia" w:ascii="宋体" w:hAnsi="宋体" w:eastAsia="宋体" w:cs="宋体"/>
                <w:sz w:val="24"/>
                <w:szCs w:val="24"/>
                <w:lang w:eastAsia="zh-CN"/>
              </w:rPr>
              <w:t>错误和延误</w:t>
            </w:r>
            <w:r>
              <w:rPr>
                <w:rFonts w:ascii="宋体" w:hAnsi="宋体" w:eastAsia="宋体" w:cs="宋体"/>
                <w:sz w:val="24"/>
                <w:szCs w:val="24"/>
                <w:lang w:eastAsia="zh-CN"/>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ascii="宋体" w:hAnsi="宋体" w:eastAsia="宋体" w:cs="宋体"/>
                <w:sz w:val="24"/>
                <w:szCs w:val="24"/>
                <w:lang w:eastAsia="zh-CN"/>
              </w:rPr>
              <w:t>在经济性方面，系统可帮助管理者实时精准感知设备状态</w:t>
            </w:r>
            <w:r>
              <w:rPr>
                <w:rFonts w:hint="eastAsia" w:ascii="宋体" w:hAnsi="宋体" w:eastAsia="宋体" w:cs="宋体"/>
                <w:sz w:val="24"/>
                <w:szCs w:val="24"/>
                <w:lang w:eastAsia="zh-CN"/>
              </w:rPr>
              <w:t>，</w:t>
            </w:r>
            <w:r>
              <w:rPr>
                <w:rFonts w:ascii="宋体" w:hAnsi="宋体" w:eastAsia="宋体" w:cs="宋体"/>
                <w:sz w:val="24"/>
                <w:szCs w:val="24"/>
                <w:lang w:eastAsia="zh-CN"/>
              </w:rPr>
              <w:t>优化维修资源，</w:t>
            </w:r>
            <w:bookmarkStart w:id="4" w:name="OLE_LINK9"/>
            <w:r>
              <w:rPr>
                <w:rFonts w:ascii="宋体" w:hAnsi="宋体" w:eastAsia="宋体" w:cs="宋体"/>
                <w:sz w:val="24"/>
                <w:szCs w:val="24"/>
                <w:lang w:eastAsia="zh-CN"/>
              </w:rPr>
              <w:t>减少过度维修和临时性</w:t>
            </w:r>
            <w:bookmarkEnd w:id="4"/>
            <w:r>
              <w:rPr>
                <w:rFonts w:ascii="宋体" w:hAnsi="宋体" w:eastAsia="宋体" w:cs="宋体"/>
                <w:sz w:val="24"/>
                <w:szCs w:val="24"/>
                <w:lang w:eastAsia="zh-CN"/>
              </w:rPr>
              <w:t>维修，提升精准修比例、节省夜间施工时间，并可大幅降低保护区巡查强度、优化人员配置，从而降低轨道运维综合成本。</w:t>
            </w:r>
          </w:p>
          <w:p w14:paraId="6929EF66">
            <w:pPr>
              <w:pStyle w:val="16"/>
              <w:spacing w:before="120" w:beforeLines="50" w:after="120" w:afterLines="50"/>
              <w:ind w:left="23" w:right="23" w:firstLine="470" w:firstLineChars="200"/>
              <w:jc w:val="both"/>
              <w:rPr>
                <w:rFonts w:hint="eastAsia" w:ascii="宋体" w:hAnsi="宋体"/>
                <w:snapToGrid w:val="0"/>
                <w:color w:val="000000"/>
                <w:sz w:val="24"/>
                <w:szCs w:val="24"/>
              </w:rPr>
            </w:pPr>
            <w:r>
              <w:rPr>
                <w:rFonts w:hint="eastAsia" w:ascii="宋体" w:hAnsi="宋体"/>
                <w:b/>
                <w:bCs/>
                <w:spacing w:val="-3"/>
                <w:sz w:val="24"/>
                <w:szCs w:val="24"/>
                <w:lang w:val="en-US" w:eastAsia="zh-CN"/>
              </w:rPr>
              <w:t>三</w:t>
            </w:r>
            <w:r>
              <w:rPr>
                <w:rFonts w:hint="eastAsia" w:ascii="宋体" w:hAnsi="宋体"/>
                <w:b/>
                <w:bCs/>
                <w:spacing w:val="-3"/>
                <w:sz w:val="24"/>
                <w:szCs w:val="24"/>
              </w:rPr>
              <w:t>、公司如何看待“十五五”时期城市轨道交通行业智能化、绿色化融合发展的趋势？这将为公司带来哪些发展机遇？</w:t>
            </w:r>
          </w:p>
          <w:p w14:paraId="678EABEC">
            <w:pPr>
              <w:pStyle w:val="16"/>
              <w:spacing w:before="120" w:beforeLines="50" w:after="120" w:afterLines="50"/>
              <w:ind w:left="23" w:right="23" w:firstLine="480" w:firstLineChars="200"/>
              <w:jc w:val="both"/>
              <w:rPr>
                <w:rFonts w:ascii="Times New Roman" w:hAnsi="Times New Roman"/>
                <w:b/>
                <w:bCs/>
                <w:sz w:val="24"/>
                <w:szCs w:val="24"/>
              </w:rPr>
            </w:pPr>
            <w:r>
              <w:rPr>
                <w:rFonts w:hint="eastAsia" w:ascii="Times New Roman" w:hAnsi="Times New Roman"/>
                <w:sz w:val="24"/>
                <w:szCs w:val="24"/>
              </w:rPr>
              <w:t>回复：</w:t>
            </w:r>
          </w:p>
          <w:p w14:paraId="077C4C81">
            <w:pPr>
              <w:ind w:firstLine="480" w:firstLineChars="200"/>
              <w:rPr>
                <w:lang w:eastAsia="zh-CN"/>
              </w:rPr>
            </w:pPr>
            <w:r>
              <w:rPr>
                <w:rFonts w:ascii="宋体" w:hAnsi="宋体" w:eastAsia="宋体" w:cs="宋体"/>
                <w:sz w:val="24"/>
                <w:szCs w:val="24"/>
                <w:lang w:eastAsia="zh-CN"/>
              </w:rPr>
              <w:t>根据</w:t>
            </w:r>
            <w:bookmarkStart w:id="5" w:name="OLE_LINK10"/>
            <w:r>
              <w:rPr>
                <w:rFonts w:ascii="宋体" w:hAnsi="宋体" w:eastAsia="宋体" w:cs="宋体"/>
                <w:sz w:val="24"/>
                <w:szCs w:val="24"/>
                <w:lang w:eastAsia="zh-CN"/>
              </w:rPr>
              <w:t>《交通强国建设纲要》</w:t>
            </w:r>
            <w:bookmarkEnd w:id="5"/>
            <w:r>
              <w:rPr>
                <w:rFonts w:ascii="宋体" w:hAnsi="宋体" w:eastAsia="宋体" w:cs="宋体"/>
                <w:sz w:val="24"/>
                <w:szCs w:val="24"/>
                <w:lang w:eastAsia="zh-CN"/>
              </w:rPr>
              <w:t>和</w:t>
            </w:r>
            <w:r>
              <w:rPr>
                <w:rFonts w:hint="eastAsia" w:ascii="宋体" w:hAnsi="宋体" w:eastAsia="宋体" w:cs="宋体"/>
                <w:sz w:val="24"/>
                <w:szCs w:val="24"/>
                <w:lang w:eastAsia="zh-CN"/>
              </w:rPr>
              <w:t>“</w:t>
            </w:r>
            <w:r>
              <w:rPr>
                <w:rFonts w:ascii="宋体" w:hAnsi="宋体" w:eastAsia="宋体" w:cs="宋体"/>
                <w:sz w:val="24"/>
                <w:szCs w:val="24"/>
                <w:lang w:eastAsia="zh-CN"/>
              </w:rPr>
              <w:t>十五五</w:t>
            </w:r>
            <w:r>
              <w:rPr>
                <w:rFonts w:hint="eastAsia" w:ascii="宋体" w:hAnsi="宋体" w:eastAsia="宋体" w:cs="宋体"/>
                <w:sz w:val="24"/>
                <w:szCs w:val="24"/>
                <w:lang w:eastAsia="zh-CN"/>
              </w:rPr>
              <w:t>”</w:t>
            </w:r>
            <w:r>
              <w:rPr>
                <w:rFonts w:ascii="宋体" w:hAnsi="宋体" w:eastAsia="宋体" w:cs="宋体"/>
                <w:sz w:val="24"/>
                <w:szCs w:val="24"/>
                <w:lang w:eastAsia="zh-CN"/>
              </w:rPr>
              <w:t>规划的总体导向，中国城市轨道交通协会</w:t>
            </w:r>
            <w:r>
              <w:rPr>
                <w:rFonts w:hint="eastAsia" w:ascii="宋体" w:hAnsi="宋体" w:eastAsia="宋体" w:cs="宋体"/>
                <w:sz w:val="24"/>
                <w:szCs w:val="24"/>
                <w:lang w:eastAsia="zh-CN"/>
              </w:rPr>
              <w:t>发布的</w:t>
            </w:r>
            <w:r>
              <w:rPr>
                <w:rFonts w:ascii="宋体" w:hAnsi="宋体" w:eastAsia="宋体" w:cs="宋体"/>
                <w:sz w:val="24"/>
                <w:szCs w:val="24"/>
                <w:lang w:eastAsia="zh-CN"/>
              </w:rPr>
              <w:t>《</w:t>
            </w:r>
            <w:r>
              <w:rPr>
                <w:rFonts w:hint="eastAsia" w:ascii="宋体" w:hAnsi="宋体" w:eastAsia="宋体" w:cs="宋体"/>
                <w:sz w:val="24"/>
                <w:szCs w:val="24"/>
                <w:lang w:eastAsia="zh-CN"/>
              </w:rPr>
              <w:t>“</w:t>
            </w:r>
            <w:r>
              <w:rPr>
                <w:rFonts w:ascii="宋体" w:hAnsi="宋体" w:eastAsia="宋体" w:cs="宋体"/>
                <w:sz w:val="24"/>
                <w:szCs w:val="24"/>
                <w:lang w:eastAsia="zh-CN"/>
              </w:rPr>
              <w:t>十五五</w:t>
            </w:r>
            <w:r>
              <w:rPr>
                <w:rFonts w:hint="eastAsia" w:ascii="宋体" w:hAnsi="宋体" w:eastAsia="宋体" w:cs="宋体"/>
                <w:sz w:val="24"/>
                <w:szCs w:val="24"/>
                <w:lang w:eastAsia="zh-CN"/>
              </w:rPr>
              <w:t>”</w:t>
            </w:r>
            <w:r>
              <w:rPr>
                <w:rFonts w:ascii="宋体" w:hAnsi="宋体" w:eastAsia="宋体" w:cs="宋体"/>
                <w:sz w:val="24"/>
                <w:szCs w:val="24"/>
                <w:lang w:eastAsia="zh-CN"/>
              </w:rPr>
              <w:t>城市轨道交通发展思路研究》中提出建设</w:t>
            </w:r>
            <w:r>
              <w:rPr>
                <w:rFonts w:hint="eastAsia" w:ascii="宋体" w:hAnsi="宋体" w:eastAsia="宋体" w:cs="宋体"/>
                <w:sz w:val="24"/>
                <w:szCs w:val="24"/>
                <w:lang w:eastAsia="zh-CN"/>
              </w:rPr>
              <w:t>“</w:t>
            </w:r>
            <w:r>
              <w:rPr>
                <w:rFonts w:ascii="宋体" w:hAnsi="宋体" w:eastAsia="宋体" w:cs="宋体"/>
                <w:sz w:val="24"/>
                <w:szCs w:val="24"/>
                <w:lang w:eastAsia="zh-CN"/>
              </w:rPr>
              <w:t>智慧绿色化、融合创新型、引领世界城轨交通发展潮流的新时代城轨</w:t>
            </w:r>
            <w:r>
              <w:rPr>
                <w:rFonts w:hint="eastAsia" w:ascii="宋体" w:hAnsi="宋体" w:eastAsia="宋体" w:cs="宋体"/>
                <w:sz w:val="24"/>
                <w:szCs w:val="24"/>
                <w:lang w:eastAsia="zh-CN"/>
              </w:rPr>
              <w:t>”</w:t>
            </w:r>
            <w:r>
              <w:rPr>
                <w:rFonts w:ascii="宋体" w:hAnsi="宋体" w:eastAsia="宋体" w:cs="宋体"/>
                <w:sz w:val="24"/>
                <w:szCs w:val="24"/>
                <w:lang w:eastAsia="zh-CN"/>
              </w:rPr>
              <w:t>的总体目标，构建</w:t>
            </w:r>
            <w:r>
              <w:rPr>
                <w:rFonts w:hint="eastAsia" w:ascii="宋体" w:hAnsi="宋体" w:eastAsia="宋体" w:cs="宋体"/>
                <w:sz w:val="24"/>
                <w:szCs w:val="24"/>
                <w:lang w:eastAsia="zh-CN"/>
              </w:rPr>
              <w:t>了“</w:t>
            </w:r>
            <w:r>
              <w:rPr>
                <w:rFonts w:ascii="宋体" w:hAnsi="宋体" w:eastAsia="宋体" w:cs="宋体"/>
                <w:sz w:val="24"/>
                <w:szCs w:val="24"/>
                <w:lang w:eastAsia="zh-CN"/>
              </w:rPr>
              <w:t>两个目标、四个路径、两个保障</w:t>
            </w:r>
            <w:r>
              <w:rPr>
                <w:rFonts w:hint="eastAsia" w:ascii="宋体" w:hAnsi="宋体" w:eastAsia="宋体" w:cs="宋体"/>
                <w:sz w:val="24"/>
                <w:szCs w:val="24"/>
                <w:lang w:eastAsia="zh-CN"/>
              </w:rPr>
              <w:t>”核心</w:t>
            </w:r>
            <w:r>
              <w:rPr>
                <w:rFonts w:ascii="宋体" w:hAnsi="宋体" w:eastAsia="宋体" w:cs="宋体"/>
                <w:sz w:val="24"/>
                <w:szCs w:val="24"/>
                <w:lang w:eastAsia="zh-CN"/>
              </w:rPr>
              <w:t>框架，明确了八大重点发展方向。绿色低碳理念正深度融入</w:t>
            </w:r>
            <w:r>
              <w:rPr>
                <w:rFonts w:hint="eastAsia" w:ascii="宋体" w:hAnsi="宋体" w:eastAsia="宋体" w:cs="宋体"/>
                <w:sz w:val="24"/>
                <w:szCs w:val="24"/>
                <w:lang w:eastAsia="zh-CN"/>
              </w:rPr>
              <w:t>城市轨道交通行业</w:t>
            </w:r>
            <w:r>
              <w:rPr>
                <w:rFonts w:ascii="宋体" w:hAnsi="宋体" w:eastAsia="宋体" w:cs="宋体"/>
                <w:sz w:val="24"/>
                <w:szCs w:val="24"/>
                <w:lang w:eastAsia="zh-CN"/>
              </w:rPr>
              <w:t>发展</w:t>
            </w:r>
            <w:r>
              <w:rPr>
                <w:rFonts w:hint="eastAsia" w:ascii="宋体" w:hAnsi="宋体" w:eastAsia="宋体" w:cs="宋体"/>
                <w:sz w:val="24"/>
                <w:szCs w:val="24"/>
                <w:lang w:eastAsia="zh-CN"/>
              </w:rPr>
              <w:t>，“</w:t>
            </w:r>
            <w:bookmarkStart w:id="6" w:name="OLE_LINK11"/>
            <w:r>
              <w:rPr>
                <w:rFonts w:ascii="宋体" w:hAnsi="宋体" w:eastAsia="宋体" w:cs="宋体"/>
                <w:sz w:val="24"/>
                <w:szCs w:val="24"/>
                <w:lang w:eastAsia="zh-CN"/>
              </w:rPr>
              <w:t>绿智融合</w:t>
            </w:r>
            <w:bookmarkEnd w:id="6"/>
            <w:r>
              <w:rPr>
                <w:rFonts w:hint="eastAsia" w:ascii="宋体" w:hAnsi="宋体" w:eastAsia="宋体" w:cs="宋体"/>
                <w:sz w:val="24"/>
                <w:szCs w:val="24"/>
                <w:lang w:eastAsia="zh-CN"/>
              </w:rPr>
              <w:t>”</w:t>
            </w:r>
            <w:r>
              <w:rPr>
                <w:rFonts w:ascii="宋体" w:hAnsi="宋体" w:eastAsia="宋体" w:cs="宋体"/>
                <w:sz w:val="24"/>
                <w:szCs w:val="24"/>
                <w:lang w:eastAsia="zh-CN"/>
              </w:rPr>
              <w:t>推动智能化与低噪声、低振动技术在全生命周期耦合，这一趋势与公司现有业务布局高度契合。</w:t>
            </w:r>
            <w:r>
              <w:rPr>
                <w:rFonts w:hint="eastAsia" w:ascii="宋体" w:hAnsi="宋体" w:eastAsia="宋体" w:cs="宋体"/>
                <w:sz w:val="24"/>
                <w:szCs w:val="24"/>
                <w:lang w:eastAsia="zh-CN"/>
              </w:rPr>
              <w:t>在绿色低碳方面，低噪声、</w:t>
            </w:r>
            <w:bookmarkStart w:id="7" w:name="OLE_LINK12"/>
            <w:r>
              <w:rPr>
                <w:rFonts w:hint="eastAsia" w:ascii="宋体" w:hAnsi="宋体" w:eastAsia="宋体" w:cs="宋体"/>
                <w:sz w:val="24"/>
                <w:szCs w:val="24"/>
                <w:lang w:eastAsia="zh-CN"/>
              </w:rPr>
              <w:t>低振动正成为轨道交通全生命周期的刚性要求</w:t>
            </w:r>
            <w:bookmarkEnd w:id="7"/>
            <w:r>
              <w:rPr>
                <w:rFonts w:hint="eastAsia" w:ascii="宋体" w:hAnsi="宋体" w:eastAsia="宋体" w:cs="宋体"/>
                <w:sz w:val="24"/>
                <w:szCs w:val="24"/>
                <w:lang w:eastAsia="zh-CN"/>
              </w:rPr>
              <w:t>，公司拥有钢弹簧浮置道床减振系统、</w:t>
            </w:r>
            <w:bookmarkStart w:id="8" w:name="OLE_LINK13"/>
            <w:r>
              <w:rPr>
                <w:rFonts w:hint="eastAsia" w:ascii="宋体" w:hAnsi="宋体" w:eastAsia="宋体" w:cs="宋体"/>
                <w:sz w:val="24"/>
                <w:szCs w:val="24"/>
                <w:lang w:eastAsia="zh-CN"/>
              </w:rPr>
              <w:t>预制式钢弹簧浮置板</w:t>
            </w:r>
            <w:bookmarkEnd w:id="8"/>
            <w:r>
              <w:rPr>
                <w:rFonts w:hint="eastAsia" w:ascii="宋体" w:hAnsi="宋体" w:eastAsia="宋体" w:cs="宋体"/>
                <w:sz w:val="24"/>
                <w:szCs w:val="24"/>
                <w:lang w:eastAsia="zh-CN"/>
              </w:rPr>
              <w:t>、隔离式高弹性减振垫、聚氨酯减振垫、重型调频钢轨耗能装置、声屏障等产品，</w:t>
            </w:r>
            <w:r>
              <w:rPr>
                <w:rFonts w:ascii="宋体" w:hAnsi="宋体" w:eastAsia="宋体" w:cs="宋体"/>
                <w:sz w:val="24"/>
                <w:szCs w:val="24"/>
                <w:lang w:eastAsia="zh-CN"/>
              </w:rPr>
              <w:t>具备声环境与振动综合治理整体方案能力</w:t>
            </w:r>
            <w:r>
              <w:rPr>
                <w:rFonts w:hint="eastAsia" w:ascii="宋体" w:hAnsi="宋体" w:eastAsia="宋体" w:cs="宋体"/>
                <w:sz w:val="24"/>
                <w:szCs w:val="24"/>
                <w:lang w:eastAsia="zh-CN"/>
              </w:rPr>
              <w:t>；在智慧化方面，</w:t>
            </w:r>
            <w:r>
              <w:rPr>
                <w:rFonts w:ascii="宋体" w:hAnsi="宋体" w:eastAsia="宋体" w:cs="宋体"/>
                <w:sz w:val="24"/>
                <w:szCs w:val="24"/>
                <w:lang w:eastAsia="zh-CN"/>
              </w:rPr>
              <w:t>城轨工业大模型等新一代人工智能技术正在重塑行业运维模式</w:t>
            </w:r>
            <w:r>
              <w:rPr>
                <w:rFonts w:hint="eastAsia" w:ascii="宋体" w:hAnsi="宋体" w:eastAsia="宋体" w:cs="宋体"/>
                <w:sz w:val="24"/>
                <w:szCs w:val="24"/>
                <w:lang w:eastAsia="zh-CN"/>
              </w:rPr>
              <w:t>，</w:t>
            </w:r>
            <w:bookmarkStart w:id="9" w:name="OLE_LINK14"/>
            <w:r>
              <w:rPr>
                <w:rFonts w:ascii="宋体" w:hAnsi="宋体" w:eastAsia="宋体" w:cs="宋体"/>
                <w:sz w:val="24"/>
                <w:szCs w:val="24"/>
                <w:lang w:eastAsia="zh-CN"/>
              </w:rPr>
              <w:t>《城市轨道交通运营管理规定》</w:t>
            </w:r>
            <w:bookmarkEnd w:id="9"/>
            <w:r>
              <w:rPr>
                <w:rFonts w:ascii="宋体" w:hAnsi="宋体" w:eastAsia="宋体" w:cs="宋体"/>
                <w:sz w:val="24"/>
                <w:szCs w:val="24"/>
                <w:lang w:eastAsia="zh-CN"/>
              </w:rPr>
              <w:t>明确</w:t>
            </w:r>
            <w:r>
              <w:rPr>
                <w:rFonts w:hint="eastAsia" w:ascii="宋体" w:hAnsi="宋体" w:eastAsia="宋体" w:cs="宋体"/>
                <w:sz w:val="24"/>
                <w:szCs w:val="24"/>
                <w:lang w:eastAsia="zh-CN"/>
              </w:rPr>
              <w:t>“</w:t>
            </w:r>
            <w:r>
              <w:rPr>
                <w:rFonts w:ascii="宋体" w:hAnsi="宋体" w:eastAsia="宋体" w:cs="宋体"/>
                <w:sz w:val="24"/>
                <w:szCs w:val="24"/>
                <w:lang w:eastAsia="zh-CN"/>
              </w:rPr>
              <w:t>鼓励运营单位采用大数据分析、移动互联网等先进技术及有关设施设备，提升服务品质</w:t>
            </w:r>
            <w:r>
              <w:rPr>
                <w:rFonts w:hint="eastAsia" w:ascii="宋体" w:hAnsi="宋体" w:eastAsia="宋体" w:cs="宋体"/>
                <w:sz w:val="24"/>
                <w:szCs w:val="24"/>
                <w:lang w:eastAsia="zh-CN"/>
              </w:rPr>
              <w:t>”</w:t>
            </w:r>
            <w:r>
              <w:rPr>
                <w:rFonts w:ascii="宋体" w:hAnsi="宋体" w:eastAsia="宋体" w:cs="宋体"/>
                <w:sz w:val="24"/>
                <w:szCs w:val="24"/>
                <w:lang w:eastAsia="zh-CN"/>
              </w:rPr>
              <w:t>，随着《</w:t>
            </w:r>
            <w:r>
              <w:rPr>
                <w:rFonts w:hint="eastAsia" w:ascii="宋体" w:hAnsi="宋体" w:eastAsia="宋体" w:cs="宋体"/>
                <w:sz w:val="24"/>
                <w:szCs w:val="24"/>
                <w:lang w:eastAsia="zh-CN" w:bidi="ar"/>
              </w:rPr>
              <w:t>中华人民共和国</w:t>
            </w:r>
            <w:r>
              <w:rPr>
                <w:rFonts w:ascii="宋体" w:hAnsi="宋体" w:eastAsia="宋体" w:cs="宋体"/>
                <w:sz w:val="24"/>
                <w:szCs w:val="24"/>
                <w:lang w:eastAsia="zh-CN"/>
              </w:rPr>
              <w:t>数据安全法》《</w:t>
            </w:r>
            <w:r>
              <w:rPr>
                <w:rFonts w:hint="eastAsia" w:ascii="宋体" w:hAnsi="宋体" w:eastAsia="宋体" w:cs="宋体"/>
                <w:sz w:val="24"/>
                <w:szCs w:val="24"/>
                <w:lang w:eastAsia="zh-CN" w:bidi="ar"/>
              </w:rPr>
              <w:t>中华人民共和国</w:t>
            </w:r>
            <w:r>
              <w:rPr>
                <w:rFonts w:ascii="宋体" w:hAnsi="宋体" w:eastAsia="宋体" w:cs="宋体"/>
                <w:sz w:val="24"/>
                <w:szCs w:val="24"/>
                <w:lang w:eastAsia="zh-CN"/>
              </w:rPr>
              <w:t>网络安全法》</w:t>
            </w:r>
            <w:r>
              <w:rPr>
                <w:rFonts w:hint="eastAsia" w:ascii="宋体" w:hAnsi="宋体" w:eastAsia="宋体" w:cs="宋体"/>
                <w:sz w:val="24"/>
                <w:szCs w:val="24"/>
                <w:lang w:eastAsia="zh-CN"/>
              </w:rPr>
              <w:t>的</w:t>
            </w:r>
            <w:r>
              <w:rPr>
                <w:rFonts w:ascii="宋体" w:hAnsi="宋体" w:eastAsia="宋体" w:cs="宋体"/>
                <w:sz w:val="24"/>
                <w:szCs w:val="24"/>
                <w:lang w:eastAsia="zh-CN"/>
              </w:rPr>
              <w:t>深入实施，行业</w:t>
            </w:r>
            <w:r>
              <w:rPr>
                <w:rFonts w:hint="eastAsia" w:ascii="宋体" w:hAnsi="宋体" w:eastAsia="宋体" w:cs="宋体"/>
                <w:sz w:val="24"/>
                <w:szCs w:val="24"/>
                <w:lang w:eastAsia="zh-CN"/>
              </w:rPr>
              <w:t>正在</w:t>
            </w:r>
            <w:r>
              <w:rPr>
                <w:rFonts w:ascii="宋体" w:hAnsi="宋体" w:eastAsia="宋体" w:cs="宋体"/>
                <w:sz w:val="24"/>
                <w:szCs w:val="24"/>
                <w:lang w:eastAsia="zh-CN"/>
              </w:rPr>
              <w:t>构建安全可靠的智能运维数据生态，线路结构状态的数字化监测和智慧运维需求加快释放。</w:t>
            </w:r>
            <w:bookmarkStart w:id="10" w:name="OLE_LINK15"/>
            <w:r>
              <w:rPr>
                <w:rFonts w:hint="eastAsia" w:ascii="宋体" w:hAnsi="宋体" w:eastAsia="宋体" w:cs="宋体"/>
                <w:sz w:val="24"/>
                <w:szCs w:val="24"/>
                <w:lang w:eastAsia="zh-CN" w:bidi="ar"/>
              </w:rPr>
              <w:t>公司正积极拓展轨道声纹（线路）在线监测系统的应用版图</w:t>
            </w:r>
            <w:bookmarkEnd w:id="10"/>
            <w:r>
              <w:rPr>
                <w:rFonts w:hint="eastAsia" w:ascii="宋体" w:hAnsi="宋体" w:eastAsia="宋体" w:cs="宋体"/>
                <w:sz w:val="24"/>
                <w:szCs w:val="24"/>
                <w:lang w:eastAsia="zh-CN" w:bidi="ar"/>
              </w:rPr>
              <w:t>，2026年上半年在北京、郑州两地的两条轨道</w:t>
            </w:r>
            <w:bookmarkStart w:id="11" w:name="OLE_LINK16"/>
            <w:r>
              <w:rPr>
                <w:rFonts w:hint="eastAsia" w:ascii="宋体" w:hAnsi="宋体" w:eastAsia="宋体" w:cs="宋体"/>
                <w:sz w:val="24"/>
                <w:szCs w:val="24"/>
                <w:lang w:eastAsia="zh-CN" w:bidi="ar"/>
              </w:rPr>
              <w:t>上总计完成十余公里</w:t>
            </w:r>
            <w:bookmarkEnd w:id="11"/>
            <w:r>
              <w:rPr>
                <w:rFonts w:hint="eastAsia" w:ascii="宋体" w:hAnsi="宋体" w:eastAsia="宋体" w:cs="宋体"/>
                <w:sz w:val="24"/>
                <w:szCs w:val="24"/>
                <w:lang w:eastAsia="zh-CN" w:bidi="ar"/>
              </w:rPr>
              <w:t>的光纤铺设。截至2026年6月30日，公司线路监测系统已累计在北京、郑州、绍兴等城市的4条轨道线路上实现应用。</w:t>
            </w:r>
            <w:r>
              <w:rPr>
                <w:rFonts w:ascii="宋体" w:hAnsi="宋体" w:eastAsia="宋体" w:cs="宋体"/>
                <w:sz w:val="24"/>
                <w:szCs w:val="24"/>
                <w:lang w:eastAsia="zh-CN" w:bidi="ar"/>
              </w:rPr>
              <w:t xml:space="preserve"> </w:t>
            </w:r>
          </w:p>
          <w:p w14:paraId="3EC9E09F">
            <w:pPr>
              <w:pStyle w:val="16"/>
              <w:spacing w:before="120" w:beforeLines="50" w:after="120" w:afterLines="50"/>
              <w:ind w:left="23" w:right="23" w:firstLine="482" w:firstLineChars="200"/>
              <w:jc w:val="both"/>
              <w:rPr>
                <w:rFonts w:ascii="Times New Roman" w:hAnsi="Times New Roman"/>
                <w:b/>
                <w:bCs/>
                <w:sz w:val="24"/>
                <w:szCs w:val="24"/>
              </w:rPr>
            </w:pPr>
            <w:r>
              <w:rPr>
                <w:rFonts w:hint="eastAsia" w:ascii="Times New Roman" w:hAnsi="Times New Roman"/>
                <w:b/>
                <w:bCs/>
                <w:sz w:val="24"/>
                <w:szCs w:val="24"/>
                <w:lang w:val="en-US" w:eastAsia="zh-CN"/>
              </w:rPr>
              <w:t>四</w:t>
            </w:r>
            <w:r>
              <w:rPr>
                <w:rFonts w:hint="eastAsia" w:ascii="Times New Roman" w:hAnsi="Times New Roman"/>
                <w:b/>
                <w:bCs/>
                <w:sz w:val="24"/>
                <w:szCs w:val="24"/>
              </w:rPr>
              <w:t>、</w:t>
            </w:r>
            <w:r>
              <w:rPr>
                <w:rFonts w:hint="eastAsia" w:ascii="宋体" w:hAnsi="宋体"/>
                <w:b/>
                <w:bCs/>
                <w:spacing w:val="-3"/>
                <w:sz w:val="24"/>
                <w:szCs w:val="24"/>
              </w:rPr>
              <w:t>请介绍一下通用半导体的基本情况？</w:t>
            </w:r>
          </w:p>
          <w:p w14:paraId="07F3A193">
            <w:pPr>
              <w:pStyle w:val="16"/>
              <w:spacing w:before="120" w:beforeLines="50" w:after="120" w:afterLines="50"/>
              <w:ind w:left="23" w:right="23" w:firstLine="480" w:firstLineChars="200"/>
              <w:jc w:val="both"/>
              <w:rPr>
                <w:rFonts w:ascii="Times New Roman" w:hAnsi="Times New Roman"/>
                <w:b/>
                <w:bCs/>
                <w:sz w:val="24"/>
                <w:szCs w:val="24"/>
              </w:rPr>
            </w:pPr>
            <w:r>
              <w:rPr>
                <w:rFonts w:hint="eastAsia" w:ascii="Times New Roman" w:hAnsi="Times New Roman"/>
                <w:sz w:val="24"/>
                <w:szCs w:val="24"/>
              </w:rPr>
              <w:t>回复：</w:t>
            </w:r>
          </w:p>
          <w:p w14:paraId="2280A323">
            <w:pPr>
              <w:pStyle w:val="16"/>
              <w:spacing w:before="120" w:beforeLines="50" w:after="120" w:afterLines="50"/>
              <w:ind w:left="23" w:right="23" w:firstLine="480" w:firstLineChars="200"/>
              <w:jc w:val="both"/>
              <w:rPr>
                <w:rFonts w:hint="eastAsia" w:ascii="宋体" w:hAnsi="宋体"/>
                <w:b/>
                <w:bCs/>
                <w:sz w:val="24"/>
                <w:szCs w:val="24"/>
              </w:rPr>
            </w:pPr>
            <w:r>
              <w:rPr>
                <w:rFonts w:hint="eastAsia" w:ascii="宋体" w:hAnsi="宋体"/>
                <w:sz w:val="24"/>
                <w:szCs w:val="24"/>
              </w:rPr>
              <w:t>江苏通用半导体有限公司（以下简称“通用半导体”）以高端半导体产业装备与材料的研发和制造为主营业务，九州一轨参股通用半导体6.4709%的股份。详见公司于2026年7月18日披露《北京九州一轨环境科技股份有限公司</w:t>
            </w:r>
            <w:bookmarkStart w:id="12" w:name="OLE_LINK17"/>
            <w:r>
              <w:rPr>
                <w:rFonts w:hint="eastAsia" w:ascii="宋体" w:hAnsi="宋体"/>
                <w:sz w:val="24"/>
                <w:szCs w:val="24"/>
              </w:rPr>
              <w:t>关于对外投资的公告</w:t>
            </w:r>
            <w:bookmarkEnd w:id="12"/>
            <w:r>
              <w:rPr>
                <w:rFonts w:hint="eastAsia" w:ascii="宋体" w:hAnsi="宋体"/>
                <w:sz w:val="24"/>
                <w:szCs w:val="24"/>
              </w:rPr>
              <w:t>》（公告编号：2026-040）。</w:t>
            </w:r>
          </w:p>
          <w:p w14:paraId="5338EB72">
            <w:pPr>
              <w:pStyle w:val="16"/>
              <w:spacing w:before="120" w:beforeLines="50" w:after="120" w:afterLines="50"/>
              <w:ind w:left="23" w:right="23" w:firstLine="482" w:firstLineChars="200"/>
              <w:jc w:val="both"/>
              <w:rPr>
                <w:rFonts w:hint="eastAsia" w:ascii="宋体" w:hAnsi="宋体"/>
                <w:sz w:val="24"/>
                <w:szCs w:val="24"/>
              </w:rPr>
            </w:pPr>
            <w:r>
              <w:rPr>
                <w:rFonts w:hint="eastAsia" w:ascii="宋体" w:hAnsi="宋体"/>
                <w:b/>
                <w:bCs/>
                <w:sz w:val="24"/>
                <w:szCs w:val="24"/>
                <w:lang w:val="en-US" w:eastAsia="zh-CN"/>
              </w:rPr>
              <w:t>五</w:t>
            </w:r>
            <w:r>
              <w:rPr>
                <w:rFonts w:hint="eastAsia" w:ascii="宋体" w:hAnsi="宋体"/>
                <w:b/>
                <w:bCs/>
                <w:sz w:val="24"/>
                <w:szCs w:val="24"/>
              </w:rPr>
              <w:t>、公司收购晶禧半导体的资金是如何安排的？</w:t>
            </w:r>
          </w:p>
          <w:p w14:paraId="68AD94D4">
            <w:pPr>
              <w:pStyle w:val="16"/>
              <w:spacing w:before="120" w:beforeLines="50" w:after="120" w:afterLines="50"/>
              <w:ind w:left="23" w:right="23" w:firstLine="480" w:firstLineChars="200"/>
              <w:jc w:val="both"/>
              <w:rPr>
                <w:rFonts w:hint="eastAsia" w:ascii="宋体" w:hAnsi="宋体"/>
                <w:sz w:val="24"/>
                <w:szCs w:val="24"/>
              </w:rPr>
            </w:pPr>
            <w:r>
              <w:rPr>
                <w:rFonts w:hint="eastAsia" w:ascii="Times New Roman" w:hAnsi="Times New Roman"/>
                <w:sz w:val="24"/>
                <w:szCs w:val="24"/>
              </w:rPr>
              <w:t>回复：</w:t>
            </w:r>
          </w:p>
          <w:p w14:paraId="15B37AD7">
            <w:pPr>
              <w:pStyle w:val="16"/>
              <w:spacing w:before="120" w:beforeLines="50" w:after="120" w:afterLines="50"/>
              <w:ind w:left="23" w:right="23" w:firstLine="520" w:firstLineChars="200"/>
              <w:jc w:val="both"/>
              <w:rPr>
                <w:rFonts w:hint="eastAsia" w:ascii="宋体" w:hAnsi="宋体"/>
                <w:sz w:val="24"/>
                <w:szCs w:val="24"/>
              </w:rPr>
            </w:pPr>
            <w:r>
              <w:rPr>
                <w:rFonts w:hint="eastAsia"/>
              </w:rPr>
              <w:t>对于</w:t>
            </w:r>
            <w:r>
              <w:rPr>
                <w:rFonts w:ascii="宋体" w:hAnsi="宋体"/>
                <w:sz w:val="24"/>
                <w:szCs w:val="24"/>
              </w:rPr>
              <w:t>本次收购苏州晶禧半导体科技有限公司</w:t>
            </w:r>
            <w:r>
              <w:rPr>
                <w:rFonts w:hint="eastAsia" w:ascii="宋体" w:hAnsi="宋体"/>
                <w:sz w:val="24"/>
                <w:szCs w:val="24"/>
              </w:rPr>
              <w:t>（以下简称“</w:t>
            </w:r>
            <w:r>
              <w:rPr>
                <w:rFonts w:ascii="宋体" w:hAnsi="宋体"/>
                <w:sz w:val="24"/>
                <w:szCs w:val="24"/>
              </w:rPr>
              <w:t>晶禧半导体</w:t>
            </w:r>
            <w:r>
              <w:rPr>
                <w:rFonts w:hint="eastAsia" w:ascii="宋体" w:hAnsi="宋体"/>
                <w:sz w:val="24"/>
                <w:szCs w:val="24"/>
              </w:rPr>
              <w:t>”）100%股权</w:t>
            </w:r>
            <w:r>
              <w:rPr>
                <w:rFonts w:ascii="宋体" w:hAnsi="宋体"/>
                <w:sz w:val="24"/>
                <w:szCs w:val="24"/>
              </w:rPr>
              <w:t>的资金安排，</w:t>
            </w:r>
            <w:r>
              <w:rPr>
                <w:rFonts w:hint="eastAsia" w:ascii="宋体" w:hAnsi="宋体"/>
                <w:sz w:val="24"/>
                <w:szCs w:val="24"/>
              </w:rPr>
              <w:t>是</w:t>
            </w:r>
            <w:r>
              <w:rPr>
                <w:rFonts w:ascii="宋体" w:hAnsi="宋体"/>
                <w:sz w:val="24"/>
                <w:szCs w:val="24"/>
              </w:rPr>
              <w:t>在保障公司日常生产经营、研发投入和长远发展资金需求的前提下，结合公司实际经营和现金流状况，统筹运用自有资金或自筹资金</w:t>
            </w:r>
            <w:r>
              <w:rPr>
                <w:rFonts w:hint="eastAsia" w:ascii="宋体" w:hAnsi="宋体"/>
                <w:sz w:val="24"/>
                <w:szCs w:val="24"/>
              </w:rPr>
              <w:t>来</w:t>
            </w:r>
            <w:r>
              <w:rPr>
                <w:rFonts w:ascii="宋体" w:hAnsi="宋体"/>
                <w:sz w:val="24"/>
                <w:szCs w:val="24"/>
              </w:rPr>
              <w:t>保障交易顺利实施和平稳交割</w:t>
            </w:r>
            <w:r>
              <w:rPr>
                <w:rFonts w:hint="eastAsia" w:ascii="宋体" w:hAnsi="宋体"/>
                <w:sz w:val="24"/>
                <w:szCs w:val="24"/>
              </w:rPr>
              <w:t>。</w:t>
            </w:r>
            <w:r>
              <w:rPr>
                <w:rFonts w:ascii="宋体" w:hAnsi="宋体"/>
                <w:sz w:val="24"/>
                <w:szCs w:val="24"/>
              </w:rPr>
              <w:t>在外部融资方面，公司结合实际资金使用计划，向银行申请了与本次收购</w:t>
            </w:r>
            <w:r>
              <w:rPr>
                <w:rFonts w:hint="eastAsia" w:ascii="宋体" w:hAnsi="宋体"/>
                <w:sz w:val="24"/>
                <w:szCs w:val="24"/>
              </w:rPr>
              <w:t>交易</w:t>
            </w:r>
            <w:r>
              <w:rPr>
                <w:rFonts w:ascii="宋体" w:hAnsi="宋体"/>
                <w:sz w:val="24"/>
                <w:szCs w:val="24"/>
              </w:rPr>
              <w:t>相配套的并购贷款，</w:t>
            </w:r>
            <w:r>
              <w:rPr>
                <w:rFonts w:hint="eastAsia" w:ascii="宋体" w:hAnsi="宋体"/>
                <w:sz w:val="24"/>
                <w:szCs w:val="24"/>
              </w:rPr>
              <w:t>详见公司于2026年4月18日披露的《</w:t>
            </w:r>
            <w:bookmarkStart w:id="13" w:name="OLE_LINK18"/>
            <w:r>
              <w:rPr>
                <w:rFonts w:hint="eastAsia" w:ascii="宋体" w:hAnsi="宋体"/>
                <w:sz w:val="24"/>
                <w:szCs w:val="24"/>
              </w:rPr>
              <w:t>北京九州一轨环境科技股份有限公司关于向银行申请并购贷款的公告</w:t>
            </w:r>
            <w:bookmarkEnd w:id="13"/>
            <w:r>
              <w:rPr>
                <w:rFonts w:hint="eastAsia" w:ascii="宋体" w:hAnsi="宋体"/>
                <w:sz w:val="24"/>
                <w:szCs w:val="24"/>
              </w:rPr>
              <w:t>》（公告编号：2026-018）。</w:t>
            </w:r>
            <w:r>
              <w:rPr>
                <w:rFonts w:ascii="宋体" w:hAnsi="宋体"/>
                <w:sz w:val="24"/>
                <w:szCs w:val="24"/>
              </w:rPr>
              <w:t>总体来看，公司目前经营状况良好、现金流总体</w:t>
            </w:r>
            <w:r>
              <w:rPr>
                <w:rFonts w:hint="eastAsia" w:ascii="宋体" w:hAnsi="宋体"/>
                <w:sz w:val="24"/>
                <w:szCs w:val="24"/>
              </w:rPr>
              <w:t>稳定，</w:t>
            </w:r>
            <w:r>
              <w:rPr>
                <w:rFonts w:ascii="宋体" w:hAnsi="宋体"/>
                <w:sz w:val="24"/>
                <w:szCs w:val="24"/>
              </w:rPr>
              <w:t>具备良好的偿债能力和抗风险能力；本次交易的资金安排不会对公司正常生产经营和财务状况构成重大影响</w:t>
            </w:r>
            <w:r>
              <w:rPr>
                <w:rFonts w:hint="eastAsia" w:ascii="宋体" w:hAnsi="宋体"/>
                <w:sz w:val="24"/>
                <w:szCs w:val="24"/>
              </w:rPr>
              <w:t>。</w:t>
            </w:r>
          </w:p>
          <w:p w14:paraId="1F413044">
            <w:pPr>
              <w:pStyle w:val="16"/>
              <w:spacing w:before="120" w:beforeLines="50" w:after="120" w:afterLines="50"/>
              <w:ind w:left="23" w:right="23" w:firstLine="470" w:firstLineChars="200"/>
              <w:jc w:val="both"/>
              <w:rPr>
                <w:rFonts w:hint="eastAsia" w:ascii="宋体" w:hAnsi="宋体"/>
                <w:b/>
                <w:bCs/>
                <w:spacing w:val="-3"/>
                <w:sz w:val="24"/>
                <w:szCs w:val="24"/>
              </w:rPr>
            </w:pPr>
            <w:r>
              <w:rPr>
                <w:rFonts w:hint="eastAsia" w:ascii="宋体" w:hAnsi="宋体"/>
                <w:b/>
                <w:bCs/>
                <w:spacing w:val="-3"/>
                <w:sz w:val="24"/>
                <w:szCs w:val="24"/>
                <w:lang w:val="en-US" w:eastAsia="zh-CN"/>
              </w:rPr>
              <w:t>六</w:t>
            </w:r>
            <w:r>
              <w:rPr>
                <w:rFonts w:hint="eastAsia" w:ascii="宋体" w:hAnsi="宋体"/>
                <w:b/>
                <w:bCs/>
                <w:spacing w:val="-3"/>
                <w:sz w:val="24"/>
                <w:szCs w:val="24"/>
              </w:rPr>
              <w:t>、</w:t>
            </w:r>
            <w:r>
              <w:rPr>
                <w:rStyle w:val="11"/>
                <w:rFonts w:ascii="宋体" w:hAnsi="宋体"/>
                <w:sz w:val="24"/>
                <w:szCs w:val="24"/>
              </w:rPr>
              <w:t>晶禧半导体一站式加工服务包括哪些环节？</w:t>
            </w:r>
          </w:p>
          <w:p w14:paraId="4ED0AAF6">
            <w:pPr>
              <w:pStyle w:val="16"/>
              <w:spacing w:before="120" w:beforeLines="50" w:after="120" w:afterLines="50"/>
              <w:ind w:left="23" w:right="23" w:firstLine="480" w:firstLineChars="200"/>
              <w:jc w:val="both"/>
              <w:rPr>
                <w:rFonts w:hint="eastAsia" w:ascii="宋体" w:hAnsi="宋体"/>
                <w:sz w:val="24"/>
                <w:szCs w:val="24"/>
              </w:rPr>
            </w:pPr>
            <w:r>
              <w:rPr>
                <w:rFonts w:hint="eastAsia" w:ascii="Times New Roman" w:hAnsi="Times New Roman"/>
                <w:sz w:val="24"/>
                <w:szCs w:val="24"/>
              </w:rPr>
              <w:t>回复：</w:t>
            </w:r>
          </w:p>
          <w:p w14:paraId="39F0E5FA">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晶禧半导体主要从事半导体晶圆</w:t>
            </w:r>
            <w:r>
              <w:rPr>
                <w:rFonts w:hint="eastAsia" w:ascii="宋体" w:hAnsi="宋体"/>
                <w:sz w:val="24"/>
                <w:szCs w:val="24"/>
              </w:rPr>
              <w:t>、光</w:t>
            </w:r>
            <w:r>
              <w:rPr>
                <w:rFonts w:ascii="宋体" w:hAnsi="宋体"/>
                <w:sz w:val="24"/>
                <w:szCs w:val="24"/>
              </w:rPr>
              <w:t>器件的加工及制造服务，</w:t>
            </w:r>
            <w:r>
              <w:rPr>
                <w:rFonts w:hint="eastAsia" w:ascii="宋体" w:hAnsi="宋体"/>
                <w:sz w:val="24"/>
                <w:szCs w:val="24"/>
              </w:rPr>
              <w:t>核心业务包括激光隐形切割与AOI检测、分选，并提供配套的晶圆贴膜、扩片、UV解胶、裂片</w:t>
            </w:r>
            <w:r>
              <w:rPr>
                <w:rFonts w:ascii="宋体" w:hAnsi="宋体"/>
                <w:sz w:val="24"/>
                <w:szCs w:val="24"/>
              </w:rPr>
              <w:t>，形成一站式、全流程、专业化的精密加工解决方案，有利于提升芯片切割良率及效率、保障后续封装的一致性。</w:t>
            </w:r>
          </w:p>
          <w:p w14:paraId="0B4AC959">
            <w:pPr>
              <w:pStyle w:val="16"/>
              <w:spacing w:before="120" w:beforeLines="50" w:after="120" w:afterLines="50"/>
              <w:ind w:left="23" w:right="23" w:firstLine="470" w:firstLineChars="200"/>
              <w:jc w:val="both"/>
              <w:rPr>
                <w:rFonts w:hint="eastAsia" w:ascii="宋体" w:hAnsi="宋体"/>
                <w:b/>
                <w:bCs/>
                <w:spacing w:val="-3"/>
                <w:sz w:val="24"/>
                <w:szCs w:val="24"/>
              </w:rPr>
            </w:pPr>
            <w:r>
              <w:rPr>
                <w:rFonts w:hint="eastAsia" w:ascii="宋体" w:hAnsi="宋体"/>
                <w:b/>
                <w:bCs/>
                <w:spacing w:val="-3"/>
                <w:sz w:val="24"/>
                <w:szCs w:val="24"/>
                <w:lang w:val="en-US" w:eastAsia="zh-CN"/>
              </w:rPr>
              <w:t>七</w:t>
            </w:r>
            <w:r>
              <w:rPr>
                <w:rFonts w:hint="eastAsia" w:ascii="宋体" w:hAnsi="宋体"/>
                <w:b/>
                <w:bCs/>
                <w:spacing w:val="-3"/>
                <w:sz w:val="24"/>
                <w:szCs w:val="24"/>
              </w:rPr>
              <w:t>、公司投资建设晶禧半导体先进半导体晶圆激光隐形切割产业化项目主要考虑是什么？</w:t>
            </w:r>
          </w:p>
          <w:p w14:paraId="47946331">
            <w:pPr>
              <w:pStyle w:val="16"/>
              <w:spacing w:before="120" w:beforeLines="50" w:after="120" w:afterLines="50"/>
              <w:ind w:left="23" w:right="23" w:firstLine="480" w:firstLineChars="200"/>
              <w:jc w:val="both"/>
              <w:rPr>
                <w:rFonts w:ascii="Times New Roman" w:hAnsi="Times New Roman"/>
                <w:b/>
                <w:bCs/>
                <w:sz w:val="24"/>
                <w:szCs w:val="24"/>
              </w:rPr>
            </w:pPr>
            <w:r>
              <w:rPr>
                <w:rFonts w:hint="eastAsia" w:ascii="Times New Roman" w:hAnsi="Times New Roman"/>
                <w:sz w:val="24"/>
                <w:szCs w:val="24"/>
              </w:rPr>
              <w:t>回复：</w:t>
            </w:r>
          </w:p>
          <w:p w14:paraId="11A68CD9">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公司投资建设先进半导体晶圆激光隐形切割产业化项目，主要基于三方面考虑：</w:t>
            </w:r>
            <w:bookmarkStart w:id="14" w:name="OLE_LINK20"/>
            <w:r>
              <w:rPr>
                <w:rStyle w:val="11"/>
                <w:rFonts w:ascii="宋体" w:hAnsi="宋体"/>
                <w:b w:val="0"/>
                <w:bCs/>
                <w:sz w:val="24"/>
                <w:szCs w:val="24"/>
              </w:rPr>
              <w:t>一是顺应国家集成电路产业政</w:t>
            </w:r>
            <w:bookmarkEnd w:id="14"/>
            <w:r>
              <w:rPr>
                <w:rStyle w:val="11"/>
                <w:rFonts w:ascii="宋体" w:hAnsi="宋体"/>
                <w:b w:val="0"/>
                <w:bCs/>
                <w:sz w:val="24"/>
                <w:szCs w:val="24"/>
              </w:rPr>
              <w:t>策</w:t>
            </w:r>
            <w:r>
              <w:rPr>
                <w:rFonts w:ascii="宋体" w:hAnsi="宋体"/>
                <w:bCs/>
                <w:sz w:val="24"/>
                <w:szCs w:val="24"/>
              </w:rPr>
              <w:t>，</w:t>
            </w:r>
            <w:r>
              <w:rPr>
                <w:rFonts w:ascii="宋体" w:hAnsi="宋体"/>
                <w:sz w:val="24"/>
                <w:szCs w:val="24"/>
              </w:rPr>
              <w:t>晶圆切割及分割是半导体制造流程中连接晶圆制造与封装测试的关键工序，加工质量直接影响芯片良率、可靠性及后续封装一致性，项目定位于集成电路核心配套领域、聚焦先进激光隐形切割加工服务，契合国家产业布局导向；</w:t>
            </w:r>
            <w:r>
              <w:rPr>
                <w:rStyle w:val="11"/>
                <w:rFonts w:ascii="宋体" w:hAnsi="宋体"/>
                <w:b w:val="0"/>
                <w:sz w:val="24"/>
                <w:szCs w:val="24"/>
              </w:rPr>
              <w:t>二是满足持续增长的市场需求、锁定优质客户</w:t>
            </w:r>
            <w:r>
              <w:rPr>
                <w:rFonts w:ascii="宋体" w:hAnsi="宋体"/>
                <w:sz w:val="24"/>
                <w:szCs w:val="24"/>
              </w:rPr>
              <w:t>，当前AI算力与高速光通信产业快速发展，硅光晶圆精密加工作为上游关键环节需求稳步扩大，晶禧半导体凭借99.8%的良率水平和国内稀缺的硅光晶圆激光隐形切割量产能力，已建立技术与客户双重壁垒，面对下游需求放量，现有产能已不足以支撑订单交付，及时扩产有利于巩固先发优势、与核心客户建立长期稳定的框架合作关系</w:t>
            </w:r>
            <w:r>
              <w:rPr>
                <w:rFonts w:hint="eastAsia" w:ascii="宋体" w:hAnsi="宋体"/>
                <w:sz w:val="24"/>
                <w:szCs w:val="24"/>
              </w:rPr>
              <w:t>；三是完善</w:t>
            </w:r>
            <w:r>
              <w:rPr>
                <w:rFonts w:ascii="宋体" w:hAnsi="宋体"/>
                <w:sz w:val="24"/>
                <w:szCs w:val="24"/>
              </w:rPr>
              <w:t>公司半导体产业链布局、落实多元化发展战略</w:t>
            </w:r>
            <w:r>
              <w:rPr>
                <w:rFonts w:hint="eastAsia" w:ascii="宋体" w:hAnsi="宋体"/>
                <w:sz w:val="24"/>
                <w:szCs w:val="24"/>
              </w:rPr>
              <w:t>，国内城</w:t>
            </w:r>
            <w:bookmarkStart w:id="15" w:name="OLE_LINK22"/>
            <w:r>
              <w:rPr>
                <w:rFonts w:hint="eastAsia" w:ascii="宋体" w:hAnsi="宋体"/>
                <w:sz w:val="24"/>
                <w:szCs w:val="24"/>
              </w:rPr>
              <w:t>市轨道交通行业由高速建设</w:t>
            </w:r>
            <w:bookmarkEnd w:id="15"/>
            <w:r>
              <w:rPr>
                <w:rFonts w:hint="eastAsia" w:ascii="宋体" w:hAnsi="宋体"/>
                <w:sz w:val="24"/>
                <w:szCs w:val="24"/>
              </w:rPr>
              <w:t>阶段转向存量运维阶段，新增线路规划增速放缓，传统减振业务增长空间受限。本次项目顺利实施后，可以优化九州一轨的收入结构，提升公司整体经营稳定性与抗风险能力，打开公司长期成长空间，契合“提质增效重回报”发展要求，保障全体股东长期收益。</w:t>
            </w:r>
          </w:p>
          <w:p w14:paraId="0898BB8F">
            <w:pPr>
              <w:pStyle w:val="16"/>
              <w:spacing w:before="120" w:beforeLines="50" w:after="120" w:afterLines="50"/>
              <w:ind w:left="23" w:right="23" w:firstLine="470" w:firstLineChars="200"/>
              <w:jc w:val="both"/>
              <w:rPr>
                <w:rFonts w:ascii="Times New Roman" w:hAnsi="Times New Roman"/>
                <w:b/>
                <w:bCs/>
                <w:sz w:val="24"/>
                <w:szCs w:val="24"/>
              </w:rPr>
            </w:pPr>
            <w:r>
              <w:rPr>
                <w:rFonts w:hint="eastAsia" w:ascii="宋体" w:hAnsi="宋体"/>
                <w:b/>
                <w:bCs/>
                <w:spacing w:val="-3"/>
                <w:sz w:val="24"/>
                <w:szCs w:val="24"/>
                <w:lang w:val="en-US" w:eastAsia="zh-CN"/>
              </w:rPr>
              <w:t>八</w:t>
            </w:r>
            <w:r>
              <w:rPr>
                <w:rFonts w:hint="eastAsia" w:ascii="宋体" w:hAnsi="宋体"/>
                <w:b/>
                <w:bCs/>
                <w:spacing w:val="-3"/>
                <w:sz w:val="24"/>
                <w:szCs w:val="24"/>
              </w:rPr>
              <w:t>、与传统机械切割相比，激光隐形切割工艺在技术上有哪些特点和优势？</w:t>
            </w:r>
          </w:p>
          <w:p w14:paraId="6E974B2A">
            <w:pPr>
              <w:pStyle w:val="16"/>
              <w:spacing w:before="120" w:beforeLines="50" w:after="120" w:afterLines="50"/>
              <w:ind w:left="23" w:right="23" w:firstLine="480" w:firstLineChars="200"/>
              <w:jc w:val="both"/>
              <w:rPr>
                <w:rFonts w:ascii="Times New Roman" w:hAnsi="Times New Roman"/>
                <w:b/>
                <w:bCs/>
                <w:sz w:val="24"/>
                <w:szCs w:val="24"/>
              </w:rPr>
            </w:pPr>
            <w:r>
              <w:rPr>
                <w:rFonts w:hint="eastAsia" w:ascii="Times New Roman" w:hAnsi="Times New Roman"/>
                <w:sz w:val="24"/>
                <w:szCs w:val="24"/>
              </w:rPr>
              <w:t>回复：</w:t>
            </w:r>
          </w:p>
          <w:p w14:paraId="7C6907FC">
            <w:pPr>
              <w:pStyle w:val="16"/>
              <w:spacing w:before="120" w:beforeLines="50" w:after="120" w:afterLines="50"/>
              <w:ind w:left="23" w:right="23" w:firstLine="480" w:firstLineChars="200"/>
              <w:jc w:val="both"/>
              <w:rPr>
                <w:rFonts w:hint="eastAsia" w:ascii="宋体" w:hAnsi="宋体"/>
                <w:sz w:val="24"/>
                <w:szCs w:val="24"/>
              </w:rPr>
            </w:pPr>
            <w:r>
              <w:rPr>
                <w:rFonts w:ascii="宋体" w:hAnsi="宋体"/>
                <w:sz w:val="24"/>
                <w:szCs w:val="24"/>
              </w:rPr>
              <w:t>晶圆切割及分割</w:t>
            </w:r>
            <w:r>
              <w:rPr>
                <w:rFonts w:hint="eastAsia" w:ascii="宋体" w:hAnsi="宋体"/>
                <w:sz w:val="24"/>
                <w:szCs w:val="24"/>
              </w:rPr>
              <w:t>工序</w:t>
            </w:r>
            <w:r>
              <w:rPr>
                <w:rFonts w:ascii="宋体" w:hAnsi="宋体"/>
                <w:sz w:val="24"/>
                <w:szCs w:val="24"/>
              </w:rPr>
              <w:t>是半导体制造流程中连接晶圆制造与封装测试的关键环节，其加工</w:t>
            </w:r>
            <w:r>
              <w:rPr>
                <w:rFonts w:hint="eastAsia" w:ascii="宋体" w:hAnsi="宋体"/>
                <w:sz w:val="24"/>
                <w:szCs w:val="24"/>
              </w:rPr>
              <w:t>质量</w:t>
            </w:r>
            <w:r>
              <w:rPr>
                <w:rFonts w:ascii="宋体" w:hAnsi="宋体"/>
                <w:sz w:val="24"/>
                <w:szCs w:val="24"/>
              </w:rPr>
              <w:t>在很大程度上决定着芯片的良率、可靠性以及后续封装的一致性。随着半导体器件集成度持续提升、晶圆不断向轻薄化发展、结构形态日趋多样，加工过程中对晶圆边缘完整性、</w:t>
            </w:r>
            <w:bookmarkStart w:id="16" w:name="OLE_LINK21"/>
            <w:r>
              <w:rPr>
                <w:rFonts w:ascii="宋体" w:hAnsi="宋体"/>
                <w:sz w:val="24"/>
                <w:szCs w:val="24"/>
              </w:rPr>
              <w:t>应力</w:t>
            </w:r>
            <w:r>
              <w:rPr>
                <w:rFonts w:hint="eastAsia" w:ascii="宋体" w:hAnsi="宋体"/>
                <w:sz w:val="24"/>
                <w:szCs w:val="24"/>
              </w:rPr>
              <w:t>控制</w:t>
            </w:r>
            <w:bookmarkEnd w:id="16"/>
            <w:r>
              <w:rPr>
                <w:rFonts w:ascii="宋体" w:hAnsi="宋体"/>
                <w:sz w:val="24"/>
                <w:szCs w:val="24"/>
              </w:rPr>
              <w:t>和微缺陷</w:t>
            </w:r>
            <w:r>
              <w:rPr>
                <w:rFonts w:hint="eastAsia" w:ascii="宋体" w:hAnsi="宋体"/>
                <w:sz w:val="24"/>
                <w:szCs w:val="24"/>
              </w:rPr>
              <w:t>抑制</w:t>
            </w:r>
            <w:r>
              <w:rPr>
                <w:rFonts w:ascii="宋体" w:hAnsi="宋体"/>
                <w:sz w:val="24"/>
                <w:szCs w:val="24"/>
              </w:rPr>
              <w:t>的要求也随之提高，传统机械</w:t>
            </w:r>
            <w:r>
              <w:rPr>
                <w:rFonts w:hint="eastAsia" w:ascii="宋体" w:hAnsi="宋体"/>
                <w:sz w:val="24"/>
                <w:szCs w:val="24"/>
              </w:rPr>
              <w:t>切割</w:t>
            </w:r>
            <w:r>
              <w:rPr>
                <w:rFonts w:ascii="宋体" w:hAnsi="宋体"/>
                <w:sz w:val="24"/>
                <w:szCs w:val="24"/>
              </w:rPr>
              <w:t>方式在崩边、微裂纹以及切缝损耗等方面的不足日益凸显。相比之下，激光隐形切割工艺凭借加工精度高、热影响范围小、</w:t>
            </w:r>
            <w:bookmarkStart w:id="17" w:name="_GoBack"/>
            <w:bookmarkEnd w:id="17"/>
            <w:r>
              <w:rPr>
                <w:rFonts w:ascii="宋体" w:hAnsi="宋体"/>
                <w:sz w:val="24"/>
                <w:szCs w:val="24"/>
              </w:rPr>
              <w:t>等显著优势，正逐步在部分应用场景中替代传统机械切割，成为晶圆加工的重要技术路线。</w:t>
            </w:r>
          </w:p>
        </w:tc>
      </w:tr>
      <w:tr w14:paraId="6206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2171" w:type="dxa"/>
            <w:vAlign w:val="center"/>
          </w:tcPr>
          <w:p w14:paraId="35C45A1D">
            <w:pPr>
              <w:pStyle w:val="15"/>
              <w:autoSpaceDE/>
              <w:autoSpaceDN/>
              <w:jc w:val="center"/>
              <w:rPr>
                <w:rFonts w:ascii="Times New Roman" w:hAnsi="Times New Roman"/>
                <w:b/>
                <w:bCs/>
                <w:spacing w:val="-4"/>
                <w:lang w:eastAsia="zh-CN"/>
              </w:rPr>
            </w:pPr>
            <w:r>
              <w:rPr>
                <w:rFonts w:hint="eastAsia" w:ascii="Times New Roman" w:hAnsi="Times New Roman"/>
                <w:b/>
                <w:bCs/>
                <w:spacing w:val="-28"/>
                <w:lang w:eastAsia="zh-CN"/>
              </w:rPr>
              <w:t>是否涉及应当披露的重大信息</w:t>
            </w:r>
          </w:p>
        </w:tc>
        <w:tc>
          <w:tcPr>
            <w:tcW w:w="6124" w:type="dxa"/>
            <w:gridSpan w:val="2"/>
          </w:tcPr>
          <w:p w14:paraId="3EF3A0BD">
            <w:pPr>
              <w:pStyle w:val="16"/>
              <w:spacing w:before="120" w:beforeLines="50" w:after="120" w:afterLines="50"/>
              <w:ind w:left="23" w:right="23"/>
              <w:jc w:val="center"/>
              <w:rPr>
                <w:rFonts w:ascii="Times New Roman" w:hAnsi="Times New Roman"/>
                <w:sz w:val="24"/>
                <w:szCs w:val="24"/>
              </w:rPr>
            </w:pPr>
            <w:r>
              <w:rPr>
                <w:rFonts w:hint="eastAsia" w:ascii="Times New Roman" w:hAnsi="Times New Roman"/>
                <w:sz w:val="24"/>
                <w:szCs w:val="24"/>
              </w:rPr>
              <w:t>否</w:t>
            </w:r>
          </w:p>
        </w:tc>
      </w:tr>
      <w:tr w14:paraId="5543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31022D0C">
            <w:pPr>
              <w:pStyle w:val="15"/>
              <w:jc w:val="center"/>
              <w:rPr>
                <w:rFonts w:ascii="Times New Roman" w:hAnsi="Times New Roman"/>
                <w:lang w:eastAsia="zh-CN"/>
              </w:rPr>
            </w:pPr>
            <w:r>
              <w:rPr>
                <w:rFonts w:hint="eastAsia" w:ascii="Times New Roman" w:hAnsi="Times New Roman"/>
                <w:b/>
                <w:bCs/>
                <w:spacing w:val="-28"/>
                <w:lang w:eastAsia="zh-CN"/>
              </w:rPr>
              <w:t>附件清单（如有）</w:t>
            </w:r>
          </w:p>
        </w:tc>
        <w:tc>
          <w:tcPr>
            <w:tcW w:w="6124" w:type="dxa"/>
            <w:gridSpan w:val="2"/>
            <w:vAlign w:val="center"/>
          </w:tcPr>
          <w:p w14:paraId="407B4CEE">
            <w:pPr>
              <w:pStyle w:val="15"/>
              <w:jc w:val="center"/>
              <w:rPr>
                <w:rFonts w:ascii="Times New Roman" w:hAnsi="Times New Roman"/>
                <w:lang w:eastAsia="zh-CN"/>
              </w:rPr>
            </w:pPr>
            <w:r>
              <w:rPr>
                <w:rFonts w:hint="eastAsia" w:ascii="Times New Roman" w:hAnsi="Times New Roman"/>
              </w:rPr>
              <w:t>无</w:t>
            </w:r>
          </w:p>
        </w:tc>
      </w:tr>
      <w:tr w14:paraId="60C5A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2171" w:type="dxa"/>
            <w:vAlign w:val="center"/>
          </w:tcPr>
          <w:p w14:paraId="76C7A8BC">
            <w:pPr>
              <w:pStyle w:val="15"/>
              <w:jc w:val="center"/>
              <w:rPr>
                <w:rFonts w:ascii="Times New Roman" w:hAnsi="Times New Roman"/>
              </w:rPr>
            </w:pPr>
            <w:r>
              <w:rPr>
                <w:rFonts w:hint="eastAsia" w:ascii="Times New Roman" w:hAnsi="Times New Roman"/>
                <w:b/>
                <w:bCs/>
                <w:spacing w:val="-28"/>
              </w:rPr>
              <w:t>日期</w:t>
            </w:r>
          </w:p>
        </w:tc>
        <w:tc>
          <w:tcPr>
            <w:tcW w:w="6124" w:type="dxa"/>
            <w:gridSpan w:val="2"/>
            <w:vAlign w:val="center"/>
          </w:tcPr>
          <w:p w14:paraId="146E2672">
            <w:pPr>
              <w:pStyle w:val="15"/>
              <w:jc w:val="center"/>
              <w:rPr>
                <w:rFonts w:ascii="Times New Roman" w:hAnsi="Times New Roman"/>
                <w:lang w:eastAsia="zh-CN"/>
              </w:rPr>
            </w:pPr>
            <w:r>
              <w:rPr>
                <w:rFonts w:hint="eastAsia" w:ascii="Times New Roman" w:hAnsi="Times New Roman"/>
                <w:lang w:eastAsia="zh-CN"/>
              </w:rPr>
              <w:t>2026年9月</w:t>
            </w:r>
            <w:r>
              <w:rPr>
                <w:rFonts w:hint="eastAsia" w:ascii="Times New Roman" w:hAnsi="Times New Roman"/>
                <w:lang w:val="en-US" w:eastAsia="zh-CN"/>
              </w:rPr>
              <w:t>21</w:t>
            </w:r>
            <w:r>
              <w:rPr>
                <w:rFonts w:hint="eastAsia" w:ascii="Times New Roman" w:hAnsi="Times New Roman"/>
                <w:lang w:eastAsia="zh-CN"/>
              </w:rPr>
              <w:t>日</w:t>
            </w:r>
          </w:p>
        </w:tc>
      </w:tr>
    </w:tbl>
    <w:p w14:paraId="19D83C5F">
      <w:pPr>
        <w:rPr>
          <w:rFonts w:ascii="Times New Roman" w:hAnsi="Times New Roman"/>
        </w:rPr>
      </w:pPr>
    </w:p>
    <w:p w14:paraId="1790BA6B">
      <w:pPr>
        <w:spacing w:line="91" w:lineRule="auto"/>
        <w:rPr>
          <w:rFonts w:ascii="Times New Roman" w:hAnsi="Times New Roman"/>
          <w:sz w:val="2"/>
        </w:rPr>
      </w:pPr>
    </w:p>
    <w:p w14:paraId="264C4D4D">
      <w:pPr>
        <w:rPr>
          <w:rFonts w:ascii="Times New Roman" w:hAnsi="Times New Roman"/>
          <w:lang w:eastAsia="zh-CN"/>
        </w:rPr>
      </w:pPr>
    </w:p>
    <w:sectPr>
      <w:pgSz w:w="11906" w:h="16839"/>
      <w:pgMar w:top="1431" w:right="1785" w:bottom="0" w:left="178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500"/>
  <w:noPunctuationKerning w:val="1"/>
  <w:characterSpacingControl w:val="doNotCompres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1NGMyNjljNGQ0MzY2ZDU4ODViMDc2NGY3NDFhNTkifQ=="/>
  </w:docVars>
  <w:rsids>
    <w:rsidRoot w:val="00AD411E"/>
    <w:rsid w:val="00042552"/>
    <w:rsid w:val="000E4E9A"/>
    <w:rsid w:val="000F0F8B"/>
    <w:rsid w:val="001904F5"/>
    <w:rsid w:val="001B362F"/>
    <w:rsid w:val="001B43DB"/>
    <w:rsid w:val="001F503A"/>
    <w:rsid w:val="002B1EEE"/>
    <w:rsid w:val="002D18D8"/>
    <w:rsid w:val="0030593D"/>
    <w:rsid w:val="00324587"/>
    <w:rsid w:val="00337319"/>
    <w:rsid w:val="00383673"/>
    <w:rsid w:val="00420F84"/>
    <w:rsid w:val="00461BE6"/>
    <w:rsid w:val="004A754A"/>
    <w:rsid w:val="004C23CF"/>
    <w:rsid w:val="005248CC"/>
    <w:rsid w:val="00527F4F"/>
    <w:rsid w:val="005420FE"/>
    <w:rsid w:val="005443C9"/>
    <w:rsid w:val="005C31AA"/>
    <w:rsid w:val="006330FF"/>
    <w:rsid w:val="006D4684"/>
    <w:rsid w:val="007257BA"/>
    <w:rsid w:val="00727F56"/>
    <w:rsid w:val="00775721"/>
    <w:rsid w:val="007C0F2D"/>
    <w:rsid w:val="007E50B8"/>
    <w:rsid w:val="008835EE"/>
    <w:rsid w:val="008A0110"/>
    <w:rsid w:val="00926B34"/>
    <w:rsid w:val="00952547"/>
    <w:rsid w:val="00973ED9"/>
    <w:rsid w:val="00A30B16"/>
    <w:rsid w:val="00A614BD"/>
    <w:rsid w:val="00A65C80"/>
    <w:rsid w:val="00A94277"/>
    <w:rsid w:val="00AA6936"/>
    <w:rsid w:val="00AD411E"/>
    <w:rsid w:val="00B02EEA"/>
    <w:rsid w:val="00B160BA"/>
    <w:rsid w:val="00B237AB"/>
    <w:rsid w:val="00BE14BF"/>
    <w:rsid w:val="00C52380"/>
    <w:rsid w:val="00C64F35"/>
    <w:rsid w:val="00C82932"/>
    <w:rsid w:val="00CE2392"/>
    <w:rsid w:val="00DF2EBD"/>
    <w:rsid w:val="00E97073"/>
    <w:rsid w:val="00EA0563"/>
    <w:rsid w:val="00EB19A6"/>
    <w:rsid w:val="00F75FED"/>
    <w:rsid w:val="00FB496F"/>
    <w:rsid w:val="00FE65C3"/>
    <w:rsid w:val="01102D92"/>
    <w:rsid w:val="01476561"/>
    <w:rsid w:val="014821F1"/>
    <w:rsid w:val="015E533E"/>
    <w:rsid w:val="016C0FA1"/>
    <w:rsid w:val="01852593"/>
    <w:rsid w:val="0190108A"/>
    <w:rsid w:val="01CD53CD"/>
    <w:rsid w:val="023D46EC"/>
    <w:rsid w:val="03385D0B"/>
    <w:rsid w:val="034B0503"/>
    <w:rsid w:val="03510060"/>
    <w:rsid w:val="041909DB"/>
    <w:rsid w:val="04513546"/>
    <w:rsid w:val="0458352F"/>
    <w:rsid w:val="04AC5B58"/>
    <w:rsid w:val="04BB10B7"/>
    <w:rsid w:val="05857F74"/>
    <w:rsid w:val="05945126"/>
    <w:rsid w:val="064A78D9"/>
    <w:rsid w:val="065D710A"/>
    <w:rsid w:val="0689144B"/>
    <w:rsid w:val="073562D9"/>
    <w:rsid w:val="07487DBA"/>
    <w:rsid w:val="084E3DF5"/>
    <w:rsid w:val="086E3851"/>
    <w:rsid w:val="087936BC"/>
    <w:rsid w:val="08874912"/>
    <w:rsid w:val="089332B7"/>
    <w:rsid w:val="08F66C03"/>
    <w:rsid w:val="0A0A1357"/>
    <w:rsid w:val="0A1246B0"/>
    <w:rsid w:val="0A4A3E4A"/>
    <w:rsid w:val="0AF802D2"/>
    <w:rsid w:val="0C40306C"/>
    <w:rsid w:val="0C774C9E"/>
    <w:rsid w:val="0C9870EE"/>
    <w:rsid w:val="0CC257D5"/>
    <w:rsid w:val="0CCA4D93"/>
    <w:rsid w:val="0CDF0EFD"/>
    <w:rsid w:val="0D3037CB"/>
    <w:rsid w:val="0D3B772F"/>
    <w:rsid w:val="0D4E3C51"/>
    <w:rsid w:val="0E4F45D8"/>
    <w:rsid w:val="0EA53D44"/>
    <w:rsid w:val="0F02798F"/>
    <w:rsid w:val="0F07012F"/>
    <w:rsid w:val="0F2E02EC"/>
    <w:rsid w:val="0F31382A"/>
    <w:rsid w:val="0FC41FA8"/>
    <w:rsid w:val="101572A9"/>
    <w:rsid w:val="10505F32"/>
    <w:rsid w:val="10710382"/>
    <w:rsid w:val="111B0B47"/>
    <w:rsid w:val="112A4BB7"/>
    <w:rsid w:val="11407D54"/>
    <w:rsid w:val="11E132E5"/>
    <w:rsid w:val="11EC0610"/>
    <w:rsid w:val="11EC3A38"/>
    <w:rsid w:val="12692205"/>
    <w:rsid w:val="12B17E9B"/>
    <w:rsid w:val="12B544C5"/>
    <w:rsid w:val="13916645"/>
    <w:rsid w:val="14952100"/>
    <w:rsid w:val="14B00B11"/>
    <w:rsid w:val="14E51974"/>
    <w:rsid w:val="15065412"/>
    <w:rsid w:val="15470135"/>
    <w:rsid w:val="15604521"/>
    <w:rsid w:val="157E2FAD"/>
    <w:rsid w:val="158762E9"/>
    <w:rsid w:val="158F3058"/>
    <w:rsid w:val="15915022"/>
    <w:rsid w:val="15BB3E4D"/>
    <w:rsid w:val="15BF393E"/>
    <w:rsid w:val="15DF7B3C"/>
    <w:rsid w:val="16153CF4"/>
    <w:rsid w:val="16BA5EB3"/>
    <w:rsid w:val="17C92852"/>
    <w:rsid w:val="17FA17FC"/>
    <w:rsid w:val="18474669"/>
    <w:rsid w:val="18D21BDA"/>
    <w:rsid w:val="19045B0B"/>
    <w:rsid w:val="192F382B"/>
    <w:rsid w:val="19FD3FDF"/>
    <w:rsid w:val="1A12650C"/>
    <w:rsid w:val="1AB126A6"/>
    <w:rsid w:val="1AB677DE"/>
    <w:rsid w:val="1ACE45C4"/>
    <w:rsid w:val="1AF114D7"/>
    <w:rsid w:val="1B123F0C"/>
    <w:rsid w:val="1B2D1349"/>
    <w:rsid w:val="1B5A1A13"/>
    <w:rsid w:val="1BA40757"/>
    <w:rsid w:val="1C077DEC"/>
    <w:rsid w:val="1C8D752E"/>
    <w:rsid w:val="1D091942"/>
    <w:rsid w:val="1D3A7D4E"/>
    <w:rsid w:val="1DAF4AFC"/>
    <w:rsid w:val="1DDB508D"/>
    <w:rsid w:val="1E322697"/>
    <w:rsid w:val="1E40701F"/>
    <w:rsid w:val="1EE26681"/>
    <w:rsid w:val="201E5705"/>
    <w:rsid w:val="20851AB3"/>
    <w:rsid w:val="20C95363"/>
    <w:rsid w:val="21094ABC"/>
    <w:rsid w:val="2147798C"/>
    <w:rsid w:val="22187E0B"/>
    <w:rsid w:val="22364E1D"/>
    <w:rsid w:val="22821F7B"/>
    <w:rsid w:val="22FE1C81"/>
    <w:rsid w:val="231B417D"/>
    <w:rsid w:val="23203542"/>
    <w:rsid w:val="23626B1C"/>
    <w:rsid w:val="24BE1264"/>
    <w:rsid w:val="250E527E"/>
    <w:rsid w:val="25B9690B"/>
    <w:rsid w:val="25DA3E7C"/>
    <w:rsid w:val="26485289"/>
    <w:rsid w:val="268A3AF4"/>
    <w:rsid w:val="2698258D"/>
    <w:rsid w:val="270A69E3"/>
    <w:rsid w:val="27A26C1B"/>
    <w:rsid w:val="27A42993"/>
    <w:rsid w:val="27D5362B"/>
    <w:rsid w:val="28527FD1"/>
    <w:rsid w:val="28736730"/>
    <w:rsid w:val="28FE60D3"/>
    <w:rsid w:val="29341AF5"/>
    <w:rsid w:val="296649FF"/>
    <w:rsid w:val="2A346ACA"/>
    <w:rsid w:val="2A391AB9"/>
    <w:rsid w:val="2A952A67"/>
    <w:rsid w:val="2ABC3C34"/>
    <w:rsid w:val="2AE71DF0"/>
    <w:rsid w:val="2B152B7E"/>
    <w:rsid w:val="2BAA0794"/>
    <w:rsid w:val="2BDE7D13"/>
    <w:rsid w:val="2BE23A8A"/>
    <w:rsid w:val="2C864D5D"/>
    <w:rsid w:val="2CB022D6"/>
    <w:rsid w:val="2D216834"/>
    <w:rsid w:val="2D2D19CD"/>
    <w:rsid w:val="2D74105A"/>
    <w:rsid w:val="2DB33930"/>
    <w:rsid w:val="2DE75388"/>
    <w:rsid w:val="2DEB0301"/>
    <w:rsid w:val="2E127498"/>
    <w:rsid w:val="2F300FB0"/>
    <w:rsid w:val="2F890169"/>
    <w:rsid w:val="2FA6143A"/>
    <w:rsid w:val="2FC65E53"/>
    <w:rsid w:val="2FE04785"/>
    <w:rsid w:val="2FE9188B"/>
    <w:rsid w:val="30152810"/>
    <w:rsid w:val="30AC4667"/>
    <w:rsid w:val="30F06952"/>
    <w:rsid w:val="312A215B"/>
    <w:rsid w:val="31C22C39"/>
    <w:rsid w:val="32D11EE7"/>
    <w:rsid w:val="333D5A4A"/>
    <w:rsid w:val="33B06E98"/>
    <w:rsid w:val="344A3DE9"/>
    <w:rsid w:val="345C4F2B"/>
    <w:rsid w:val="34605E94"/>
    <w:rsid w:val="346534AA"/>
    <w:rsid w:val="34713BFD"/>
    <w:rsid w:val="34DB376C"/>
    <w:rsid w:val="34E70363"/>
    <w:rsid w:val="34F12F90"/>
    <w:rsid w:val="34FD7B87"/>
    <w:rsid w:val="351C000D"/>
    <w:rsid w:val="35200667"/>
    <w:rsid w:val="35CB6621"/>
    <w:rsid w:val="36015455"/>
    <w:rsid w:val="360D538C"/>
    <w:rsid w:val="36802258"/>
    <w:rsid w:val="36EA5EE9"/>
    <w:rsid w:val="36F93E8A"/>
    <w:rsid w:val="379D0487"/>
    <w:rsid w:val="38DD5D05"/>
    <w:rsid w:val="39700927"/>
    <w:rsid w:val="39A16D33"/>
    <w:rsid w:val="3A033549"/>
    <w:rsid w:val="3A0B4AF4"/>
    <w:rsid w:val="3A8723CC"/>
    <w:rsid w:val="3AD60DB5"/>
    <w:rsid w:val="3AEF3ACE"/>
    <w:rsid w:val="3B173D7F"/>
    <w:rsid w:val="3B7A3CDF"/>
    <w:rsid w:val="3B893F22"/>
    <w:rsid w:val="3C36192E"/>
    <w:rsid w:val="3C7A1ABD"/>
    <w:rsid w:val="3CE11597"/>
    <w:rsid w:val="3D7529B0"/>
    <w:rsid w:val="3E2E0DB1"/>
    <w:rsid w:val="3E410AE4"/>
    <w:rsid w:val="3E5C147A"/>
    <w:rsid w:val="3E622809"/>
    <w:rsid w:val="3EB23790"/>
    <w:rsid w:val="3EBA0228"/>
    <w:rsid w:val="3F055FB6"/>
    <w:rsid w:val="3F3D6E1B"/>
    <w:rsid w:val="3F4563B2"/>
    <w:rsid w:val="3F680149"/>
    <w:rsid w:val="406D4DCA"/>
    <w:rsid w:val="4090609D"/>
    <w:rsid w:val="40B437EF"/>
    <w:rsid w:val="40F24318"/>
    <w:rsid w:val="4105404B"/>
    <w:rsid w:val="411779C2"/>
    <w:rsid w:val="41336BCB"/>
    <w:rsid w:val="41534A38"/>
    <w:rsid w:val="4168285C"/>
    <w:rsid w:val="430A1DED"/>
    <w:rsid w:val="438E33F7"/>
    <w:rsid w:val="439711A6"/>
    <w:rsid w:val="43E443EC"/>
    <w:rsid w:val="443F68DF"/>
    <w:rsid w:val="448C6831"/>
    <w:rsid w:val="44F06DC0"/>
    <w:rsid w:val="45156827"/>
    <w:rsid w:val="455E254D"/>
    <w:rsid w:val="456B6447"/>
    <w:rsid w:val="45A84FAE"/>
    <w:rsid w:val="45B822D1"/>
    <w:rsid w:val="45C56ECB"/>
    <w:rsid w:val="46935C55"/>
    <w:rsid w:val="46C6427C"/>
    <w:rsid w:val="470513F8"/>
    <w:rsid w:val="47252CB6"/>
    <w:rsid w:val="474653BD"/>
    <w:rsid w:val="47541888"/>
    <w:rsid w:val="4764741D"/>
    <w:rsid w:val="488251E8"/>
    <w:rsid w:val="48843C31"/>
    <w:rsid w:val="48BD345D"/>
    <w:rsid w:val="48C04CFB"/>
    <w:rsid w:val="48C53BE2"/>
    <w:rsid w:val="4968161B"/>
    <w:rsid w:val="497C3C51"/>
    <w:rsid w:val="499E328F"/>
    <w:rsid w:val="49A14F5D"/>
    <w:rsid w:val="49AB775A"/>
    <w:rsid w:val="49E31136"/>
    <w:rsid w:val="49FE054C"/>
    <w:rsid w:val="4A031344"/>
    <w:rsid w:val="4A0B01F8"/>
    <w:rsid w:val="4A4C728D"/>
    <w:rsid w:val="4A875AD1"/>
    <w:rsid w:val="4B0C4228"/>
    <w:rsid w:val="4B78366B"/>
    <w:rsid w:val="4BBC51EC"/>
    <w:rsid w:val="4BCF2B77"/>
    <w:rsid w:val="4BE62CCB"/>
    <w:rsid w:val="4C082549"/>
    <w:rsid w:val="4C1E06B7"/>
    <w:rsid w:val="4CBD7ED0"/>
    <w:rsid w:val="4CE51D54"/>
    <w:rsid w:val="4D0258E3"/>
    <w:rsid w:val="4D7C5695"/>
    <w:rsid w:val="4DF25957"/>
    <w:rsid w:val="4E263853"/>
    <w:rsid w:val="4E703B15"/>
    <w:rsid w:val="4E7445BE"/>
    <w:rsid w:val="4F833FDC"/>
    <w:rsid w:val="4FA86246"/>
    <w:rsid w:val="4FCC2CDE"/>
    <w:rsid w:val="500B0F52"/>
    <w:rsid w:val="50487AB0"/>
    <w:rsid w:val="505C355C"/>
    <w:rsid w:val="507E7A1A"/>
    <w:rsid w:val="514566E6"/>
    <w:rsid w:val="51582E6C"/>
    <w:rsid w:val="5167040A"/>
    <w:rsid w:val="51AF590D"/>
    <w:rsid w:val="51C25640"/>
    <w:rsid w:val="51D75253"/>
    <w:rsid w:val="51E74D80"/>
    <w:rsid w:val="5217598C"/>
    <w:rsid w:val="525E180D"/>
    <w:rsid w:val="52701540"/>
    <w:rsid w:val="52A511EA"/>
    <w:rsid w:val="52B21AD1"/>
    <w:rsid w:val="52CA29FF"/>
    <w:rsid w:val="52CC6734"/>
    <w:rsid w:val="5301473C"/>
    <w:rsid w:val="53177C0E"/>
    <w:rsid w:val="537D3C18"/>
    <w:rsid w:val="538D1B3E"/>
    <w:rsid w:val="5410147D"/>
    <w:rsid w:val="54970998"/>
    <w:rsid w:val="54D51AA7"/>
    <w:rsid w:val="54FF44A5"/>
    <w:rsid w:val="55475A19"/>
    <w:rsid w:val="55A16ED2"/>
    <w:rsid w:val="55BF16ED"/>
    <w:rsid w:val="55CD58BC"/>
    <w:rsid w:val="560C1580"/>
    <w:rsid w:val="56A33C92"/>
    <w:rsid w:val="56AD0E89"/>
    <w:rsid w:val="56F15B99"/>
    <w:rsid w:val="571802DA"/>
    <w:rsid w:val="574305EE"/>
    <w:rsid w:val="57E64FC7"/>
    <w:rsid w:val="583A3C95"/>
    <w:rsid w:val="58467E50"/>
    <w:rsid w:val="59A01F0B"/>
    <w:rsid w:val="59C503C4"/>
    <w:rsid w:val="59D86349"/>
    <w:rsid w:val="5AAB5D5D"/>
    <w:rsid w:val="5B060C94"/>
    <w:rsid w:val="5BC052E6"/>
    <w:rsid w:val="5C0A6562"/>
    <w:rsid w:val="5C6747DA"/>
    <w:rsid w:val="5CB32755"/>
    <w:rsid w:val="5CE4546A"/>
    <w:rsid w:val="5D916F3A"/>
    <w:rsid w:val="5D9711A4"/>
    <w:rsid w:val="5D9C768D"/>
    <w:rsid w:val="5E113BD7"/>
    <w:rsid w:val="5E4265FD"/>
    <w:rsid w:val="5EE96902"/>
    <w:rsid w:val="5F517ABE"/>
    <w:rsid w:val="5F8421A1"/>
    <w:rsid w:val="604F73A7"/>
    <w:rsid w:val="610633E6"/>
    <w:rsid w:val="618F75C3"/>
    <w:rsid w:val="61D1008C"/>
    <w:rsid w:val="62606EDB"/>
    <w:rsid w:val="626D5C19"/>
    <w:rsid w:val="62B80639"/>
    <w:rsid w:val="6321792E"/>
    <w:rsid w:val="63B7511B"/>
    <w:rsid w:val="63BF3862"/>
    <w:rsid w:val="6416019A"/>
    <w:rsid w:val="646A5DEF"/>
    <w:rsid w:val="649A50CC"/>
    <w:rsid w:val="64AC6408"/>
    <w:rsid w:val="64CA2D32"/>
    <w:rsid w:val="64CF659A"/>
    <w:rsid w:val="65670518"/>
    <w:rsid w:val="65BB4075"/>
    <w:rsid w:val="65E55731"/>
    <w:rsid w:val="66042274"/>
    <w:rsid w:val="66662834"/>
    <w:rsid w:val="66BA0643"/>
    <w:rsid w:val="66F44096"/>
    <w:rsid w:val="66F553A6"/>
    <w:rsid w:val="674E064D"/>
    <w:rsid w:val="67E1286C"/>
    <w:rsid w:val="67E67381"/>
    <w:rsid w:val="685275F3"/>
    <w:rsid w:val="68623356"/>
    <w:rsid w:val="68B65AA7"/>
    <w:rsid w:val="69004F74"/>
    <w:rsid w:val="6955518E"/>
    <w:rsid w:val="69A67DB5"/>
    <w:rsid w:val="69B83A0D"/>
    <w:rsid w:val="69BD7D10"/>
    <w:rsid w:val="6A1D4D70"/>
    <w:rsid w:val="6A9D2977"/>
    <w:rsid w:val="6ACF2A05"/>
    <w:rsid w:val="6AED32D6"/>
    <w:rsid w:val="6AF0478A"/>
    <w:rsid w:val="6B206150"/>
    <w:rsid w:val="6C615D2A"/>
    <w:rsid w:val="6C860F1A"/>
    <w:rsid w:val="6C9132B7"/>
    <w:rsid w:val="6D910628"/>
    <w:rsid w:val="6DED6714"/>
    <w:rsid w:val="6E494CC8"/>
    <w:rsid w:val="6E6B4FA6"/>
    <w:rsid w:val="6E7E1C6A"/>
    <w:rsid w:val="6EC8494C"/>
    <w:rsid w:val="6F0357BE"/>
    <w:rsid w:val="6F2E1014"/>
    <w:rsid w:val="6F70543C"/>
    <w:rsid w:val="704A2F79"/>
    <w:rsid w:val="70810852"/>
    <w:rsid w:val="715A71EC"/>
    <w:rsid w:val="71787AB8"/>
    <w:rsid w:val="719A3A8C"/>
    <w:rsid w:val="71CA1FE3"/>
    <w:rsid w:val="720A4079"/>
    <w:rsid w:val="72534E9D"/>
    <w:rsid w:val="72EB27F1"/>
    <w:rsid w:val="731036E9"/>
    <w:rsid w:val="732C1A70"/>
    <w:rsid w:val="732E6B82"/>
    <w:rsid w:val="73493CAC"/>
    <w:rsid w:val="7358775B"/>
    <w:rsid w:val="73EB05CF"/>
    <w:rsid w:val="73FB4E65"/>
    <w:rsid w:val="741B7106"/>
    <w:rsid w:val="7530788B"/>
    <w:rsid w:val="75422471"/>
    <w:rsid w:val="75936E7F"/>
    <w:rsid w:val="759A61FC"/>
    <w:rsid w:val="76237A75"/>
    <w:rsid w:val="76426BCC"/>
    <w:rsid w:val="769557B6"/>
    <w:rsid w:val="771A36A5"/>
    <w:rsid w:val="778620F0"/>
    <w:rsid w:val="77884AB3"/>
    <w:rsid w:val="788B1B55"/>
    <w:rsid w:val="78EB552B"/>
    <w:rsid w:val="79783C64"/>
    <w:rsid w:val="7993773F"/>
    <w:rsid w:val="79AB4A88"/>
    <w:rsid w:val="79BD371A"/>
    <w:rsid w:val="7A526335"/>
    <w:rsid w:val="7A8D0117"/>
    <w:rsid w:val="7BB51BEE"/>
    <w:rsid w:val="7C2154D6"/>
    <w:rsid w:val="7C8D4919"/>
    <w:rsid w:val="7CA90BA0"/>
    <w:rsid w:val="7CB20C21"/>
    <w:rsid w:val="7CE55D78"/>
    <w:rsid w:val="7D7809E9"/>
    <w:rsid w:val="7D8C697F"/>
    <w:rsid w:val="7D9E7B82"/>
    <w:rsid w:val="7DBD5782"/>
    <w:rsid w:val="7E046E5D"/>
    <w:rsid w:val="7E152E18"/>
    <w:rsid w:val="7E2D681A"/>
    <w:rsid w:val="7E2E6314"/>
    <w:rsid w:val="7E324E10"/>
    <w:rsid w:val="7E3F60E7"/>
    <w:rsid w:val="7E815519"/>
    <w:rsid w:val="7F4C286A"/>
    <w:rsid w:val="7F4C4618"/>
    <w:rsid w:val="7F664645"/>
    <w:rsid w:val="7F955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outlineLvl w:val="1"/>
    </w:pPr>
    <w:rPr>
      <w:rFonts w:hint="eastAsia" w:ascii="宋体" w:hAnsi="宋体" w:eastAsia="宋体" w:cs="Times New Roman"/>
      <w:b/>
      <w:bCs/>
      <w:sz w:val="36"/>
      <w:szCs w:val="36"/>
      <w:lang w:eastAsia="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style>
  <w:style w:type="paragraph" w:styleId="4">
    <w:name w:val="footer"/>
    <w:basedOn w:val="1"/>
    <w:link w:val="22"/>
    <w:qFormat/>
    <w:uiPriority w:val="0"/>
    <w:pPr>
      <w:tabs>
        <w:tab w:val="center" w:pos="4153"/>
        <w:tab w:val="right" w:pos="8306"/>
      </w:tabs>
    </w:pPr>
    <w:rPr>
      <w:sz w:val="18"/>
      <w:szCs w:val="18"/>
    </w:rPr>
  </w:style>
  <w:style w:type="paragraph" w:styleId="5">
    <w:name w:val="header"/>
    <w:basedOn w:val="1"/>
    <w:link w:val="21"/>
    <w:qFormat/>
    <w:uiPriority w:val="0"/>
    <w:pPr>
      <w:tabs>
        <w:tab w:val="center" w:pos="4153"/>
        <w:tab w:val="right" w:pos="8306"/>
      </w:tabs>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7">
    <w:name w:val="Normal (Web)"/>
    <w:basedOn w:val="1"/>
    <w:qFormat/>
    <w:uiPriority w:val="0"/>
    <w:pPr>
      <w:spacing w:beforeAutospacing="1" w:afterAutospacing="1"/>
    </w:pPr>
    <w:rPr>
      <w:rFonts w:cs="Times New Roman"/>
      <w:sz w:val="24"/>
      <w:lang w:eastAsia="zh-CN"/>
    </w:rPr>
  </w:style>
  <w:style w:type="paragraph" w:styleId="8">
    <w:name w:val="annotation subject"/>
    <w:basedOn w:val="3"/>
    <w:next w:val="3"/>
    <w:link w:val="25"/>
    <w:qFormat/>
    <w:uiPriority w:val="0"/>
    <w:rPr>
      <w:b/>
      <w:bCs/>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annotation reference"/>
    <w:basedOn w:val="10"/>
    <w:qFormat/>
    <w:uiPriority w:val="0"/>
    <w:rPr>
      <w:sz w:val="21"/>
      <w:szCs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4"/>
      <w:szCs w:val="24"/>
    </w:rPr>
  </w:style>
  <w:style w:type="paragraph" w:customStyle="1" w:styleId="16">
    <w:name w:val="p1"/>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paragraph" w:customStyle="1" w:styleId="17">
    <w:name w:val="p2"/>
    <w:basedOn w:val="1"/>
    <w:qFormat/>
    <w:uiPriority w:val="0"/>
    <w:pPr>
      <w:kinsoku/>
      <w:autoSpaceDE/>
      <w:autoSpaceDN/>
      <w:adjustRightInd/>
      <w:snapToGrid/>
      <w:textAlignment w:val="auto"/>
    </w:pPr>
    <w:rPr>
      <w:rFonts w:ascii=".AppleSystemUIFont" w:hAnsi=".AppleSystemUIFont" w:eastAsia="宋体" w:cs="宋体"/>
      <w:snapToGrid/>
      <w:color w:val="111111"/>
      <w:sz w:val="26"/>
      <w:szCs w:val="26"/>
      <w:lang w:eastAsia="zh-CN"/>
    </w:rPr>
  </w:style>
  <w:style w:type="character" w:customStyle="1" w:styleId="18">
    <w:name w:val="s1"/>
    <w:basedOn w:val="10"/>
    <w:qFormat/>
    <w:uiPriority w:val="0"/>
    <w:rPr>
      <w:rFonts w:hint="default" w:ascii="UICTFontTextStyleBody" w:hAnsi="UICTFontTextStyleBody"/>
      <w:sz w:val="26"/>
      <w:szCs w:val="26"/>
    </w:rPr>
  </w:style>
  <w:style w:type="paragraph" w:customStyle="1" w:styleId="19">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20">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21">
    <w:name w:val="页眉 字符"/>
    <w:basedOn w:val="10"/>
    <w:link w:val="5"/>
    <w:qFormat/>
    <w:uiPriority w:val="0"/>
    <w:rPr>
      <w:rFonts w:ascii="Arial" w:hAnsi="Arial" w:eastAsia="Arial" w:cs="Arial"/>
      <w:snapToGrid w:val="0"/>
      <w:color w:val="000000"/>
      <w:sz w:val="18"/>
      <w:szCs w:val="18"/>
      <w:lang w:eastAsia="en-US"/>
    </w:rPr>
  </w:style>
  <w:style w:type="character" w:customStyle="1" w:styleId="22">
    <w:name w:val="页脚 字符"/>
    <w:basedOn w:val="10"/>
    <w:link w:val="4"/>
    <w:qFormat/>
    <w:uiPriority w:val="0"/>
    <w:rPr>
      <w:rFonts w:ascii="Arial" w:hAnsi="Arial" w:eastAsia="Arial" w:cs="Arial"/>
      <w:snapToGrid w:val="0"/>
      <w:color w:val="000000"/>
      <w:sz w:val="18"/>
      <w:szCs w:val="18"/>
      <w:lang w:eastAsia="en-US"/>
    </w:rPr>
  </w:style>
  <w:style w:type="paragraph" w:customStyle="1" w:styleId="23">
    <w:name w:val="修订3"/>
    <w:hidden/>
    <w:unhideWhenUsed/>
    <w:qFormat/>
    <w:uiPriority w:val="99"/>
    <w:rPr>
      <w:rFonts w:ascii="Arial" w:hAnsi="Arial" w:eastAsia="Arial" w:cs="Arial"/>
      <w:snapToGrid w:val="0"/>
      <w:color w:val="000000"/>
      <w:sz w:val="21"/>
      <w:szCs w:val="21"/>
      <w:lang w:val="en-US" w:eastAsia="en-US" w:bidi="ar-SA"/>
    </w:rPr>
  </w:style>
  <w:style w:type="character" w:customStyle="1" w:styleId="24">
    <w:name w:val="批注文字 字符"/>
    <w:basedOn w:val="10"/>
    <w:link w:val="3"/>
    <w:qFormat/>
    <w:uiPriority w:val="0"/>
    <w:rPr>
      <w:rFonts w:ascii="Arial" w:hAnsi="Arial" w:eastAsia="Arial" w:cs="Arial"/>
      <w:snapToGrid w:val="0"/>
      <w:color w:val="000000"/>
      <w:sz w:val="21"/>
      <w:szCs w:val="21"/>
      <w:lang w:eastAsia="en-US"/>
    </w:rPr>
  </w:style>
  <w:style w:type="character" w:customStyle="1" w:styleId="25">
    <w:name w:val="批注主题 字符"/>
    <w:basedOn w:val="24"/>
    <w:link w:val="8"/>
    <w:qFormat/>
    <w:uiPriority w:val="0"/>
    <w:rPr>
      <w:rFonts w:ascii="Arial" w:hAnsi="Arial" w:eastAsia="Arial" w:cs="Arial"/>
      <w:b/>
      <w:bCs/>
      <w:snapToGrid w:val="0"/>
      <w:color w:val="000000"/>
      <w:sz w:val="21"/>
      <w:szCs w:val="21"/>
      <w:lang w:eastAsia="en-US"/>
    </w:rPr>
  </w:style>
  <w:style w:type="paragraph" w:customStyle="1" w:styleId="26">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4e92b32e-6520-4b5d-860a-d4545097c25d</errorID>
      <errorWord>-</errorWord>
      <group>L1_Format</group>
      <groupName>格式问题</groupName>
      <ability>L2_HalfPunc_CN</ability>
      <abilityName>全半角问题</abilityName>
      <candidateList>
        <item>－</item>
      </candidateList>
      <explain>文本全半角错误。</explain>
      <paraID>68239CDB</paraID>
      <start>20</start>
      <end>21</end>
      <status>unmodified</status>
      <modifiedWord/>
      <trackRevisions>false</trackRevisions>
    </reviewItem>
    <reviewItem>
      <errorID>c593b229-f260-4635-96bf-656b13a4d503</errorID>
      <errorWord>-</errorWord>
      <group>L1_Format</group>
      <groupName>格式问题</groupName>
      <ability>L2_HalfPunc_CN</ability>
      <abilityName>全半角问题</abilityName>
      <candidateList>
        <item>－</item>
      </candidateList>
      <explain>文本全半角错误。</explain>
      <paraID>68239CDB</paraID>
      <start>23</start>
      <end>24</end>
      <status>unmodified</status>
      <modifiedWord/>
      <trackRevisions>false</trackRevisions>
    </reviewItem>
    <reviewItem>
      <errorID>e74744e9-97bc-4db4-94ce-0699532108d4</errorID>
      <errorWord>-</errorWord>
      <group>L1_Format</group>
      <groupName>格式问题</groupName>
      <ability>L2_HalfPunc_CN</ability>
      <abilityName>全半角问题</abilityName>
      <candidateList>
        <item>－</item>
      </candidateList>
      <explain>文本全半角错误。</explain>
      <paraID>68239CDB</paraID>
      <start>26</start>
      <end>27</end>
      <status>unmodified</status>
      <modifiedWord/>
      <trackRevisions>false</trackRevisions>
    </reviewItem>
    <reviewItem>
      <errorID>e1f49a67-fb6f-4a43-b723-8b1c61a6a342</errorID>
      <errorWord>-</errorWord>
      <group>L1_Format</group>
      <groupName>格式问题</groupName>
      <ability>L2_HalfPunc_CN</ability>
      <abilityName>全半角问题</abilityName>
      <candidateList>
        <item>－</item>
      </candidateList>
      <explain>文本全半角错误。</explain>
      <paraID>68239CDB</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F44C5692-E611-40F9-8E4F-189CAD100875}">
  <ds:schemaRefs/>
</ds:datastoreItem>
</file>

<file path=docProps/app.xml><?xml version="1.0" encoding="utf-8"?>
<Properties xmlns="http://schemas.openxmlformats.org/officeDocument/2006/extended-properties" xmlns:vt="http://schemas.openxmlformats.org/officeDocument/2006/docPropsVTypes">
  <Template>Normal</Template>
  <Pages>5</Pages>
  <Words>3384</Words>
  <Characters>3464</Characters>
  <Lines>32</Lines>
  <Paragraphs>9</Paragraphs>
  <TotalTime>63</TotalTime>
  <ScaleCrop>false</ScaleCrop>
  <LinksUpToDate>false</LinksUpToDate>
  <CharactersWithSpaces>3547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2026-09-18T04:03:00Z</dcterms:created>
  <dc:creator>荣大-李雷</dc:creator>
  <cp:lastModifiedBy>Kayden</cp:lastModifiedBy>
  <dcterms:modified xsi:type="dcterms:W3CDTF">2026-09-21T05:35:39Z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2024-07-26T02:33:54Z</vt:filetime>
  </property>
  <property fmtid="{D5CDD505-2E9C-101B-9397-08002B2CF9AE}" pid="4" name="KSOProductBuildVer">
    <vt:lpwstr>2052-12.1.0.28505</vt:lpwstr>
  </property>
  <property fmtid="{D5CDD505-2E9C-101B-9397-08002B2CF9AE}" pid="5" name="ICV">
    <vt:lpwstr>39620907C1C642EFA5EC56D87B1050D9_13</vt:lpwstr>
  </property>
  <property fmtid="{D5CDD505-2E9C-101B-9397-08002B2CF9AE}" pid="6" name="KSOTemplateDocerSaveRecord">
    <vt:lpwstr>eyJoZGlkIjoiYjQ0OGI0MTdkYWRlNWEyOThhODZjZDRmMzg5MmFjMmQiLCJ1c2VySWQiOiI0MTU2NjMwNjYifQ==</vt:lpwstr>
  </property>
</Properties>
</file>