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ACE3B">
      <w:pPr>
        <w:jc w:val="center"/>
        <w:rPr>
          <w:rFonts w:ascii="华文中宋" w:hAnsi="华文中宋" w:eastAsia="华文中宋"/>
          <w:b/>
          <w:sz w:val="32"/>
          <w:szCs w:val="32"/>
        </w:rPr>
      </w:pPr>
      <w:r>
        <w:rPr>
          <w:rFonts w:hint="eastAsia" w:ascii="华文中宋" w:hAnsi="华文中宋" w:eastAsia="华文中宋"/>
          <w:b/>
          <w:sz w:val="32"/>
          <w:szCs w:val="32"/>
        </w:rPr>
        <w:t>中国电器科学研究院股份有限公司</w:t>
      </w:r>
    </w:p>
    <w:p w14:paraId="053E2B08">
      <w:pPr>
        <w:jc w:val="center"/>
        <w:rPr>
          <w:rFonts w:ascii="华文中宋" w:hAnsi="华文中宋" w:eastAsia="华文中宋"/>
          <w:b/>
          <w:sz w:val="32"/>
          <w:szCs w:val="32"/>
        </w:rPr>
      </w:pPr>
      <w:r>
        <w:rPr>
          <w:rFonts w:hint="eastAsia" w:ascii="华文中宋" w:hAnsi="华文中宋" w:eastAsia="华文中宋"/>
          <w:b/>
          <w:sz w:val="32"/>
          <w:szCs w:val="32"/>
        </w:rPr>
        <w:t>投资者关系活动记录表</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4"/>
      </w:tblGrid>
      <w:tr w14:paraId="6B5C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668" w:type="dxa"/>
            <w:vAlign w:val="center"/>
          </w:tcPr>
          <w:p w14:paraId="488B725B">
            <w:pPr>
              <w:jc w:val="center"/>
              <w:rPr>
                <w:rFonts w:asciiTheme="minorEastAsia" w:hAnsiTheme="minorEastAsia"/>
                <w:b/>
                <w:sz w:val="24"/>
                <w:szCs w:val="24"/>
              </w:rPr>
            </w:pPr>
            <w:r>
              <w:rPr>
                <w:rFonts w:hint="eastAsia" w:asciiTheme="minorEastAsia" w:hAnsiTheme="minorEastAsia"/>
                <w:b/>
                <w:sz w:val="24"/>
                <w:szCs w:val="24"/>
              </w:rPr>
              <w:t>投资者关系</w:t>
            </w:r>
          </w:p>
          <w:p w14:paraId="0D232D21">
            <w:pPr>
              <w:jc w:val="center"/>
              <w:rPr>
                <w:rFonts w:asciiTheme="minorEastAsia" w:hAnsiTheme="minorEastAsia"/>
                <w:b/>
                <w:sz w:val="24"/>
                <w:szCs w:val="24"/>
              </w:rPr>
            </w:pPr>
            <w:r>
              <w:rPr>
                <w:rFonts w:hint="eastAsia" w:asciiTheme="minorEastAsia" w:hAnsiTheme="minorEastAsia"/>
                <w:b/>
                <w:sz w:val="24"/>
                <w:szCs w:val="24"/>
              </w:rPr>
              <w:t>活动类别</w:t>
            </w:r>
          </w:p>
        </w:tc>
        <w:tc>
          <w:tcPr>
            <w:tcW w:w="6854" w:type="dxa"/>
          </w:tcPr>
          <w:p w14:paraId="5CEE7B79">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□特定对象调研</w:t>
            </w:r>
            <w:r>
              <w:rPr>
                <w:rFonts w:hint="eastAsia" w:cs="Arial" w:asciiTheme="minorEastAsia" w:hAnsiTheme="minorEastAsia"/>
                <w:sz w:val="24"/>
                <w:szCs w:val="24"/>
                <w:shd w:val="clear" w:color="auto" w:fill="FFFFFF"/>
                <w:lang w:val="en-US" w:eastAsia="zh-CN"/>
              </w:rPr>
              <w:t xml:space="preserve">     </w:t>
            </w:r>
            <w:r>
              <w:rPr>
                <w:rFonts w:hint="eastAsia" w:cs="Arial" w:asciiTheme="minorEastAsia" w:hAnsiTheme="minorEastAsia"/>
                <w:sz w:val="24"/>
                <w:szCs w:val="24"/>
                <w:shd w:val="clear" w:color="auto" w:fill="FFFFFF"/>
                <w:lang w:eastAsia="zh-CN"/>
              </w:rPr>
              <w:t>□</w:t>
            </w:r>
            <w:r>
              <w:rPr>
                <w:rFonts w:cs="Arial" w:asciiTheme="minorEastAsia" w:hAnsiTheme="minorEastAsia"/>
                <w:sz w:val="24"/>
                <w:szCs w:val="24"/>
                <w:shd w:val="clear" w:color="auto" w:fill="FFFFFF"/>
              </w:rPr>
              <w:t>分析师会议</w:t>
            </w:r>
          </w:p>
          <w:p w14:paraId="1C6DB5A9">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□媒体采访</w:t>
            </w:r>
            <w:r>
              <w:rPr>
                <w:rFonts w:hint="eastAsia" w:cs="Arial" w:asciiTheme="minorEastAsia" w:hAnsiTheme="minorEastAsia"/>
                <w:sz w:val="24"/>
                <w:szCs w:val="24"/>
                <w:shd w:val="clear" w:color="auto" w:fill="FFFFFF"/>
                <w:lang w:val="en-US" w:eastAsia="zh-CN"/>
              </w:rPr>
              <w:t xml:space="preserve">         </w:t>
            </w:r>
            <w:r>
              <w:rPr>
                <w:rFonts w:hint="eastAsia" w:cs="Arial" w:asciiTheme="minorEastAsia" w:hAnsiTheme="minorEastAsia"/>
                <w:sz w:val="24"/>
                <w:szCs w:val="24"/>
                <w:shd w:val="clear" w:color="auto" w:fill="FFFFFF"/>
                <w:lang w:eastAsia="zh-CN"/>
              </w:rPr>
              <w:t>□</w:t>
            </w:r>
            <w:r>
              <w:rPr>
                <w:rFonts w:cs="Arial" w:asciiTheme="minorEastAsia" w:hAnsiTheme="minorEastAsia"/>
                <w:sz w:val="24"/>
                <w:szCs w:val="24"/>
                <w:shd w:val="clear" w:color="auto" w:fill="FFFFFF"/>
              </w:rPr>
              <w:t>业绩说明会</w:t>
            </w:r>
          </w:p>
          <w:p w14:paraId="59B1B233">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□新闻发布会</w:t>
            </w:r>
            <w:r>
              <w:rPr>
                <w:rFonts w:hint="eastAsia" w:cs="Arial" w:asciiTheme="minorEastAsia" w:hAnsiTheme="minorEastAsia"/>
                <w:sz w:val="24"/>
                <w:szCs w:val="24"/>
                <w:shd w:val="clear" w:color="auto" w:fill="FFFFFF"/>
                <w:lang w:val="en-US" w:eastAsia="zh-CN"/>
              </w:rPr>
              <w:t xml:space="preserve">       </w:t>
            </w:r>
            <w:r>
              <w:rPr>
                <w:rFonts w:hint="eastAsia" w:cs="Arial" w:asciiTheme="minorEastAsia" w:hAnsiTheme="minorEastAsia"/>
                <w:sz w:val="24"/>
                <w:szCs w:val="24"/>
                <w:shd w:val="clear" w:color="auto" w:fill="FFFFFF"/>
                <w:lang w:eastAsia="zh-CN"/>
              </w:rPr>
              <w:t>□</w:t>
            </w:r>
            <w:r>
              <w:rPr>
                <w:rFonts w:cs="Arial" w:asciiTheme="minorEastAsia" w:hAnsiTheme="minorEastAsia"/>
                <w:sz w:val="24"/>
                <w:szCs w:val="24"/>
                <w:shd w:val="clear" w:color="auto" w:fill="FFFFFF"/>
              </w:rPr>
              <w:t>路演活动</w:t>
            </w:r>
          </w:p>
          <w:p w14:paraId="167342F1">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□现场参观</w:t>
            </w:r>
            <w:r>
              <w:rPr>
                <w:rFonts w:hint="eastAsia" w:cs="Arial" w:asciiTheme="minorEastAsia" w:hAnsiTheme="minorEastAsia"/>
                <w:sz w:val="24"/>
                <w:szCs w:val="24"/>
                <w:shd w:val="clear" w:color="auto" w:fill="FFFFFF"/>
                <w:lang w:val="en-US" w:eastAsia="zh-CN"/>
              </w:rPr>
              <w:t xml:space="preserve">         </w:t>
            </w:r>
            <w:r>
              <w:rPr>
                <w:rFonts w:cs="Arial" w:asciiTheme="minorEastAsia" w:hAnsiTheme="minorEastAsia"/>
                <w:sz w:val="24"/>
                <w:szCs w:val="24"/>
                <w:shd w:val="clear" w:color="auto" w:fill="FFFFFF"/>
              </w:rPr>
              <w:t>√其他</w:t>
            </w:r>
          </w:p>
          <w:p w14:paraId="0DAB9515">
            <w:pPr>
              <w:rPr>
                <w:rFonts w:cs="Arial" w:asciiTheme="minorEastAsia" w:hAnsiTheme="minorEastAsia"/>
                <w:sz w:val="24"/>
                <w:szCs w:val="24"/>
                <w:shd w:val="clear" w:color="auto" w:fill="FFFFFF"/>
              </w:rPr>
            </w:pPr>
            <w:r>
              <w:rPr>
                <w:rFonts w:hint="eastAsia" w:cs="Arial" w:asciiTheme="minorEastAsia" w:hAnsiTheme="minorEastAsia"/>
                <w:sz w:val="24"/>
                <w:szCs w:val="24"/>
                <w:u w:val="single"/>
                <w:shd w:val="clear" w:color="auto" w:fill="FFFFFF"/>
              </w:rPr>
              <w:t>“</w:t>
            </w:r>
            <w:r>
              <w:rPr>
                <w:rFonts w:hint="eastAsia" w:cs="Arial" w:asciiTheme="minorEastAsia" w:hAnsiTheme="minorEastAsia"/>
                <w:sz w:val="24"/>
                <w:szCs w:val="24"/>
                <w:u w:val="single"/>
                <w:shd w:val="clear" w:color="auto" w:fill="FFFFFF"/>
                <w:lang w:val="en-US" w:eastAsia="zh-CN"/>
              </w:rPr>
              <w:t>锻造所长</w:t>
            </w:r>
            <w:r>
              <w:rPr>
                <w:rFonts w:hint="eastAsia" w:cs="Arial" w:asciiTheme="minorEastAsia" w:hAnsiTheme="minorEastAsia"/>
                <w:sz w:val="24"/>
                <w:szCs w:val="24"/>
                <w:u w:val="single"/>
                <w:shd w:val="clear" w:color="auto" w:fill="FFFFFF"/>
              </w:rPr>
              <w:t xml:space="preserve"> 共创价值”国机集团2</w:t>
            </w:r>
            <w:r>
              <w:rPr>
                <w:rFonts w:cs="Arial" w:asciiTheme="minorEastAsia" w:hAnsiTheme="minorEastAsia"/>
                <w:sz w:val="24"/>
                <w:szCs w:val="24"/>
                <w:u w:val="single"/>
                <w:shd w:val="clear" w:color="auto" w:fill="FFFFFF"/>
              </w:rPr>
              <w:t>02</w:t>
            </w:r>
            <w:r>
              <w:rPr>
                <w:rFonts w:hint="eastAsia" w:cs="Arial" w:asciiTheme="minorEastAsia" w:hAnsiTheme="minorEastAsia"/>
                <w:sz w:val="24"/>
                <w:szCs w:val="24"/>
                <w:u w:val="single"/>
                <w:shd w:val="clear" w:color="auto" w:fill="FFFFFF"/>
                <w:lang w:val="en-US" w:eastAsia="zh-CN"/>
              </w:rPr>
              <w:t>6</w:t>
            </w:r>
            <w:r>
              <w:rPr>
                <w:rFonts w:hint="eastAsia" w:cs="Arial" w:asciiTheme="minorEastAsia" w:hAnsiTheme="minorEastAsia"/>
                <w:sz w:val="24"/>
                <w:szCs w:val="24"/>
                <w:u w:val="single"/>
                <w:shd w:val="clear" w:color="auto" w:fill="FFFFFF"/>
              </w:rPr>
              <w:t>年上市公司集体投资者交流活动</w:t>
            </w:r>
          </w:p>
        </w:tc>
      </w:tr>
      <w:tr w14:paraId="3A41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1668" w:type="dxa"/>
            <w:vAlign w:val="center"/>
          </w:tcPr>
          <w:p w14:paraId="3682BA25">
            <w:pPr>
              <w:jc w:val="center"/>
              <w:rPr>
                <w:rFonts w:asciiTheme="minorEastAsia" w:hAnsiTheme="minorEastAsia"/>
                <w:b/>
                <w:sz w:val="24"/>
                <w:szCs w:val="24"/>
              </w:rPr>
            </w:pPr>
            <w:r>
              <w:rPr>
                <w:rFonts w:hint="eastAsia" w:asciiTheme="minorEastAsia" w:hAnsiTheme="minorEastAsia"/>
                <w:b/>
                <w:sz w:val="24"/>
                <w:szCs w:val="24"/>
              </w:rPr>
              <w:t>参与单位名称及人员姓名</w:t>
            </w:r>
          </w:p>
        </w:tc>
        <w:tc>
          <w:tcPr>
            <w:tcW w:w="6854" w:type="dxa"/>
            <w:vAlign w:val="center"/>
          </w:tcPr>
          <w:p w14:paraId="2A806820">
            <w:pPr>
              <w:rPr>
                <w:rFonts w:hint="eastAsia" w:asciiTheme="minorEastAsia" w:hAnsiTheme="minorEastAsia"/>
                <w:sz w:val="24"/>
                <w:szCs w:val="24"/>
                <w:lang w:val="en-US" w:eastAsia="zh-CN"/>
              </w:rPr>
            </w:pPr>
            <w:r>
              <w:rPr>
                <w:rFonts w:hint="eastAsia" w:asciiTheme="minorEastAsia" w:hAnsiTheme="minorEastAsia"/>
                <w:sz w:val="24"/>
                <w:szCs w:val="24"/>
              </w:rPr>
              <w:t xml:space="preserve">中信建投证券股份有限公司 </w:t>
            </w:r>
            <w:r>
              <w:rPr>
                <w:rFonts w:hint="eastAsia" w:asciiTheme="minorEastAsia" w:hAnsiTheme="minorEastAsia"/>
                <w:sz w:val="24"/>
                <w:szCs w:val="24"/>
                <w:lang w:val="en-US" w:eastAsia="zh-CN"/>
              </w:rPr>
              <w:t>张玉龙、</w:t>
            </w:r>
            <w:bookmarkStart w:id="0" w:name="_GoBack"/>
            <w:bookmarkEnd w:id="0"/>
            <w:r>
              <w:rPr>
                <w:rFonts w:hint="eastAsia" w:asciiTheme="minorEastAsia" w:hAnsiTheme="minorEastAsia"/>
                <w:sz w:val="24"/>
                <w:szCs w:val="24"/>
              </w:rPr>
              <w:t>籍星博</w:t>
            </w:r>
            <w:r>
              <w:rPr>
                <w:rFonts w:hint="eastAsia" w:asciiTheme="minorEastAsia" w:hAnsiTheme="minorEastAsia"/>
                <w:sz w:val="24"/>
                <w:szCs w:val="24"/>
                <w:lang w:eastAsia="zh-CN"/>
              </w:rPr>
              <w:t>、</w:t>
            </w:r>
            <w:r>
              <w:rPr>
                <w:rFonts w:hint="eastAsia" w:asciiTheme="minorEastAsia" w:hAnsiTheme="minorEastAsia"/>
                <w:sz w:val="24"/>
                <w:szCs w:val="24"/>
                <w:lang w:val="en-US" w:eastAsia="zh-CN"/>
              </w:rPr>
              <w:t xml:space="preserve">王大林   </w:t>
            </w:r>
          </w:p>
          <w:p w14:paraId="5CB9F1C6">
            <w:pPr>
              <w:rPr>
                <w:rFonts w:hint="eastAsia" w:asciiTheme="minorEastAsia" w:hAnsiTheme="minorEastAsia" w:eastAsiaTheme="minorEastAsia"/>
                <w:sz w:val="24"/>
                <w:szCs w:val="24"/>
                <w:lang w:eastAsia="zh-CN"/>
              </w:rPr>
            </w:pPr>
            <w:r>
              <w:rPr>
                <w:rFonts w:hint="eastAsia" w:asciiTheme="minorEastAsia" w:hAnsiTheme="minorEastAsia"/>
                <w:sz w:val="24"/>
                <w:szCs w:val="24"/>
              </w:rPr>
              <w:t xml:space="preserve">泓德基金管理有限公司 </w:t>
            </w:r>
            <w:r>
              <w:rPr>
                <w:rFonts w:hint="eastAsia" w:asciiTheme="minorEastAsia" w:hAnsiTheme="minorEastAsia"/>
                <w:sz w:val="24"/>
                <w:szCs w:val="24"/>
                <w:lang w:val="en-US" w:eastAsia="zh-CN"/>
              </w:rPr>
              <w:t>李昕阳</w:t>
            </w:r>
          </w:p>
          <w:p w14:paraId="754ABD52">
            <w:pPr>
              <w:rPr>
                <w:rFonts w:asciiTheme="minorEastAsia" w:hAnsiTheme="minorEastAsia"/>
                <w:sz w:val="24"/>
                <w:szCs w:val="24"/>
              </w:rPr>
            </w:pPr>
            <w:r>
              <w:rPr>
                <w:rFonts w:hint="eastAsia" w:asciiTheme="minorEastAsia" w:hAnsiTheme="minorEastAsia"/>
                <w:sz w:val="24"/>
                <w:szCs w:val="24"/>
                <w:lang w:val="en-US" w:eastAsia="zh-CN"/>
              </w:rPr>
              <w:t>北京</w:t>
            </w:r>
            <w:r>
              <w:rPr>
                <w:rFonts w:hint="eastAsia" w:asciiTheme="minorEastAsia" w:hAnsiTheme="minorEastAsia"/>
                <w:sz w:val="24"/>
                <w:szCs w:val="24"/>
              </w:rPr>
              <w:t xml:space="preserve">朗姿韩亚资产管理有限公司 </w:t>
            </w:r>
            <w:r>
              <w:rPr>
                <w:rFonts w:hint="eastAsia" w:asciiTheme="minorEastAsia" w:hAnsiTheme="minorEastAsia"/>
                <w:sz w:val="24"/>
                <w:szCs w:val="24"/>
                <w:lang w:val="en-US" w:eastAsia="zh-CN"/>
              </w:rPr>
              <w:t>杜祎、</w:t>
            </w:r>
            <w:r>
              <w:rPr>
                <w:rFonts w:hint="eastAsia" w:asciiTheme="minorEastAsia" w:hAnsiTheme="minorEastAsia"/>
                <w:sz w:val="24"/>
                <w:szCs w:val="24"/>
              </w:rPr>
              <w:t>杨妍妍</w:t>
            </w:r>
          </w:p>
          <w:p w14:paraId="059EB1D3">
            <w:pPr>
              <w:rPr>
                <w:rFonts w:hint="default" w:asciiTheme="minorEastAsia" w:hAnsiTheme="minorEastAsia"/>
                <w:sz w:val="24"/>
                <w:szCs w:val="24"/>
                <w:lang w:val="en-US" w:eastAsia="zh-CN"/>
              </w:rPr>
            </w:pPr>
            <w:r>
              <w:rPr>
                <w:rFonts w:hint="eastAsia" w:asciiTheme="minorEastAsia" w:hAnsiTheme="minorEastAsia"/>
                <w:sz w:val="24"/>
                <w:szCs w:val="24"/>
              </w:rPr>
              <w:t xml:space="preserve">中交资本控股有限公司 </w:t>
            </w:r>
            <w:r>
              <w:rPr>
                <w:rFonts w:hint="eastAsia" w:asciiTheme="minorEastAsia" w:hAnsiTheme="minorEastAsia"/>
                <w:sz w:val="24"/>
                <w:szCs w:val="24"/>
                <w:lang w:val="en-US" w:eastAsia="zh-CN"/>
              </w:rPr>
              <w:t>武猛、杨方剑、李俊泽</w:t>
            </w:r>
          </w:p>
          <w:p w14:paraId="1465AF56">
            <w:pPr>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财通证券股份有限公司</w:t>
            </w:r>
            <w:r>
              <w:rPr>
                <w:rFonts w:hint="eastAsia" w:asciiTheme="minorEastAsia" w:hAnsiTheme="minorEastAsia"/>
                <w:sz w:val="24"/>
                <w:szCs w:val="24"/>
                <w:lang w:val="en-US" w:eastAsia="zh-CN"/>
              </w:rPr>
              <w:t xml:space="preserve"> </w:t>
            </w:r>
            <w:r>
              <w:rPr>
                <w:rFonts w:hint="default" w:asciiTheme="minorEastAsia" w:hAnsiTheme="minorEastAsia"/>
                <w:sz w:val="24"/>
                <w:szCs w:val="24"/>
                <w:lang w:val="en-US" w:eastAsia="zh-CN"/>
              </w:rPr>
              <w:t>邢瀚文</w:t>
            </w:r>
          </w:p>
          <w:p w14:paraId="1EFFC646">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广东恒健资产管理有限公司 邓艳</w:t>
            </w:r>
          </w:p>
          <w:p w14:paraId="6480790C">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重庆市金科投资控股（集团）有限责任公司 张诚</w:t>
            </w:r>
          </w:p>
          <w:p w14:paraId="67CF4ED0">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经济参考报 李明</w:t>
            </w:r>
          </w:p>
        </w:tc>
      </w:tr>
      <w:tr w14:paraId="1DD8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3B4EF62A">
            <w:pPr>
              <w:jc w:val="center"/>
              <w:rPr>
                <w:rFonts w:asciiTheme="minorEastAsia" w:hAnsiTheme="minorEastAsia"/>
                <w:b/>
                <w:sz w:val="24"/>
                <w:szCs w:val="24"/>
              </w:rPr>
            </w:pPr>
            <w:r>
              <w:rPr>
                <w:rFonts w:hint="eastAsia" w:asciiTheme="minorEastAsia" w:hAnsiTheme="minorEastAsia"/>
                <w:b/>
                <w:sz w:val="24"/>
                <w:szCs w:val="24"/>
              </w:rPr>
              <w:t>时间</w:t>
            </w:r>
          </w:p>
        </w:tc>
        <w:tc>
          <w:tcPr>
            <w:tcW w:w="6854" w:type="dxa"/>
          </w:tcPr>
          <w:p w14:paraId="2D7277C2">
            <w:pPr>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02</w:t>
            </w:r>
            <w:r>
              <w:rPr>
                <w:rFonts w:hint="eastAsia" w:asciiTheme="minorEastAsia" w:hAnsiTheme="minorEastAsia"/>
                <w:sz w:val="24"/>
                <w:szCs w:val="24"/>
                <w:lang w:val="en-US" w:eastAsia="zh-CN"/>
              </w:rPr>
              <w:t>6</w:t>
            </w:r>
            <w:r>
              <w:rPr>
                <w:rFonts w:hint="eastAsia" w:asciiTheme="minorEastAsia" w:hAnsiTheme="minorEastAsia"/>
                <w:sz w:val="24"/>
                <w:szCs w:val="24"/>
              </w:rPr>
              <w:t>年</w:t>
            </w:r>
            <w:r>
              <w:rPr>
                <w:rFonts w:hint="eastAsia" w:asciiTheme="minorEastAsia" w:hAnsiTheme="minorEastAsia"/>
                <w:sz w:val="24"/>
                <w:szCs w:val="24"/>
                <w:lang w:val="en-US" w:eastAsia="zh-CN"/>
              </w:rPr>
              <w:t>9</w:t>
            </w:r>
            <w:r>
              <w:rPr>
                <w:rFonts w:hint="eastAsia" w:asciiTheme="minorEastAsia" w:hAnsiTheme="minorEastAsia"/>
                <w:sz w:val="24"/>
                <w:szCs w:val="24"/>
              </w:rPr>
              <w:t>月</w:t>
            </w:r>
            <w:r>
              <w:rPr>
                <w:rFonts w:hint="eastAsia" w:asciiTheme="minorEastAsia" w:hAnsiTheme="minorEastAsia"/>
                <w:sz w:val="24"/>
                <w:szCs w:val="24"/>
                <w:lang w:val="en-US" w:eastAsia="zh-CN"/>
              </w:rPr>
              <w:t>21</w:t>
            </w:r>
            <w:r>
              <w:rPr>
                <w:rFonts w:hint="eastAsia" w:asciiTheme="minorEastAsia" w:hAnsiTheme="minorEastAsia"/>
                <w:sz w:val="24"/>
                <w:szCs w:val="24"/>
              </w:rPr>
              <w:t>日</w:t>
            </w:r>
          </w:p>
        </w:tc>
      </w:tr>
      <w:tr w14:paraId="5A61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23E3C16">
            <w:pPr>
              <w:jc w:val="center"/>
              <w:rPr>
                <w:rFonts w:asciiTheme="minorEastAsia" w:hAnsiTheme="minorEastAsia"/>
                <w:b/>
                <w:sz w:val="24"/>
                <w:szCs w:val="24"/>
              </w:rPr>
            </w:pPr>
            <w:r>
              <w:rPr>
                <w:rFonts w:cs="Arial" w:asciiTheme="minorEastAsia" w:hAnsiTheme="minorEastAsia"/>
                <w:b/>
                <w:sz w:val="24"/>
                <w:szCs w:val="24"/>
                <w:shd w:val="clear" w:color="auto" w:fill="FFFFFF"/>
              </w:rPr>
              <w:t>地点</w:t>
            </w:r>
          </w:p>
        </w:tc>
        <w:tc>
          <w:tcPr>
            <w:tcW w:w="6854" w:type="dxa"/>
          </w:tcPr>
          <w:p w14:paraId="3954BC62">
            <w:pPr>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重庆市渝州宾馆</w:t>
            </w:r>
          </w:p>
        </w:tc>
      </w:tr>
      <w:tr w14:paraId="5129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3E7F5AF7">
            <w:pPr>
              <w:jc w:val="center"/>
              <w:rPr>
                <w:rFonts w:asciiTheme="minorEastAsia" w:hAnsiTheme="minorEastAsia"/>
                <w:b/>
                <w:sz w:val="24"/>
                <w:szCs w:val="24"/>
              </w:rPr>
            </w:pPr>
            <w:r>
              <w:rPr>
                <w:rFonts w:hint="eastAsia" w:asciiTheme="minorEastAsia" w:hAnsiTheme="minorEastAsia"/>
                <w:b/>
                <w:sz w:val="24"/>
                <w:szCs w:val="24"/>
              </w:rPr>
              <w:t>上市公司接待人员姓名</w:t>
            </w:r>
          </w:p>
        </w:tc>
        <w:tc>
          <w:tcPr>
            <w:tcW w:w="6854" w:type="dxa"/>
          </w:tcPr>
          <w:p w14:paraId="3AC93263">
            <w:pPr>
              <w:spacing w:line="360" w:lineRule="atLeast"/>
              <w:rPr>
                <w:rFonts w:hint="eastAsia" w:asciiTheme="minorEastAsia" w:hAnsiTheme="minorEastAsia"/>
                <w:sz w:val="24"/>
                <w:szCs w:val="24"/>
                <w:lang w:val="en-US" w:eastAsia="zh-CN"/>
              </w:rPr>
            </w:pPr>
            <w:r>
              <w:rPr>
                <w:rFonts w:asciiTheme="minorEastAsia" w:hAnsiTheme="minorEastAsia"/>
                <w:sz w:val="24"/>
                <w:szCs w:val="24"/>
              </w:rPr>
              <w:t>董事长</w:t>
            </w:r>
            <w:r>
              <w:rPr>
                <w:rFonts w:hint="eastAsia" w:asciiTheme="minorEastAsia" w:hAnsiTheme="minorEastAsia"/>
                <w:sz w:val="24"/>
                <w:szCs w:val="24"/>
              </w:rPr>
              <w:t>：</w:t>
            </w:r>
            <w:r>
              <w:rPr>
                <w:rFonts w:hint="eastAsia" w:asciiTheme="minorEastAsia" w:hAnsiTheme="minorEastAsia"/>
                <w:sz w:val="24"/>
                <w:szCs w:val="24"/>
                <w:lang w:val="en-US" w:eastAsia="zh-CN"/>
              </w:rPr>
              <w:t>孙君光</w:t>
            </w:r>
          </w:p>
          <w:p w14:paraId="786B9245">
            <w:pPr>
              <w:spacing w:line="360" w:lineRule="atLeast"/>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总经理：易理</w:t>
            </w:r>
          </w:p>
          <w:p w14:paraId="01D8A474">
            <w:pPr>
              <w:spacing w:line="360" w:lineRule="atLeast"/>
              <w:rPr>
                <w:rFonts w:asciiTheme="minorEastAsia" w:hAnsiTheme="minorEastAsia"/>
                <w:sz w:val="24"/>
                <w:szCs w:val="24"/>
              </w:rPr>
            </w:pPr>
            <w:r>
              <w:rPr>
                <w:rFonts w:asciiTheme="minorEastAsia" w:hAnsiTheme="minorEastAsia"/>
                <w:sz w:val="24"/>
                <w:szCs w:val="24"/>
              </w:rPr>
              <w:t>财务总监</w:t>
            </w:r>
            <w:r>
              <w:rPr>
                <w:rFonts w:hint="eastAsia" w:asciiTheme="minorEastAsia" w:hAnsiTheme="minorEastAsia"/>
                <w:sz w:val="24"/>
                <w:szCs w:val="24"/>
              </w:rPr>
              <w:t>：韩保进</w:t>
            </w:r>
          </w:p>
          <w:p w14:paraId="457C1995">
            <w:pPr>
              <w:spacing w:line="360" w:lineRule="atLeast"/>
              <w:rPr>
                <w:rFonts w:asciiTheme="minorEastAsia" w:hAnsiTheme="minorEastAsia"/>
                <w:sz w:val="24"/>
                <w:szCs w:val="24"/>
              </w:rPr>
            </w:pPr>
            <w:r>
              <w:rPr>
                <w:rFonts w:hint="eastAsia" w:asciiTheme="minorEastAsia" w:hAnsiTheme="minorEastAsia"/>
                <w:sz w:val="24"/>
                <w:szCs w:val="24"/>
                <w:lang w:val="en-US" w:eastAsia="zh-CN"/>
              </w:rPr>
              <w:t>副总经理兼</w:t>
            </w:r>
            <w:r>
              <w:rPr>
                <w:rFonts w:asciiTheme="minorEastAsia" w:hAnsiTheme="minorEastAsia"/>
                <w:sz w:val="24"/>
                <w:szCs w:val="24"/>
              </w:rPr>
              <w:t>董事会</w:t>
            </w:r>
            <w:r>
              <w:rPr>
                <w:rFonts w:hint="eastAsia" w:asciiTheme="minorEastAsia" w:hAnsiTheme="minorEastAsia"/>
                <w:sz w:val="24"/>
                <w:szCs w:val="24"/>
                <w:lang w:val="en-US" w:eastAsia="zh-CN"/>
              </w:rPr>
              <w:t>秘书</w:t>
            </w:r>
            <w:r>
              <w:rPr>
                <w:rFonts w:hint="eastAsia" w:asciiTheme="minorEastAsia" w:hAnsiTheme="minorEastAsia"/>
                <w:sz w:val="24"/>
                <w:szCs w:val="24"/>
              </w:rPr>
              <w:t xml:space="preserve">：王 </w:t>
            </w:r>
            <w:r>
              <w:rPr>
                <w:rFonts w:asciiTheme="minorEastAsia" w:hAnsiTheme="minorEastAsia"/>
                <w:sz w:val="24"/>
                <w:szCs w:val="24"/>
              </w:rPr>
              <w:t xml:space="preserve"> </w:t>
            </w:r>
            <w:r>
              <w:rPr>
                <w:rFonts w:hint="eastAsia" w:asciiTheme="minorEastAsia" w:hAnsiTheme="minorEastAsia"/>
                <w:sz w:val="24"/>
                <w:szCs w:val="24"/>
              </w:rPr>
              <w:t>柳</w:t>
            </w:r>
          </w:p>
          <w:p w14:paraId="4B360BBC">
            <w:pPr>
              <w:spacing w:line="360" w:lineRule="atLeast"/>
              <w:rPr>
                <w:rFonts w:asciiTheme="minorEastAsia" w:hAnsiTheme="minorEastAsia"/>
                <w:sz w:val="24"/>
                <w:szCs w:val="24"/>
              </w:rPr>
            </w:pPr>
            <w:r>
              <w:rPr>
                <w:rFonts w:hint="eastAsia" w:asciiTheme="minorEastAsia" w:hAnsiTheme="minorEastAsia"/>
                <w:sz w:val="24"/>
                <w:szCs w:val="24"/>
              </w:rPr>
              <w:t xml:space="preserve">证券事务代表：孙 </w:t>
            </w:r>
            <w:r>
              <w:rPr>
                <w:rFonts w:asciiTheme="minorEastAsia" w:hAnsiTheme="minorEastAsia"/>
                <w:sz w:val="24"/>
                <w:szCs w:val="24"/>
              </w:rPr>
              <w:t xml:space="preserve"> </w:t>
            </w:r>
            <w:r>
              <w:rPr>
                <w:rFonts w:hint="eastAsia" w:asciiTheme="minorEastAsia" w:hAnsiTheme="minorEastAsia"/>
                <w:sz w:val="24"/>
                <w:szCs w:val="24"/>
              </w:rPr>
              <w:t>溢</w:t>
            </w:r>
          </w:p>
        </w:tc>
      </w:tr>
      <w:tr w14:paraId="0DBC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1FE4A74D">
            <w:pPr>
              <w:jc w:val="center"/>
              <w:rPr>
                <w:rFonts w:asciiTheme="minorEastAsia" w:hAnsiTheme="minorEastAsia"/>
                <w:b/>
                <w:sz w:val="24"/>
                <w:szCs w:val="24"/>
              </w:rPr>
            </w:pPr>
            <w:r>
              <w:rPr>
                <w:rFonts w:hint="eastAsia" w:asciiTheme="minorEastAsia" w:hAnsiTheme="minorEastAsia"/>
                <w:b/>
                <w:sz w:val="24"/>
                <w:szCs w:val="24"/>
              </w:rPr>
              <w:t>投资者关系活动主要内容介绍</w:t>
            </w:r>
          </w:p>
        </w:tc>
        <w:tc>
          <w:tcPr>
            <w:tcW w:w="6854" w:type="dxa"/>
          </w:tcPr>
          <w:p w14:paraId="0677DBC8">
            <w:pPr>
              <w:spacing w:line="360" w:lineRule="auto"/>
              <w:ind w:firstLine="480" w:firstLineChars="200"/>
              <w:rPr>
                <w:rFonts w:hint="eastAsia" w:asciiTheme="minorEastAsia" w:hAnsiTheme="minorEastAsia"/>
                <w:sz w:val="24"/>
                <w:szCs w:val="21"/>
              </w:rPr>
            </w:pPr>
            <w:r>
              <w:rPr>
                <w:rFonts w:hint="eastAsia" w:asciiTheme="minorEastAsia" w:hAnsiTheme="minorEastAsia"/>
                <w:sz w:val="24"/>
                <w:szCs w:val="21"/>
              </w:rPr>
              <w:t>公司控股股东中国机械工业集团有限公司（以下简称国机集团）于20</w:t>
            </w:r>
            <w:r>
              <w:rPr>
                <w:rFonts w:hint="eastAsia" w:asciiTheme="minorEastAsia" w:hAnsiTheme="minorEastAsia"/>
                <w:sz w:val="24"/>
                <w:szCs w:val="21"/>
                <w:lang w:val="en-US" w:eastAsia="zh-CN"/>
              </w:rPr>
              <w:t>26</w:t>
            </w:r>
            <w:r>
              <w:rPr>
                <w:rFonts w:hint="eastAsia" w:asciiTheme="minorEastAsia" w:hAnsiTheme="minorEastAsia"/>
                <w:sz w:val="24"/>
                <w:szCs w:val="21"/>
              </w:rPr>
              <w:t>年</w:t>
            </w:r>
            <w:r>
              <w:rPr>
                <w:rFonts w:hint="eastAsia" w:asciiTheme="minorEastAsia" w:hAnsiTheme="minorEastAsia"/>
                <w:sz w:val="24"/>
                <w:szCs w:val="21"/>
                <w:lang w:val="en-US" w:eastAsia="zh-CN"/>
              </w:rPr>
              <w:t>9</w:t>
            </w:r>
            <w:r>
              <w:rPr>
                <w:rFonts w:hint="eastAsia" w:asciiTheme="minorEastAsia" w:hAnsiTheme="minorEastAsia"/>
                <w:sz w:val="24"/>
                <w:szCs w:val="21"/>
              </w:rPr>
              <w:t>月</w:t>
            </w:r>
            <w:r>
              <w:rPr>
                <w:rFonts w:hint="eastAsia" w:asciiTheme="minorEastAsia" w:hAnsiTheme="minorEastAsia"/>
                <w:sz w:val="24"/>
                <w:szCs w:val="21"/>
                <w:lang w:val="en-US" w:eastAsia="zh-CN"/>
              </w:rPr>
              <w:t>21</w:t>
            </w:r>
            <w:r>
              <w:rPr>
                <w:rFonts w:hint="eastAsia" w:asciiTheme="minorEastAsia" w:hAnsiTheme="minorEastAsia"/>
                <w:sz w:val="24"/>
                <w:szCs w:val="21"/>
              </w:rPr>
              <w:t>日举办以“锻造所长 共创价值”为主题的国机集团202</w:t>
            </w:r>
            <w:r>
              <w:rPr>
                <w:rFonts w:hint="eastAsia" w:asciiTheme="minorEastAsia" w:hAnsiTheme="minorEastAsia"/>
                <w:sz w:val="24"/>
                <w:szCs w:val="21"/>
                <w:lang w:val="en-US" w:eastAsia="zh-CN"/>
              </w:rPr>
              <w:t>6</w:t>
            </w:r>
            <w:r>
              <w:rPr>
                <w:rFonts w:hint="eastAsia" w:asciiTheme="minorEastAsia" w:hAnsiTheme="minorEastAsia"/>
                <w:sz w:val="24"/>
                <w:szCs w:val="21"/>
              </w:rPr>
              <w:t>年上市公司集体投资者交流活动。</w:t>
            </w:r>
          </w:p>
          <w:p w14:paraId="71B4A8FD">
            <w:pPr>
              <w:spacing w:line="360" w:lineRule="auto"/>
              <w:ind w:firstLine="480" w:firstLineChars="200"/>
              <w:rPr>
                <w:rFonts w:hint="eastAsia" w:asciiTheme="minorEastAsia" w:hAnsiTheme="minorEastAsia"/>
                <w:sz w:val="24"/>
                <w:szCs w:val="21"/>
              </w:rPr>
            </w:pPr>
          </w:p>
          <w:p w14:paraId="7A317574">
            <w:pPr>
              <w:spacing w:line="360" w:lineRule="auto"/>
              <w:ind w:firstLine="482" w:firstLineChars="200"/>
              <w:rPr>
                <w:rFonts w:asciiTheme="minorEastAsia" w:hAnsiTheme="minorEastAsia"/>
                <w:b/>
                <w:sz w:val="24"/>
                <w:szCs w:val="21"/>
              </w:rPr>
            </w:pPr>
            <w:r>
              <w:rPr>
                <w:rFonts w:hint="eastAsia" w:asciiTheme="minorEastAsia" w:hAnsiTheme="minorEastAsia"/>
                <w:b/>
                <w:sz w:val="24"/>
                <w:szCs w:val="21"/>
              </w:rPr>
              <w:t>问题1：2026年上半年，公司实现营业收入24.81亿元，同比增长6.54%，经营业绩整体呈现“稳中向好”的良好态势。能否介绍四大业务板块各自的经营表现，以及公司在其他层面取得的进展？</w:t>
            </w:r>
          </w:p>
          <w:p w14:paraId="529DA02D">
            <w:pPr>
              <w:spacing w:line="360" w:lineRule="auto"/>
              <w:ind w:firstLine="424" w:firstLineChars="177"/>
              <w:rPr>
                <w:rFonts w:hint="eastAsia" w:asciiTheme="minorEastAsia" w:hAnsiTheme="minorEastAsia"/>
                <w:b w:val="0"/>
                <w:bCs/>
                <w:sz w:val="24"/>
                <w:szCs w:val="21"/>
                <w:u w:val="none"/>
              </w:rPr>
            </w:pPr>
            <w:r>
              <w:rPr>
                <w:rFonts w:asciiTheme="minorEastAsia" w:hAnsiTheme="minorEastAsia"/>
                <w:sz w:val="24"/>
                <w:szCs w:val="21"/>
              </w:rPr>
              <w:t>答</w:t>
            </w:r>
            <w:r>
              <w:rPr>
                <w:rFonts w:hint="eastAsia" w:asciiTheme="minorEastAsia" w:hAnsiTheme="minorEastAsia"/>
                <w:sz w:val="24"/>
                <w:szCs w:val="21"/>
              </w:rPr>
              <w:t>：</w:t>
            </w:r>
            <w:r>
              <w:rPr>
                <w:rFonts w:hint="eastAsia" w:asciiTheme="minorEastAsia" w:hAnsiTheme="minorEastAsia"/>
                <w:b w:val="0"/>
                <w:bCs/>
                <w:sz w:val="24"/>
                <w:szCs w:val="21"/>
                <w:u w:val="none"/>
              </w:rPr>
              <w:t>2026年上半年，公司紧紧围绕年度战略规划及核心经营目标，坚持稳健经营、创新驱动、提质增效，各项经营工作有序落地。质量技术服务业务受益于新能源、智能网联汽车等战新产业产能释放和标准换版、产业技术升级驱动，营收、利润稳步改善，公司持续补强国内外核心资质能力，提升国际合规服务能力，针对智能家居、新能源、智能网联汽车等战略新兴领域，落地多个实验室，并纵深推进管理升级，通过数智化升级与合规管理优化实现业务扩张与合规提质双向并行。电气装备业务经营表现稳健，在新能源电池生产检测装备领域，公司持续深耕锂电后段市场，在稳固与核心客户合作关系的基础上，积极拓展新客户，在大电芯和圆柱电芯领域取得突破；励磁装备业务持续巩固行业优势地位，常规水电、抽蓄电站市场保持较高市占率与中标率，同时加码布局大火电及其它细分市场；工业电源业务坚持差异化竞争策略，持续夯实核心技术底盘、丰富产品矩阵，正在开发微波电源等新产品。成套装备业务营收利润同比增长，持续优化海外区域与市场结构，国内立足家电制造领域；试验装备业务有序推进，其中汽车热管理业务稳步发展，数据中心热管理试验室业务拓展取得实质进展；持续加大研发投入，在试验室数字化智能改造、低碳节能技术研发层面取得阶段性技术成果，同时通过精益管理与数字化管控缓解市场竞争、地缘因素带来的经营压力。环保涂料及树脂业务产销、营收持续增长，公司依托产品结构优化、定价调整及战略备货对冲原材料成本压力，实现利润同比提升，聚焦新能源汽车、储能等重点业务领域推进功能性产品迭代，国内外市场持续拓展。</w:t>
            </w:r>
          </w:p>
          <w:p w14:paraId="568D8FFC">
            <w:pPr>
              <w:spacing w:line="360" w:lineRule="auto"/>
              <w:ind w:firstLine="424" w:firstLineChars="177"/>
              <w:rPr>
                <w:rFonts w:hint="eastAsia" w:asciiTheme="minorEastAsia" w:hAnsiTheme="minorEastAsia"/>
                <w:b w:val="0"/>
                <w:bCs/>
                <w:sz w:val="24"/>
                <w:szCs w:val="21"/>
                <w:u w:val="none"/>
              </w:rPr>
            </w:pPr>
            <w:r>
              <w:rPr>
                <w:rFonts w:hint="eastAsia" w:asciiTheme="minorEastAsia" w:hAnsiTheme="minorEastAsia"/>
                <w:b w:val="0"/>
                <w:bCs/>
                <w:sz w:val="24"/>
                <w:szCs w:val="21"/>
                <w:u w:val="none"/>
              </w:rPr>
              <w:t>除经营业绩稳步提升外，2026年上半年公司在其他多个维度也取得了实质性进展：第一，科技创新平台建设持续推进。公司获批筹建智能家电国家质量标准实验室，建设的服务机器人中试平台成功入选工信部第二批重点培育中试平台名单。第二，标准制修订成果丰硕。标准化是公司最突出的技术优势之一，公司长期深耕国际标准制修订，2026年上半年，主持和主要参与制修订并发布的国际、国家、行业、团体标准31项，其中国际标准4项，国家标准21项，行业标准2项，团体标准4项，彰显了公司在标准化领域的实力。第三，新业务新领域拓展持续落地。公司在深耕优势主业的同时，紧跟产业新技术、新应用、新模式，不断加速向高端客户、新领域、高附加值业务拓展。质量技术服务板块，2026年公司新增希音、亚马逊等电商平台采信；电气装备板块，中标大电芯和圆柱电芯领域的多个项目，在业内率先交付了1500A级超大电流化成分容设备，开展电力电子变压器等新产品的开发。成套装备板块，汽车热管理业务稳步拓展，数据中心热管理业务取得实效；环保涂料板块，持续拓展新能源汽车、绝缘储能、卷材等重点业务；国际市场开拓取得显著效果。第四，行业影响力持续提升。公司的核心能力和产品持续获得来自政府、细分行业头部客户的认可。2026年，公司陆续与埃及、摩洛哥等政府组织、与中船、南网等企业签订战略合作协议，行业认可度与影响力不断增强。第五，业务布局不断优化。公司持续优化在全国的网络布局，加速本地化运营。目前，公司在广州、东莞、苏州等地的新基地正在全力加快建设，将为各板块“十五五”的发展奠定坚实的基础。</w:t>
            </w:r>
          </w:p>
          <w:p w14:paraId="615CE57A">
            <w:pPr>
              <w:spacing w:line="360" w:lineRule="auto"/>
              <w:ind w:firstLine="424" w:firstLineChars="177"/>
              <w:rPr>
                <w:rFonts w:hint="eastAsia" w:asciiTheme="minorEastAsia" w:hAnsiTheme="minorEastAsia"/>
                <w:sz w:val="24"/>
                <w:szCs w:val="21"/>
              </w:rPr>
            </w:pPr>
          </w:p>
          <w:p w14:paraId="61039673">
            <w:pPr>
              <w:spacing w:line="360" w:lineRule="auto"/>
              <w:ind w:firstLine="482" w:firstLineChars="200"/>
              <w:rPr>
                <w:rFonts w:hint="eastAsia" w:asciiTheme="minorEastAsia" w:hAnsiTheme="minorEastAsia"/>
                <w:b/>
                <w:sz w:val="24"/>
                <w:szCs w:val="21"/>
              </w:rPr>
            </w:pPr>
            <w:r>
              <w:rPr>
                <w:rFonts w:hint="eastAsia" w:asciiTheme="minorEastAsia" w:hAnsiTheme="minorEastAsia"/>
                <w:b/>
                <w:sz w:val="24"/>
                <w:szCs w:val="21"/>
              </w:rPr>
              <w:t>问题2：比较关注公司在固态电池领域的技术和业务布局，请问公司在固态电池领域有哪些业务布局？</w:t>
            </w:r>
          </w:p>
          <w:p w14:paraId="3E14A761">
            <w:pPr>
              <w:spacing w:line="360" w:lineRule="auto"/>
              <w:ind w:firstLine="480" w:firstLineChars="200"/>
              <w:rPr>
                <w:rFonts w:hint="eastAsia" w:asciiTheme="minorEastAsia" w:hAnsiTheme="minorEastAsia"/>
                <w:sz w:val="24"/>
                <w:szCs w:val="21"/>
              </w:rPr>
            </w:pPr>
            <w:r>
              <w:rPr>
                <w:rFonts w:asciiTheme="minorEastAsia" w:hAnsiTheme="minorEastAsia"/>
                <w:sz w:val="24"/>
                <w:szCs w:val="21"/>
              </w:rPr>
              <w:t>答</w:t>
            </w:r>
            <w:r>
              <w:rPr>
                <w:rFonts w:hint="eastAsia" w:asciiTheme="minorEastAsia" w:hAnsiTheme="minorEastAsia"/>
                <w:sz w:val="24"/>
                <w:szCs w:val="21"/>
              </w:rPr>
              <w:t>：公司的新能源电池生产检测装备可应用于固态电池的生产，并已获得多家客户固态电池试验产线项目并成功投入运行。公司旗下CVC威凯可以为合作伙伴提供覆盖电子产品用锂离子电池、移动电源、动力电池、储能电池等电池产品的认证检测、研发测试等完整的质量技术服务，亦可为客户提供半固态、固态电池相关的性能、安全与环境可靠性测试、国内外认证、失效分析等服务。公司的阻燃粉末材料具有优异的绝缘和防腐性能，阻燃等级可达到UL V0级，产品获得了UL认证，并已在国内电池产业链相关产品上应用，产品也可应用于固态电池产业链，如电池液冷板、底护板、电池模组连接件等。谢谢！</w:t>
            </w:r>
          </w:p>
          <w:p w14:paraId="23DD0A7F">
            <w:pPr>
              <w:spacing w:line="360" w:lineRule="auto"/>
              <w:ind w:firstLine="480" w:firstLineChars="200"/>
              <w:rPr>
                <w:rFonts w:hint="eastAsia" w:asciiTheme="minorEastAsia" w:hAnsiTheme="minorEastAsia"/>
                <w:sz w:val="24"/>
                <w:szCs w:val="21"/>
              </w:rPr>
            </w:pPr>
          </w:p>
          <w:p w14:paraId="64BE3766">
            <w:pPr>
              <w:spacing w:line="360" w:lineRule="auto"/>
              <w:ind w:firstLine="482" w:firstLineChars="200"/>
              <w:rPr>
                <w:rFonts w:hint="eastAsia" w:asciiTheme="minorEastAsia" w:hAnsiTheme="minorEastAsia"/>
                <w:b/>
                <w:sz w:val="24"/>
                <w:szCs w:val="21"/>
              </w:rPr>
            </w:pPr>
            <w:r>
              <w:rPr>
                <w:rFonts w:hint="eastAsia" w:asciiTheme="minorEastAsia" w:hAnsiTheme="minorEastAsia"/>
                <w:b/>
                <w:sz w:val="24"/>
                <w:szCs w:val="21"/>
              </w:rPr>
              <w:t>问题3：当前正值 "十五五" 开局之年，请问公司对 "十五五" 期间的整体发展有怎样的战略规划？重点布局哪些业务方向，有没有相应的发展目标？</w:t>
            </w:r>
          </w:p>
          <w:p w14:paraId="676E7C50">
            <w:pPr>
              <w:spacing w:line="360" w:lineRule="auto"/>
              <w:ind w:firstLine="480" w:firstLineChars="200"/>
              <w:rPr>
                <w:rFonts w:hint="eastAsia" w:asciiTheme="minorEastAsia" w:hAnsiTheme="minorEastAsia"/>
                <w:sz w:val="24"/>
                <w:szCs w:val="21"/>
              </w:rPr>
            </w:pPr>
            <w:r>
              <w:rPr>
                <w:rFonts w:asciiTheme="minorEastAsia" w:hAnsiTheme="minorEastAsia"/>
                <w:sz w:val="24"/>
                <w:szCs w:val="21"/>
              </w:rPr>
              <w:t>答</w:t>
            </w:r>
            <w:r>
              <w:rPr>
                <w:rFonts w:hint="eastAsia" w:asciiTheme="minorEastAsia" w:hAnsiTheme="minorEastAsia"/>
                <w:sz w:val="24"/>
                <w:szCs w:val="21"/>
              </w:rPr>
              <w:t>：面向“十五五”，公司将坚持“1234”的整体发展战略，即：坚持“增强核心功能，提升核心竞争力”这“1”根本遵循，沿着技术链和市场链“2”链拓展新业务，锚定智能化、绿色化、融合化“3”个方向发展主业，推动科技创新、产业能级、国际化经营、数智化转型实现“4”个跃升。公司将进一步促进质量技术服务与电气装备、成套装备和环保涂料及树脂实现深度融合，围绕智能家居、新能源、智能汽车三大产业构建整体解决方案，不断夯实传统优势业务的护城河，扩大业务规模。在低空经济、服务机器人、人工智能、新材料、海工装备等战略性新兴产业形成较强核心竞争力，开辟第二增长曲线，培育新质生产力。同时，前瞻布局氢能和核聚变能、具身智能、第六代移动通信等未来产业。谢谢！</w:t>
            </w:r>
          </w:p>
          <w:p w14:paraId="080DD485">
            <w:pPr>
              <w:spacing w:line="360" w:lineRule="auto"/>
              <w:ind w:firstLine="480" w:firstLineChars="200"/>
              <w:rPr>
                <w:rFonts w:hint="eastAsia" w:asciiTheme="minorEastAsia" w:hAnsiTheme="minorEastAsia"/>
                <w:sz w:val="24"/>
                <w:szCs w:val="21"/>
              </w:rPr>
            </w:pPr>
          </w:p>
          <w:p w14:paraId="14A5CB15">
            <w:pPr>
              <w:spacing w:line="360" w:lineRule="auto"/>
              <w:ind w:firstLine="482" w:firstLineChars="200"/>
              <w:rPr>
                <w:rFonts w:hint="eastAsia" w:asciiTheme="minorEastAsia" w:hAnsiTheme="minorEastAsia"/>
                <w:b/>
                <w:sz w:val="24"/>
                <w:szCs w:val="21"/>
              </w:rPr>
            </w:pPr>
            <w:r>
              <w:rPr>
                <w:rFonts w:hint="eastAsia" w:asciiTheme="minorEastAsia" w:hAnsiTheme="minorEastAsia"/>
                <w:b/>
                <w:sz w:val="24"/>
                <w:szCs w:val="21"/>
              </w:rPr>
              <w:t>问题4：上市之后公司持续加大研发投入，2026上半年研发费用2.15亿元，同比增长18.13%，请问公司研发资源重点投向哪些领域？截至2026年上半年，公司公司累计发明专利已达483件，主要覆盖哪些业务板块？2026年下半年，公司科技创新计划如何开展，夯实科技支撑？</w:t>
            </w:r>
          </w:p>
          <w:p w14:paraId="08C4B2E4">
            <w:pPr>
              <w:spacing w:line="360" w:lineRule="auto"/>
              <w:ind w:firstLine="480" w:firstLineChars="200"/>
              <w:rPr>
                <w:rFonts w:hint="eastAsia" w:asciiTheme="minorEastAsia" w:hAnsiTheme="minorEastAsia"/>
                <w:sz w:val="24"/>
                <w:szCs w:val="21"/>
              </w:rPr>
            </w:pPr>
            <w:r>
              <w:rPr>
                <w:rFonts w:asciiTheme="minorEastAsia" w:hAnsiTheme="minorEastAsia"/>
                <w:sz w:val="24"/>
                <w:szCs w:val="21"/>
              </w:rPr>
              <w:t>答</w:t>
            </w:r>
            <w:r>
              <w:rPr>
                <w:rFonts w:hint="eastAsia" w:asciiTheme="minorEastAsia" w:hAnsiTheme="minorEastAsia"/>
                <w:sz w:val="24"/>
                <w:szCs w:val="21"/>
              </w:rPr>
              <w:t>：公司持续加强科技研发投入，夯实硬科技核心竞争力。研发资源重点投向具备中长期成长空间的赛道，围绕主业延伸前沿技术攻关：包括战略新兴产业检测认证技术、智能电器质量安全与可靠性技术、工业产品/高原环境电器可靠性关键技术、智能检测装备、新型电力装备、储能与固态电池相关技术、绿色低碳环保新材料等。</w:t>
            </w:r>
          </w:p>
          <w:p w14:paraId="3547699B">
            <w:pPr>
              <w:spacing w:line="360" w:lineRule="auto"/>
              <w:ind w:firstLine="480" w:firstLineChars="200"/>
              <w:rPr>
                <w:rFonts w:hint="eastAsia" w:asciiTheme="minorEastAsia" w:hAnsiTheme="minorEastAsia"/>
                <w:sz w:val="24"/>
                <w:szCs w:val="21"/>
              </w:rPr>
            </w:pPr>
            <w:r>
              <w:rPr>
                <w:rFonts w:hint="eastAsia" w:asciiTheme="minorEastAsia" w:hAnsiTheme="minorEastAsia"/>
                <w:sz w:val="24"/>
                <w:szCs w:val="21"/>
              </w:rPr>
              <w:t>公司的发明专利围绕主营业务布局，聚焦产业技术基础、高端装备、智能制造、先进材料等关键领域，包括：一是产业技术基础领域。布局围绕国家质量基础（NQI）技术能力构建，重点覆盖标准化、计量测试、检验检测、认证技术等方向。核心知识产权聚焦“极端环境多因素长时耦合作用机制”等关键技术。二是高端装备领域。布局以电能转换核心技术为核心，重点突破新型电力系统、新能源储能、大功率工业电源等领域技术瓶颈。核心知识产权包括高效低碳串联化成分容技术、大型同步电机励磁技术等。三是智能制造领域。布局围绕智能制造系统解决方案，重点覆盖在工业设计、高精度运动控制、智能成型、智能检测、智能涂装、机器人柔性装配、制造运营管控、立体仓储等家电制造领域核心技术以及智能生产线、数字化车间系统集成技术。四是先进材料领域。聚焦高性能环保涂料及关键树脂材料研发，核心知识产权涵盖电池用绝缘粉末涂料、高速预涂卷材用粉末涂料、低VOC环保树脂等方向。</w:t>
            </w:r>
          </w:p>
          <w:p w14:paraId="23A96F97">
            <w:pPr>
              <w:spacing w:line="360" w:lineRule="auto"/>
              <w:ind w:firstLine="480" w:firstLineChars="200"/>
              <w:rPr>
                <w:rFonts w:hint="eastAsia" w:asciiTheme="minorEastAsia" w:hAnsiTheme="minorEastAsia"/>
                <w:sz w:val="24"/>
                <w:szCs w:val="21"/>
              </w:rPr>
            </w:pPr>
            <w:r>
              <w:rPr>
                <w:rFonts w:hint="eastAsia" w:asciiTheme="minorEastAsia" w:hAnsiTheme="minorEastAsia"/>
                <w:sz w:val="24"/>
                <w:szCs w:val="21"/>
              </w:rPr>
              <w:t>2026年下半年，公司仍将围绕年初既定的五大方面的具体举措开展科技创新工作，具体如下：第一，推进规划落地。我们将扎实推进“十五五”科技发展规划落地实施，稳步推进各项战略举措落地见效，并强化对战略执行情况的成效评估，确保创新方向与国家战略、行业趋势和公司主业发展契合。第二，持续加强研发投入与资源配置。我们将聚焦前沿技术突破、核心新产品研发精准布局，稳固并提升核心技术领跑优势；持续优化专利、软著等知识产权结构布局，深化知识产权全流程管理，以高价值科创成果为公司发展注入强劲动能。第三，夯实技术支撑。依托</w:t>
            </w:r>
            <w:r>
              <w:rPr>
                <w:rFonts w:hint="eastAsia" w:asciiTheme="minorEastAsia" w:hAnsiTheme="minorEastAsia"/>
                <w:sz w:val="24"/>
                <w:szCs w:val="21"/>
                <w:lang w:val="en-US" w:eastAsia="zh-CN"/>
              </w:rPr>
              <w:t>公司现有的</w:t>
            </w:r>
            <w:r>
              <w:rPr>
                <w:rFonts w:hint="eastAsia" w:asciiTheme="minorEastAsia" w:hAnsiTheme="minorEastAsia"/>
                <w:sz w:val="24"/>
                <w:szCs w:val="21"/>
              </w:rPr>
              <w:t>高水平科研载体优势，我们将主动对接国家及地方科技攻关任务，积极承担各级政府重大科研项目；以重大科研项目为牵引，锤炼核心技术硬实力，全面升级产业技术基础、高端装备、智能制造、先进材料等方向核心研发能力，赋能智能家居、智能汽车、新能源等重点赛道提质增效，以人工智能技术助力研发效能提质增效，全方位强化产业技术支撑与服务保障效能。第四，升级平台效能。我们将聚焦科研平台效能升级，构建层级清晰、功能互补的科研平台矩阵，加快推进重点平台项目落地见效，为技术研发、成果应用转化等方面提供坚实的保障支撑。第五，建强人才梯队。我们将聚力打造高素质创新人才队伍，加大核心技术人才培育与青年人才储备力度，健全多元化、多层次的创新激励考核机制，充分调动科研人员创新积极性；坚持引才、育才、留才多措并举，吸纳并培养高精尖紧缺核心人才，筑牢公司科技创新发展的人才根基。谢谢！</w:t>
            </w:r>
          </w:p>
          <w:p w14:paraId="537B0761">
            <w:pPr>
              <w:tabs>
                <w:tab w:val="left" w:pos="2894"/>
              </w:tabs>
              <w:spacing w:line="360" w:lineRule="auto"/>
              <w:ind w:firstLine="480" w:firstLineChars="200"/>
              <w:rPr>
                <w:rFonts w:hint="eastAsia" w:asciiTheme="minorEastAsia" w:hAnsiTheme="minorEastAsia" w:eastAsiaTheme="minorEastAsia"/>
                <w:sz w:val="24"/>
                <w:szCs w:val="21"/>
                <w:lang w:eastAsia="zh-CN"/>
              </w:rPr>
            </w:pPr>
            <w:r>
              <w:rPr>
                <w:rFonts w:hint="eastAsia" w:asciiTheme="minorEastAsia" w:hAnsiTheme="minorEastAsia"/>
                <w:sz w:val="24"/>
                <w:szCs w:val="21"/>
                <w:lang w:eastAsia="zh-CN"/>
              </w:rPr>
              <w:tab/>
            </w:r>
          </w:p>
          <w:p w14:paraId="1B4CB2C1">
            <w:pPr>
              <w:spacing w:line="360" w:lineRule="auto"/>
              <w:ind w:firstLine="482" w:firstLineChars="200"/>
              <w:rPr>
                <w:rFonts w:hint="eastAsia" w:asciiTheme="minorEastAsia" w:hAnsiTheme="minorEastAsia"/>
                <w:b/>
                <w:sz w:val="24"/>
                <w:szCs w:val="21"/>
              </w:rPr>
            </w:pPr>
            <w:r>
              <w:rPr>
                <w:rFonts w:hint="eastAsia" w:asciiTheme="minorEastAsia" w:hAnsiTheme="minorEastAsia"/>
                <w:b/>
                <w:sz w:val="24"/>
                <w:szCs w:val="21"/>
              </w:rPr>
              <w:t>问题5：公司上市以来一直坚持稳定的现金分红，请问公司现金分红是否会保持稳定？在制定分红方案时主要考虑哪些因素？公司将如何平衡分红与研发、产能投入？</w:t>
            </w:r>
          </w:p>
          <w:p w14:paraId="4529A983">
            <w:pPr>
              <w:spacing w:line="360" w:lineRule="auto"/>
              <w:ind w:firstLine="480" w:firstLineChars="200"/>
              <w:rPr>
                <w:rFonts w:hint="eastAsia" w:asciiTheme="minorEastAsia" w:hAnsiTheme="minorEastAsia"/>
                <w:sz w:val="24"/>
                <w:szCs w:val="21"/>
              </w:rPr>
            </w:pPr>
            <w:r>
              <w:rPr>
                <w:rFonts w:asciiTheme="minorEastAsia" w:hAnsiTheme="minorEastAsia"/>
                <w:sz w:val="24"/>
                <w:szCs w:val="21"/>
              </w:rPr>
              <w:t>答</w:t>
            </w:r>
            <w:r>
              <w:rPr>
                <w:rFonts w:hint="eastAsia" w:asciiTheme="minorEastAsia" w:hAnsiTheme="minorEastAsia"/>
                <w:sz w:val="24"/>
                <w:szCs w:val="21"/>
              </w:rPr>
              <w:t>：公司一直高度重视股东回报。在分红连续性方面，公司自上市以来，始终保持稳定的现金分红。自2019年上市以来，公司已经累计派发现金分红总额约12.5亿元，超过首次公开发行募集资金总额。此外，公司已连续两年实施中期现金分红，增加分红频次，提升投资者的获得感。后续公司将严格遵循公司章程和相关监管要求，在保障日常经营稳健运转和公司长远发展的基础上，维持分红的连续性、稳定性和可预期性，持续给投资者带来稳健的回报。</w:t>
            </w:r>
          </w:p>
          <w:p w14:paraId="37749B6B">
            <w:pPr>
              <w:spacing w:line="360" w:lineRule="auto"/>
              <w:ind w:firstLine="480" w:firstLineChars="200"/>
              <w:rPr>
                <w:rFonts w:hint="eastAsia" w:asciiTheme="minorEastAsia" w:hAnsiTheme="minorEastAsia"/>
                <w:sz w:val="24"/>
                <w:szCs w:val="21"/>
              </w:rPr>
            </w:pPr>
            <w:r>
              <w:rPr>
                <w:rFonts w:hint="eastAsia" w:asciiTheme="minorEastAsia" w:hAnsiTheme="minorEastAsia"/>
                <w:sz w:val="24"/>
                <w:szCs w:val="21"/>
              </w:rPr>
              <w:t>在分红与研发、产能投入的平衡上，公司依托稳健充裕的经营性现金流，具备同时支撑股东分红与战略投入的坚实基础。我们始终认为，持续的研发创新、产能及业务布局升级是巩固公司核心竞争力、支撑中长期业绩成长的关键。公司将统筹资金运用，优化资源配置，在稳定回馈股东的同时，优先确保研发攻关、主业提质、产能落地等重点投入，兼顾当期股东回报与企业长远布局。能否把分红和各项投入的关系处理好，取决于公司经营质效和内生造血能力。公司将持续深耕四大核心主业，聚焦提质增效、精益管理，不断调优业务构成，推动盈利能力稳步走强。随着经营底盘越发稳固，公司资金储备与可支配空间将进一步拓宽，既能维持分红安排长期平稳落地，也能为科技创新、产能建设和市场开拓留出充分空间，最终实现公司高质量发展与股东价值持续增长的有机统一。谢谢！</w:t>
            </w:r>
          </w:p>
          <w:p w14:paraId="3219C63D">
            <w:pPr>
              <w:spacing w:line="360" w:lineRule="auto"/>
              <w:ind w:firstLine="480" w:firstLineChars="200"/>
              <w:rPr>
                <w:rFonts w:hint="eastAsia" w:asciiTheme="minorEastAsia" w:hAnsiTheme="minorEastAsia"/>
                <w:sz w:val="24"/>
                <w:szCs w:val="21"/>
              </w:rPr>
            </w:pPr>
          </w:p>
          <w:p w14:paraId="2506A3E4">
            <w:pPr>
              <w:rPr>
                <w:rFonts w:asciiTheme="minorEastAsia" w:hAnsiTheme="minorEastAsia"/>
                <w:sz w:val="24"/>
                <w:szCs w:val="21"/>
              </w:rPr>
            </w:pPr>
          </w:p>
        </w:tc>
      </w:tr>
      <w:tr w14:paraId="111C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6CA50ED9">
            <w:pPr>
              <w:jc w:val="center"/>
              <w:rPr>
                <w:rFonts w:asciiTheme="minorEastAsia" w:hAnsiTheme="minorEastAsia"/>
                <w:b/>
                <w:sz w:val="24"/>
                <w:szCs w:val="24"/>
              </w:rPr>
            </w:pPr>
            <w:r>
              <w:rPr>
                <w:rFonts w:hint="eastAsia" w:asciiTheme="minorEastAsia" w:hAnsiTheme="minorEastAsia"/>
                <w:b/>
                <w:sz w:val="24"/>
                <w:szCs w:val="24"/>
              </w:rPr>
              <w:t>附件清单</w:t>
            </w:r>
          </w:p>
          <w:p w14:paraId="68330BBD">
            <w:pPr>
              <w:jc w:val="center"/>
              <w:rPr>
                <w:rFonts w:asciiTheme="minorEastAsia" w:hAnsiTheme="minorEastAsia"/>
                <w:b/>
                <w:sz w:val="24"/>
                <w:szCs w:val="24"/>
              </w:rPr>
            </w:pPr>
            <w:r>
              <w:rPr>
                <w:rFonts w:hint="eastAsia" w:asciiTheme="minorEastAsia" w:hAnsiTheme="minorEastAsia"/>
                <w:b/>
                <w:sz w:val="24"/>
                <w:szCs w:val="24"/>
              </w:rPr>
              <w:t>（如有）</w:t>
            </w:r>
          </w:p>
        </w:tc>
        <w:tc>
          <w:tcPr>
            <w:tcW w:w="6854" w:type="dxa"/>
          </w:tcPr>
          <w:p w14:paraId="02FA0D28">
            <w:pPr>
              <w:pStyle w:val="13"/>
              <w:spacing w:line="360" w:lineRule="exact"/>
              <w:ind w:firstLine="0" w:firstLineChars="0"/>
              <w:rPr>
                <w:rFonts w:asciiTheme="minorEastAsia" w:hAnsiTheme="minorEastAsia"/>
                <w:b/>
                <w:sz w:val="24"/>
                <w:szCs w:val="21"/>
              </w:rPr>
            </w:pPr>
            <w:r>
              <w:rPr>
                <w:rFonts w:hint="eastAsia" w:asciiTheme="minorEastAsia" w:hAnsiTheme="minorEastAsia"/>
                <w:b/>
                <w:sz w:val="24"/>
                <w:szCs w:val="21"/>
              </w:rPr>
              <w:t>无</w:t>
            </w:r>
          </w:p>
        </w:tc>
      </w:tr>
      <w:tr w14:paraId="3907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1697EA79">
            <w:pPr>
              <w:jc w:val="center"/>
              <w:rPr>
                <w:rFonts w:asciiTheme="minorEastAsia" w:hAnsiTheme="minorEastAsia"/>
                <w:b/>
                <w:sz w:val="24"/>
                <w:szCs w:val="24"/>
              </w:rPr>
            </w:pPr>
            <w:r>
              <w:rPr>
                <w:rFonts w:hint="eastAsia" w:asciiTheme="minorEastAsia" w:hAnsiTheme="minorEastAsia"/>
                <w:b/>
                <w:sz w:val="24"/>
                <w:szCs w:val="24"/>
              </w:rPr>
              <w:t>日期</w:t>
            </w:r>
          </w:p>
        </w:tc>
        <w:tc>
          <w:tcPr>
            <w:tcW w:w="6854" w:type="dxa"/>
          </w:tcPr>
          <w:p w14:paraId="1DA9ADF6">
            <w:pPr>
              <w:rPr>
                <w:rFonts w:asciiTheme="minorEastAsia" w:hAnsiTheme="minorEastAsia"/>
                <w:b/>
                <w:sz w:val="24"/>
                <w:szCs w:val="21"/>
              </w:rPr>
            </w:pPr>
            <w:r>
              <w:rPr>
                <w:rFonts w:hint="eastAsia" w:asciiTheme="minorEastAsia" w:hAnsiTheme="minorEastAsia"/>
                <w:b/>
                <w:sz w:val="24"/>
                <w:szCs w:val="21"/>
              </w:rPr>
              <w:t>2</w:t>
            </w:r>
            <w:r>
              <w:rPr>
                <w:rFonts w:asciiTheme="minorEastAsia" w:hAnsiTheme="minorEastAsia"/>
                <w:b/>
                <w:sz w:val="24"/>
                <w:szCs w:val="21"/>
              </w:rPr>
              <w:t>02</w:t>
            </w:r>
            <w:r>
              <w:rPr>
                <w:rFonts w:hint="eastAsia" w:asciiTheme="minorEastAsia" w:hAnsiTheme="minorEastAsia"/>
                <w:b/>
                <w:sz w:val="24"/>
                <w:szCs w:val="21"/>
                <w:lang w:val="en-US" w:eastAsia="zh-CN"/>
              </w:rPr>
              <w:t>6</w:t>
            </w:r>
            <w:r>
              <w:rPr>
                <w:rFonts w:hint="eastAsia" w:asciiTheme="minorEastAsia" w:hAnsiTheme="minorEastAsia"/>
                <w:b/>
                <w:sz w:val="24"/>
                <w:szCs w:val="21"/>
              </w:rPr>
              <w:t>年</w:t>
            </w:r>
            <w:r>
              <w:rPr>
                <w:rFonts w:hint="eastAsia" w:asciiTheme="minorEastAsia" w:hAnsiTheme="minorEastAsia"/>
                <w:b/>
                <w:sz w:val="24"/>
                <w:szCs w:val="21"/>
                <w:lang w:val="en-US" w:eastAsia="zh-CN"/>
              </w:rPr>
              <w:t>9</w:t>
            </w:r>
            <w:r>
              <w:rPr>
                <w:rFonts w:hint="eastAsia" w:asciiTheme="minorEastAsia" w:hAnsiTheme="minorEastAsia"/>
                <w:b/>
                <w:sz w:val="24"/>
                <w:szCs w:val="21"/>
              </w:rPr>
              <w:t>月</w:t>
            </w:r>
            <w:r>
              <w:rPr>
                <w:rFonts w:hint="eastAsia" w:asciiTheme="minorEastAsia" w:hAnsiTheme="minorEastAsia"/>
                <w:b/>
                <w:sz w:val="24"/>
                <w:szCs w:val="21"/>
                <w:lang w:val="en-US" w:eastAsia="zh-CN"/>
              </w:rPr>
              <w:t>21</w:t>
            </w:r>
            <w:r>
              <w:rPr>
                <w:rFonts w:hint="eastAsia" w:asciiTheme="minorEastAsia" w:hAnsiTheme="minorEastAsia"/>
                <w:b/>
                <w:sz w:val="24"/>
                <w:szCs w:val="21"/>
              </w:rPr>
              <w:t>日</w:t>
            </w:r>
          </w:p>
        </w:tc>
      </w:tr>
    </w:tbl>
    <w:p w14:paraId="33BF4B93">
      <w:pPr>
        <w:rPr>
          <w:rFonts w:hint="eastAsia" w:eastAsiaTheme="minorEastAsia"/>
          <w:sz w:val="24"/>
          <w:szCs w:val="24"/>
          <w:lang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F10B4">
    <w:pPr>
      <w:pStyle w:val="5"/>
      <w:jc w:val="left"/>
    </w:pPr>
    <w:r>
      <w:rPr>
        <w:rFonts w:hint="eastAsia"/>
      </w:rPr>
      <w:t>证券代码：6</w:t>
    </w:r>
    <w:r>
      <w:t>88128</w:t>
    </w:r>
    <w:r>
      <w:rPr>
        <w:rFonts w:hint="eastAsia"/>
      </w:rPr>
      <w:t>证券简称：中国电研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k5ODM0YmMxOWJiYWQyNDU4MGIzYWRmYTA0ZmI5NDcifQ=="/>
  </w:docVars>
  <w:rsids>
    <w:rsidRoot w:val="00847310"/>
    <w:rsid w:val="00002FE6"/>
    <w:rsid w:val="00004A2F"/>
    <w:rsid w:val="00011FEB"/>
    <w:rsid w:val="000132DE"/>
    <w:rsid w:val="000149BD"/>
    <w:rsid w:val="00016FA6"/>
    <w:rsid w:val="0001798C"/>
    <w:rsid w:val="000221F3"/>
    <w:rsid w:val="00030B2D"/>
    <w:rsid w:val="000356A4"/>
    <w:rsid w:val="00044D4D"/>
    <w:rsid w:val="00051055"/>
    <w:rsid w:val="00054114"/>
    <w:rsid w:val="000631D4"/>
    <w:rsid w:val="00063582"/>
    <w:rsid w:val="000635BF"/>
    <w:rsid w:val="00063773"/>
    <w:rsid w:val="0006483A"/>
    <w:rsid w:val="000668CC"/>
    <w:rsid w:val="00071E83"/>
    <w:rsid w:val="0007490D"/>
    <w:rsid w:val="000866E5"/>
    <w:rsid w:val="00092159"/>
    <w:rsid w:val="00095FF1"/>
    <w:rsid w:val="00097CA6"/>
    <w:rsid w:val="000A3C5D"/>
    <w:rsid w:val="000B15AD"/>
    <w:rsid w:val="000B2511"/>
    <w:rsid w:val="000B3253"/>
    <w:rsid w:val="000B558B"/>
    <w:rsid w:val="000C7159"/>
    <w:rsid w:val="000E47AB"/>
    <w:rsid w:val="000E634C"/>
    <w:rsid w:val="000F186C"/>
    <w:rsid w:val="000F5ACB"/>
    <w:rsid w:val="00100F44"/>
    <w:rsid w:val="00114DE5"/>
    <w:rsid w:val="00116DD7"/>
    <w:rsid w:val="00120CC5"/>
    <w:rsid w:val="00123673"/>
    <w:rsid w:val="00126FBE"/>
    <w:rsid w:val="0014753D"/>
    <w:rsid w:val="00147C4F"/>
    <w:rsid w:val="001530C2"/>
    <w:rsid w:val="001603CD"/>
    <w:rsid w:val="00160DBC"/>
    <w:rsid w:val="001618BA"/>
    <w:rsid w:val="0016348D"/>
    <w:rsid w:val="00171788"/>
    <w:rsid w:val="00175BCF"/>
    <w:rsid w:val="00175F5C"/>
    <w:rsid w:val="0017752B"/>
    <w:rsid w:val="00177D6C"/>
    <w:rsid w:val="00180C23"/>
    <w:rsid w:val="001833BA"/>
    <w:rsid w:val="00183C7C"/>
    <w:rsid w:val="00186E00"/>
    <w:rsid w:val="00194600"/>
    <w:rsid w:val="00196CEC"/>
    <w:rsid w:val="001A03E5"/>
    <w:rsid w:val="001A18BF"/>
    <w:rsid w:val="001A31AE"/>
    <w:rsid w:val="001A487A"/>
    <w:rsid w:val="001A5535"/>
    <w:rsid w:val="001A6893"/>
    <w:rsid w:val="001B21A5"/>
    <w:rsid w:val="001B4016"/>
    <w:rsid w:val="001B75D4"/>
    <w:rsid w:val="001C1FFA"/>
    <w:rsid w:val="001C56E6"/>
    <w:rsid w:val="001C70B8"/>
    <w:rsid w:val="001D7E7F"/>
    <w:rsid w:val="001E33BA"/>
    <w:rsid w:val="001E511A"/>
    <w:rsid w:val="001F03E9"/>
    <w:rsid w:val="001F6A7A"/>
    <w:rsid w:val="00200CA5"/>
    <w:rsid w:val="00201459"/>
    <w:rsid w:val="0020473A"/>
    <w:rsid w:val="00205E7B"/>
    <w:rsid w:val="0021001D"/>
    <w:rsid w:val="00216C5F"/>
    <w:rsid w:val="00224836"/>
    <w:rsid w:val="00225E22"/>
    <w:rsid w:val="00230488"/>
    <w:rsid w:val="00231929"/>
    <w:rsid w:val="00235FDD"/>
    <w:rsid w:val="00245A3A"/>
    <w:rsid w:val="00245E78"/>
    <w:rsid w:val="0024685C"/>
    <w:rsid w:val="002468E6"/>
    <w:rsid w:val="00246FB3"/>
    <w:rsid w:val="00251311"/>
    <w:rsid w:val="0025254F"/>
    <w:rsid w:val="00254CB5"/>
    <w:rsid w:val="002553F0"/>
    <w:rsid w:val="00257651"/>
    <w:rsid w:val="002624B3"/>
    <w:rsid w:val="00267005"/>
    <w:rsid w:val="0027082F"/>
    <w:rsid w:val="00273E64"/>
    <w:rsid w:val="00274CAB"/>
    <w:rsid w:val="00284E80"/>
    <w:rsid w:val="00285231"/>
    <w:rsid w:val="002879DD"/>
    <w:rsid w:val="002940FE"/>
    <w:rsid w:val="002A74C7"/>
    <w:rsid w:val="002C2C42"/>
    <w:rsid w:val="002C3BAA"/>
    <w:rsid w:val="002D28A0"/>
    <w:rsid w:val="002E2B8F"/>
    <w:rsid w:val="002F20A9"/>
    <w:rsid w:val="002F6EF9"/>
    <w:rsid w:val="00302430"/>
    <w:rsid w:val="003045AC"/>
    <w:rsid w:val="00305B7F"/>
    <w:rsid w:val="00315147"/>
    <w:rsid w:val="00317955"/>
    <w:rsid w:val="00321574"/>
    <w:rsid w:val="0032487F"/>
    <w:rsid w:val="003258C7"/>
    <w:rsid w:val="00327DF8"/>
    <w:rsid w:val="00332430"/>
    <w:rsid w:val="0033370F"/>
    <w:rsid w:val="003402CF"/>
    <w:rsid w:val="0034235C"/>
    <w:rsid w:val="00354ED6"/>
    <w:rsid w:val="003645C8"/>
    <w:rsid w:val="00365F0B"/>
    <w:rsid w:val="00371A49"/>
    <w:rsid w:val="0037333E"/>
    <w:rsid w:val="003763A7"/>
    <w:rsid w:val="00380B6D"/>
    <w:rsid w:val="00383B73"/>
    <w:rsid w:val="003965F3"/>
    <w:rsid w:val="00397164"/>
    <w:rsid w:val="003A1577"/>
    <w:rsid w:val="003A202A"/>
    <w:rsid w:val="003A4C4B"/>
    <w:rsid w:val="003B20B9"/>
    <w:rsid w:val="003B63C0"/>
    <w:rsid w:val="003C11AA"/>
    <w:rsid w:val="003C7B62"/>
    <w:rsid w:val="003D13EA"/>
    <w:rsid w:val="003D166E"/>
    <w:rsid w:val="003D1B9B"/>
    <w:rsid w:val="003E55A0"/>
    <w:rsid w:val="003E6B0D"/>
    <w:rsid w:val="003E7CC7"/>
    <w:rsid w:val="003F026F"/>
    <w:rsid w:val="003F31A8"/>
    <w:rsid w:val="003F4929"/>
    <w:rsid w:val="003F60DB"/>
    <w:rsid w:val="003F6F66"/>
    <w:rsid w:val="00400238"/>
    <w:rsid w:val="004033FC"/>
    <w:rsid w:val="004066BC"/>
    <w:rsid w:val="00407202"/>
    <w:rsid w:val="00407CBC"/>
    <w:rsid w:val="00407F35"/>
    <w:rsid w:val="004101BE"/>
    <w:rsid w:val="0041101C"/>
    <w:rsid w:val="004110EB"/>
    <w:rsid w:val="0041249B"/>
    <w:rsid w:val="00414080"/>
    <w:rsid w:val="004171D5"/>
    <w:rsid w:val="00423717"/>
    <w:rsid w:val="004244CC"/>
    <w:rsid w:val="004252E9"/>
    <w:rsid w:val="00427FD9"/>
    <w:rsid w:val="00430012"/>
    <w:rsid w:val="004301BF"/>
    <w:rsid w:val="00434FE4"/>
    <w:rsid w:val="00435ED3"/>
    <w:rsid w:val="00442E0C"/>
    <w:rsid w:val="0045020E"/>
    <w:rsid w:val="004578D3"/>
    <w:rsid w:val="00460345"/>
    <w:rsid w:val="00465EFA"/>
    <w:rsid w:val="0046668B"/>
    <w:rsid w:val="00466CA7"/>
    <w:rsid w:val="00467C31"/>
    <w:rsid w:val="00470EA6"/>
    <w:rsid w:val="004742C8"/>
    <w:rsid w:val="004778AD"/>
    <w:rsid w:val="0049008C"/>
    <w:rsid w:val="00491FB3"/>
    <w:rsid w:val="00493B3F"/>
    <w:rsid w:val="00497C3E"/>
    <w:rsid w:val="004A0C59"/>
    <w:rsid w:val="004A4F02"/>
    <w:rsid w:val="004A5378"/>
    <w:rsid w:val="004A5A35"/>
    <w:rsid w:val="004A60BE"/>
    <w:rsid w:val="004A748E"/>
    <w:rsid w:val="004B4737"/>
    <w:rsid w:val="004D1021"/>
    <w:rsid w:val="004D7DA5"/>
    <w:rsid w:val="004E09D2"/>
    <w:rsid w:val="004E54FC"/>
    <w:rsid w:val="004E694D"/>
    <w:rsid w:val="004E70D8"/>
    <w:rsid w:val="004E7496"/>
    <w:rsid w:val="004F0375"/>
    <w:rsid w:val="004F09D5"/>
    <w:rsid w:val="004F29A7"/>
    <w:rsid w:val="005000DD"/>
    <w:rsid w:val="005078F1"/>
    <w:rsid w:val="00510102"/>
    <w:rsid w:val="00522345"/>
    <w:rsid w:val="005256B6"/>
    <w:rsid w:val="005268D3"/>
    <w:rsid w:val="005324EE"/>
    <w:rsid w:val="00532CFD"/>
    <w:rsid w:val="005336FA"/>
    <w:rsid w:val="0053401B"/>
    <w:rsid w:val="00534D86"/>
    <w:rsid w:val="00536BC4"/>
    <w:rsid w:val="005377BF"/>
    <w:rsid w:val="00550B33"/>
    <w:rsid w:val="005522C1"/>
    <w:rsid w:val="00553121"/>
    <w:rsid w:val="0055355E"/>
    <w:rsid w:val="00553D41"/>
    <w:rsid w:val="005547C8"/>
    <w:rsid w:val="00556677"/>
    <w:rsid w:val="00562268"/>
    <w:rsid w:val="005722D1"/>
    <w:rsid w:val="005735E2"/>
    <w:rsid w:val="00582F37"/>
    <w:rsid w:val="00585DCD"/>
    <w:rsid w:val="0059203A"/>
    <w:rsid w:val="00592B92"/>
    <w:rsid w:val="00597D77"/>
    <w:rsid w:val="005A0C7A"/>
    <w:rsid w:val="005A14FA"/>
    <w:rsid w:val="005A1628"/>
    <w:rsid w:val="005A28B7"/>
    <w:rsid w:val="005A7471"/>
    <w:rsid w:val="005B10D0"/>
    <w:rsid w:val="005B1CA1"/>
    <w:rsid w:val="005B2C0D"/>
    <w:rsid w:val="005B4529"/>
    <w:rsid w:val="005B777D"/>
    <w:rsid w:val="005C41E5"/>
    <w:rsid w:val="005D0C20"/>
    <w:rsid w:val="005D1089"/>
    <w:rsid w:val="005D6656"/>
    <w:rsid w:val="005D7CFA"/>
    <w:rsid w:val="005E3BA2"/>
    <w:rsid w:val="005E4130"/>
    <w:rsid w:val="005E71AD"/>
    <w:rsid w:val="005F13D4"/>
    <w:rsid w:val="005F6375"/>
    <w:rsid w:val="005F7F0F"/>
    <w:rsid w:val="006017D6"/>
    <w:rsid w:val="00606C9E"/>
    <w:rsid w:val="00607D0A"/>
    <w:rsid w:val="006151FA"/>
    <w:rsid w:val="00616BBB"/>
    <w:rsid w:val="0061710F"/>
    <w:rsid w:val="00624948"/>
    <w:rsid w:val="00626243"/>
    <w:rsid w:val="00634524"/>
    <w:rsid w:val="00641F61"/>
    <w:rsid w:val="00642CBA"/>
    <w:rsid w:val="00643F32"/>
    <w:rsid w:val="00644B96"/>
    <w:rsid w:val="006464C4"/>
    <w:rsid w:val="0065074C"/>
    <w:rsid w:val="00650B2A"/>
    <w:rsid w:val="00653321"/>
    <w:rsid w:val="006575A7"/>
    <w:rsid w:val="006640D8"/>
    <w:rsid w:val="006659A8"/>
    <w:rsid w:val="0066696D"/>
    <w:rsid w:val="006705A3"/>
    <w:rsid w:val="00673734"/>
    <w:rsid w:val="00680090"/>
    <w:rsid w:val="006854FC"/>
    <w:rsid w:val="00685774"/>
    <w:rsid w:val="00687F7A"/>
    <w:rsid w:val="00690867"/>
    <w:rsid w:val="00694C74"/>
    <w:rsid w:val="006963B7"/>
    <w:rsid w:val="006A051F"/>
    <w:rsid w:val="006A654C"/>
    <w:rsid w:val="006B7787"/>
    <w:rsid w:val="006C0438"/>
    <w:rsid w:val="006C0D9B"/>
    <w:rsid w:val="006C1ABF"/>
    <w:rsid w:val="006C2F9C"/>
    <w:rsid w:val="006E25C7"/>
    <w:rsid w:val="006E3AAA"/>
    <w:rsid w:val="006E764E"/>
    <w:rsid w:val="006F1611"/>
    <w:rsid w:val="006F57A6"/>
    <w:rsid w:val="006F59D6"/>
    <w:rsid w:val="006F6603"/>
    <w:rsid w:val="006F6B7F"/>
    <w:rsid w:val="00703FF0"/>
    <w:rsid w:val="00704C4D"/>
    <w:rsid w:val="007107F4"/>
    <w:rsid w:val="00711F65"/>
    <w:rsid w:val="00712630"/>
    <w:rsid w:val="00713035"/>
    <w:rsid w:val="007148E8"/>
    <w:rsid w:val="00720A6E"/>
    <w:rsid w:val="007316C3"/>
    <w:rsid w:val="0073306C"/>
    <w:rsid w:val="007379A8"/>
    <w:rsid w:val="00742727"/>
    <w:rsid w:val="0074314B"/>
    <w:rsid w:val="007465F1"/>
    <w:rsid w:val="0075396F"/>
    <w:rsid w:val="0075501B"/>
    <w:rsid w:val="00763133"/>
    <w:rsid w:val="00770A33"/>
    <w:rsid w:val="00774260"/>
    <w:rsid w:val="00776199"/>
    <w:rsid w:val="00783367"/>
    <w:rsid w:val="00787E50"/>
    <w:rsid w:val="007905F1"/>
    <w:rsid w:val="007911D9"/>
    <w:rsid w:val="007A13E2"/>
    <w:rsid w:val="007A2E12"/>
    <w:rsid w:val="007A2E76"/>
    <w:rsid w:val="007A3947"/>
    <w:rsid w:val="007B02B9"/>
    <w:rsid w:val="007B043A"/>
    <w:rsid w:val="007B2C11"/>
    <w:rsid w:val="007C36F7"/>
    <w:rsid w:val="007C37F1"/>
    <w:rsid w:val="007C5301"/>
    <w:rsid w:val="007C5B1E"/>
    <w:rsid w:val="007C5EDA"/>
    <w:rsid w:val="007C7ECE"/>
    <w:rsid w:val="007D274C"/>
    <w:rsid w:val="007D6842"/>
    <w:rsid w:val="007E4157"/>
    <w:rsid w:val="007F176B"/>
    <w:rsid w:val="007F1D6D"/>
    <w:rsid w:val="007F1DB7"/>
    <w:rsid w:val="007F2AA8"/>
    <w:rsid w:val="007F3C28"/>
    <w:rsid w:val="007F3FC8"/>
    <w:rsid w:val="007F5A59"/>
    <w:rsid w:val="007F6F02"/>
    <w:rsid w:val="007F7292"/>
    <w:rsid w:val="00800A58"/>
    <w:rsid w:val="008052BD"/>
    <w:rsid w:val="00810A43"/>
    <w:rsid w:val="008335E9"/>
    <w:rsid w:val="00847310"/>
    <w:rsid w:val="008547FE"/>
    <w:rsid w:val="00867379"/>
    <w:rsid w:val="00867D64"/>
    <w:rsid w:val="00870CB1"/>
    <w:rsid w:val="008711A4"/>
    <w:rsid w:val="0087592C"/>
    <w:rsid w:val="0087599E"/>
    <w:rsid w:val="00887B46"/>
    <w:rsid w:val="00892621"/>
    <w:rsid w:val="00893905"/>
    <w:rsid w:val="0089656C"/>
    <w:rsid w:val="008A13E4"/>
    <w:rsid w:val="008A2AD5"/>
    <w:rsid w:val="008A6843"/>
    <w:rsid w:val="008B1271"/>
    <w:rsid w:val="008B3157"/>
    <w:rsid w:val="008B5E1C"/>
    <w:rsid w:val="008C5224"/>
    <w:rsid w:val="008C5D01"/>
    <w:rsid w:val="008D2972"/>
    <w:rsid w:val="008D3043"/>
    <w:rsid w:val="008D315A"/>
    <w:rsid w:val="008D6623"/>
    <w:rsid w:val="008E0228"/>
    <w:rsid w:val="008E3306"/>
    <w:rsid w:val="008E4E42"/>
    <w:rsid w:val="008F0A13"/>
    <w:rsid w:val="008F1665"/>
    <w:rsid w:val="008F23AC"/>
    <w:rsid w:val="008F4B6B"/>
    <w:rsid w:val="008F6A1C"/>
    <w:rsid w:val="0090034F"/>
    <w:rsid w:val="0090124C"/>
    <w:rsid w:val="00905771"/>
    <w:rsid w:val="00916CE7"/>
    <w:rsid w:val="00923859"/>
    <w:rsid w:val="00927234"/>
    <w:rsid w:val="00931741"/>
    <w:rsid w:val="009336F6"/>
    <w:rsid w:val="009370D6"/>
    <w:rsid w:val="009453D3"/>
    <w:rsid w:val="009466DA"/>
    <w:rsid w:val="00952EF8"/>
    <w:rsid w:val="00953C9A"/>
    <w:rsid w:val="00954E35"/>
    <w:rsid w:val="009619BF"/>
    <w:rsid w:val="00961BB4"/>
    <w:rsid w:val="00965795"/>
    <w:rsid w:val="00970648"/>
    <w:rsid w:val="009778A2"/>
    <w:rsid w:val="00986471"/>
    <w:rsid w:val="0098763F"/>
    <w:rsid w:val="0099049D"/>
    <w:rsid w:val="0099094C"/>
    <w:rsid w:val="00992664"/>
    <w:rsid w:val="009956FD"/>
    <w:rsid w:val="00997F92"/>
    <w:rsid w:val="009A6CE4"/>
    <w:rsid w:val="009A7AA8"/>
    <w:rsid w:val="009B2F59"/>
    <w:rsid w:val="009B35B6"/>
    <w:rsid w:val="009C0101"/>
    <w:rsid w:val="009C1691"/>
    <w:rsid w:val="009C3FE3"/>
    <w:rsid w:val="009E066A"/>
    <w:rsid w:val="009F32F2"/>
    <w:rsid w:val="00A00081"/>
    <w:rsid w:val="00A03572"/>
    <w:rsid w:val="00A04BA1"/>
    <w:rsid w:val="00A07CB7"/>
    <w:rsid w:val="00A14F62"/>
    <w:rsid w:val="00A20634"/>
    <w:rsid w:val="00A23A11"/>
    <w:rsid w:val="00A23B08"/>
    <w:rsid w:val="00A30613"/>
    <w:rsid w:val="00A330B0"/>
    <w:rsid w:val="00A33671"/>
    <w:rsid w:val="00A346AB"/>
    <w:rsid w:val="00A35CDD"/>
    <w:rsid w:val="00A43B12"/>
    <w:rsid w:val="00A44B0B"/>
    <w:rsid w:val="00A52364"/>
    <w:rsid w:val="00A56FC2"/>
    <w:rsid w:val="00A57599"/>
    <w:rsid w:val="00A57C60"/>
    <w:rsid w:val="00A64D24"/>
    <w:rsid w:val="00A65D66"/>
    <w:rsid w:val="00A735C4"/>
    <w:rsid w:val="00A74007"/>
    <w:rsid w:val="00A77D52"/>
    <w:rsid w:val="00A811B1"/>
    <w:rsid w:val="00A8728D"/>
    <w:rsid w:val="00A91B2D"/>
    <w:rsid w:val="00AA064E"/>
    <w:rsid w:val="00AA4A61"/>
    <w:rsid w:val="00AB3B1B"/>
    <w:rsid w:val="00AB4B72"/>
    <w:rsid w:val="00AB783F"/>
    <w:rsid w:val="00AD2613"/>
    <w:rsid w:val="00AD4BC9"/>
    <w:rsid w:val="00AE3280"/>
    <w:rsid w:val="00AE4A9C"/>
    <w:rsid w:val="00AF26E3"/>
    <w:rsid w:val="00AF6BD5"/>
    <w:rsid w:val="00B024B5"/>
    <w:rsid w:val="00B0260A"/>
    <w:rsid w:val="00B0399E"/>
    <w:rsid w:val="00B046BC"/>
    <w:rsid w:val="00B04941"/>
    <w:rsid w:val="00B052BC"/>
    <w:rsid w:val="00B05691"/>
    <w:rsid w:val="00B10DED"/>
    <w:rsid w:val="00B13932"/>
    <w:rsid w:val="00B1697B"/>
    <w:rsid w:val="00B23DD6"/>
    <w:rsid w:val="00B407CC"/>
    <w:rsid w:val="00B41286"/>
    <w:rsid w:val="00B44B6E"/>
    <w:rsid w:val="00B45759"/>
    <w:rsid w:val="00B4628F"/>
    <w:rsid w:val="00B53285"/>
    <w:rsid w:val="00B628D9"/>
    <w:rsid w:val="00B64101"/>
    <w:rsid w:val="00B64D9D"/>
    <w:rsid w:val="00B66799"/>
    <w:rsid w:val="00B76E42"/>
    <w:rsid w:val="00B829EE"/>
    <w:rsid w:val="00B84803"/>
    <w:rsid w:val="00B868CD"/>
    <w:rsid w:val="00B9272C"/>
    <w:rsid w:val="00B97134"/>
    <w:rsid w:val="00BA07C6"/>
    <w:rsid w:val="00BA24A3"/>
    <w:rsid w:val="00BA3CF1"/>
    <w:rsid w:val="00BA4490"/>
    <w:rsid w:val="00BA5213"/>
    <w:rsid w:val="00BA559B"/>
    <w:rsid w:val="00BB05F8"/>
    <w:rsid w:val="00BB4F2D"/>
    <w:rsid w:val="00BB5DA7"/>
    <w:rsid w:val="00BB6B15"/>
    <w:rsid w:val="00BC0343"/>
    <w:rsid w:val="00BC1DE3"/>
    <w:rsid w:val="00BC4025"/>
    <w:rsid w:val="00BC4C2E"/>
    <w:rsid w:val="00BC521C"/>
    <w:rsid w:val="00BE08A0"/>
    <w:rsid w:val="00BE1656"/>
    <w:rsid w:val="00BE3376"/>
    <w:rsid w:val="00BE46BB"/>
    <w:rsid w:val="00BE75D7"/>
    <w:rsid w:val="00BF5D37"/>
    <w:rsid w:val="00C02029"/>
    <w:rsid w:val="00C079A4"/>
    <w:rsid w:val="00C1182F"/>
    <w:rsid w:val="00C12193"/>
    <w:rsid w:val="00C2022A"/>
    <w:rsid w:val="00C24308"/>
    <w:rsid w:val="00C26417"/>
    <w:rsid w:val="00C26492"/>
    <w:rsid w:val="00C300FE"/>
    <w:rsid w:val="00C31FAA"/>
    <w:rsid w:val="00C34388"/>
    <w:rsid w:val="00C36218"/>
    <w:rsid w:val="00C36EC2"/>
    <w:rsid w:val="00C456B0"/>
    <w:rsid w:val="00C46C64"/>
    <w:rsid w:val="00C47148"/>
    <w:rsid w:val="00C529DA"/>
    <w:rsid w:val="00C5705B"/>
    <w:rsid w:val="00C61F54"/>
    <w:rsid w:val="00C63D9B"/>
    <w:rsid w:val="00C6454A"/>
    <w:rsid w:val="00C6773D"/>
    <w:rsid w:val="00C71F60"/>
    <w:rsid w:val="00C82178"/>
    <w:rsid w:val="00C8518E"/>
    <w:rsid w:val="00C92C20"/>
    <w:rsid w:val="00C93FF0"/>
    <w:rsid w:val="00C97491"/>
    <w:rsid w:val="00C979B5"/>
    <w:rsid w:val="00CA2F26"/>
    <w:rsid w:val="00CA3AC9"/>
    <w:rsid w:val="00CA69C7"/>
    <w:rsid w:val="00CB16E5"/>
    <w:rsid w:val="00CB490E"/>
    <w:rsid w:val="00CC4F73"/>
    <w:rsid w:val="00CC53FE"/>
    <w:rsid w:val="00CC5B75"/>
    <w:rsid w:val="00CC6E2E"/>
    <w:rsid w:val="00CC6F3D"/>
    <w:rsid w:val="00CD2537"/>
    <w:rsid w:val="00CD7524"/>
    <w:rsid w:val="00CF02D8"/>
    <w:rsid w:val="00CF193A"/>
    <w:rsid w:val="00CF310C"/>
    <w:rsid w:val="00CF52E5"/>
    <w:rsid w:val="00D0029D"/>
    <w:rsid w:val="00D00A2A"/>
    <w:rsid w:val="00D03694"/>
    <w:rsid w:val="00D05C70"/>
    <w:rsid w:val="00D05DC3"/>
    <w:rsid w:val="00D11889"/>
    <w:rsid w:val="00D15DA9"/>
    <w:rsid w:val="00D1754F"/>
    <w:rsid w:val="00D22882"/>
    <w:rsid w:val="00D22B13"/>
    <w:rsid w:val="00D24837"/>
    <w:rsid w:val="00D25503"/>
    <w:rsid w:val="00D33B80"/>
    <w:rsid w:val="00D34294"/>
    <w:rsid w:val="00D4548C"/>
    <w:rsid w:val="00D4584C"/>
    <w:rsid w:val="00D464C3"/>
    <w:rsid w:val="00D509E2"/>
    <w:rsid w:val="00D50D03"/>
    <w:rsid w:val="00D51D79"/>
    <w:rsid w:val="00D67864"/>
    <w:rsid w:val="00D73C91"/>
    <w:rsid w:val="00D85AE6"/>
    <w:rsid w:val="00D86B92"/>
    <w:rsid w:val="00D915F7"/>
    <w:rsid w:val="00D92535"/>
    <w:rsid w:val="00DA003E"/>
    <w:rsid w:val="00DA18D0"/>
    <w:rsid w:val="00DA29F1"/>
    <w:rsid w:val="00DB5286"/>
    <w:rsid w:val="00DB65F2"/>
    <w:rsid w:val="00DC3045"/>
    <w:rsid w:val="00DC698F"/>
    <w:rsid w:val="00DD05BD"/>
    <w:rsid w:val="00DD1166"/>
    <w:rsid w:val="00DE007F"/>
    <w:rsid w:val="00DE2711"/>
    <w:rsid w:val="00DE2828"/>
    <w:rsid w:val="00DE702D"/>
    <w:rsid w:val="00E04956"/>
    <w:rsid w:val="00E0793F"/>
    <w:rsid w:val="00E21549"/>
    <w:rsid w:val="00E24DA6"/>
    <w:rsid w:val="00E2766F"/>
    <w:rsid w:val="00E35CC4"/>
    <w:rsid w:val="00E36A00"/>
    <w:rsid w:val="00E42E68"/>
    <w:rsid w:val="00E44DD4"/>
    <w:rsid w:val="00E479EF"/>
    <w:rsid w:val="00E47B85"/>
    <w:rsid w:val="00E50734"/>
    <w:rsid w:val="00E53097"/>
    <w:rsid w:val="00E536E7"/>
    <w:rsid w:val="00E54142"/>
    <w:rsid w:val="00E5494E"/>
    <w:rsid w:val="00E5716E"/>
    <w:rsid w:val="00E61B7F"/>
    <w:rsid w:val="00E66243"/>
    <w:rsid w:val="00E67744"/>
    <w:rsid w:val="00E71360"/>
    <w:rsid w:val="00E72039"/>
    <w:rsid w:val="00E7468E"/>
    <w:rsid w:val="00E76CE0"/>
    <w:rsid w:val="00E77E0B"/>
    <w:rsid w:val="00E81D17"/>
    <w:rsid w:val="00E90303"/>
    <w:rsid w:val="00E93A3C"/>
    <w:rsid w:val="00E94534"/>
    <w:rsid w:val="00E97F39"/>
    <w:rsid w:val="00EB2D31"/>
    <w:rsid w:val="00EB4A15"/>
    <w:rsid w:val="00EC1A0C"/>
    <w:rsid w:val="00EC26A5"/>
    <w:rsid w:val="00EC4251"/>
    <w:rsid w:val="00ED2B62"/>
    <w:rsid w:val="00ED3574"/>
    <w:rsid w:val="00EE04E9"/>
    <w:rsid w:val="00EE0A0D"/>
    <w:rsid w:val="00EE14C2"/>
    <w:rsid w:val="00EE56AD"/>
    <w:rsid w:val="00EE5E00"/>
    <w:rsid w:val="00EE7869"/>
    <w:rsid w:val="00F01973"/>
    <w:rsid w:val="00F0458E"/>
    <w:rsid w:val="00F056E2"/>
    <w:rsid w:val="00F07A35"/>
    <w:rsid w:val="00F10F18"/>
    <w:rsid w:val="00F14540"/>
    <w:rsid w:val="00F2165E"/>
    <w:rsid w:val="00F23C39"/>
    <w:rsid w:val="00F257A2"/>
    <w:rsid w:val="00F27018"/>
    <w:rsid w:val="00F3113D"/>
    <w:rsid w:val="00F3457B"/>
    <w:rsid w:val="00F44110"/>
    <w:rsid w:val="00F53808"/>
    <w:rsid w:val="00F546F3"/>
    <w:rsid w:val="00F67357"/>
    <w:rsid w:val="00F7359B"/>
    <w:rsid w:val="00F74582"/>
    <w:rsid w:val="00F758B3"/>
    <w:rsid w:val="00F768C4"/>
    <w:rsid w:val="00F82CFA"/>
    <w:rsid w:val="00F83425"/>
    <w:rsid w:val="00F8732A"/>
    <w:rsid w:val="00F95483"/>
    <w:rsid w:val="00F9560A"/>
    <w:rsid w:val="00F9742A"/>
    <w:rsid w:val="00FA3046"/>
    <w:rsid w:val="00FA726B"/>
    <w:rsid w:val="00FB0344"/>
    <w:rsid w:val="00FB1E9F"/>
    <w:rsid w:val="00FB2E18"/>
    <w:rsid w:val="00FB4CEB"/>
    <w:rsid w:val="00FB70B8"/>
    <w:rsid w:val="00FC05CC"/>
    <w:rsid w:val="00FC30C7"/>
    <w:rsid w:val="00FC3A58"/>
    <w:rsid w:val="00FD2A06"/>
    <w:rsid w:val="00FD2A33"/>
    <w:rsid w:val="00FD5384"/>
    <w:rsid w:val="00FE090F"/>
    <w:rsid w:val="00FF4CEE"/>
    <w:rsid w:val="00FF524E"/>
    <w:rsid w:val="00FF668C"/>
    <w:rsid w:val="00FF67CE"/>
    <w:rsid w:val="044B1342"/>
    <w:rsid w:val="05291757"/>
    <w:rsid w:val="05CF5FA2"/>
    <w:rsid w:val="081262DD"/>
    <w:rsid w:val="08B171FE"/>
    <w:rsid w:val="0A9E47F4"/>
    <w:rsid w:val="0B0C00C1"/>
    <w:rsid w:val="0C150B31"/>
    <w:rsid w:val="0CA7382C"/>
    <w:rsid w:val="0DB15DDC"/>
    <w:rsid w:val="0EA46FB9"/>
    <w:rsid w:val="0F1668CE"/>
    <w:rsid w:val="139B6349"/>
    <w:rsid w:val="14EA2306"/>
    <w:rsid w:val="1922346A"/>
    <w:rsid w:val="19622F5E"/>
    <w:rsid w:val="1CA55F97"/>
    <w:rsid w:val="1D1A7BEF"/>
    <w:rsid w:val="20F070A1"/>
    <w:rsid w:val="20FD356C"/>
    <w:rsid w:val="21D84C77"/>
    <w:rsid w:val="26EE4083"/>
    <w:rsid w:val="27363254"/>
    <w:rsid w:val="2952197F"/>
    <w:rsid w:val="2A144406"/>
    <w:rsid w:val="2E5417C8"/>
    <w:rsid w:val="304271ED"/>
    <w:rsid w:val="31A942FD"/>
    <w:rsid w:val="321E47A5"/>
    <w:rsid w:val="327D7D41"/>
    <w:rsid w:val="341113B0"/>
    <w:rsid w:val="348F1BDE"/>
    <w:rsid w:val="34AC5F06"/>
    <w:rsid w:val="356C4BC4"/>
    <w:rsid w:val="39B50A30"/>
    <w:rsid w:val="39DF785B"/>
    <w:rsid w:val="3AEC222F"/>
    <w:rsid w:val="3C270FA2"/>
    <w:rsid w:val="3DEE62BF"/>
    <w:rsid w:val="3DF8538F"/>
    <w:rsid w:val="3EEA5F2B"/>
    <w:rsid w:val="3F6F5E29"/>
    <w:rsid w:val="43567D00"/>
    <w:rsid w:val="44557097"/>
    <w:rsid w:val="46F2056E"/>
    <w:rsid w:val="483D056E"/>
    <w:rsid w:val="49C15087"/>
    <w:rsid w:val="4A5E0B28"/>
    <w:rsid w:val="4A7711CC"/>
    <w:rsid w:val="4B241496"/>
    <w:rsid w:val="4BC55741"/>
    <w:rsid w:val="4CC22577"/>
    <w:rsid w:val="4D9A3D6D"/>
    <w:rsid w:val="4FDB54B4"/>
    <w:rsid w:val="506B5D4D"/>
    <w:rsid w:val="507B60D8"/>
    <w:rsid w:val="51DA0BDC"/>
    <w:rsid w:val="57750F02"/>
    <w:rsid w:val="5AFF37D6"/>
    <w:rsid w:val="5B9B3887"/>
    <w:rsid w:val="5C485634"/>
    <w:rsid w:val="5CD526CC"/>
    <w:rsid w:val="60A96349"/>
    <w:rsid w:val="61F32FEC"/>
    <w:rsid w:val="622F287E"/>
    <w:rsid w:val="640D5D64"/>
    <w:rsid w:val="66003A29"/>
    <w:rsid w:val="66544FA9"/>
    <w:rsid w:val="67784B38"/>
    <w:rsid w:val="67CA0D36"/>
    <w:rsid w:val="6808604B"/>
    <w:rsid w:val="6A5F5118"/>
    <w:rsid w:val="6A6362A8"/>
    <w:rsid w:val="6B6FFB50"/>
    <w:rsid w:val="6C314575"/>
    <w:rsid w:val="6C510F5B"/>
    <w:rsid w:val="6C5F38B8"/>
    <w:rsid w:val="6F7826BF"/>
    <w:rsid w:val="711517D9"/>
    <w:rsid w:val="75A03D67"/>
    <w:rsid w:val="75CC455A"/>
    <w:rsid w:val="76735D63"/>
    <w:rsid w:val="76ED4E5E"/>
    <w:rsid w:val="77B1D7F5"/>
    <w:rsid w:val="78DE1B1D"/>
    <w:rsid w:val="79733540"/>
    <w:rsid w:val="79B853F7"/>
    <w:rsid w:val="7A4631DB"/>
    <w:rsid w:val="7BE700CE"/>
    <w:rsid w:val="7C932004"/>
    <w:rsid w:val="7D8201F6"/>
    <w:rsid w:val="7E6F3626"/>
    <w:rsid w:val="7FF99102"/>
    <w:rsid w:val="FD9B024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kern w:val="2"/>
      <w:sz w:val="18"/>
      <w:szCs w:val="18"/>
    </w:rPr>
  </w:style>
  <w:style w:type="character" w:customStyle="1" w:styleId="12">
    <w:name w:val="页脚 字符"/>
    <w:basedOn w:val="9"/>
    <w:link w:val="4"/>
    <w:qFormat/>
    <w:uiPriority w:val="99"/>
    <w:rPr>
      <w:kern w:val="2"/>
      <w:sz w:val="18"/>
      <w:szCs w:val="18"/>
    </w:rPr>
  </w:style>
  <w:style w:type="paragraph" w:styleId="13">
    <w:name w:val="List Paragraph"/>
    <w:basedOn w:val="1"/>
    <w:qFormat/>
    <w:uiPriority w:val="99"/>
    <w:pPr>
      <w:ind w:firstLine="420" w:firstLineChars="200"/>
    </w:pPr>
  </w:style>
  <w:style w:type="paragraph" w:customStyle="1" w:styleId="14">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5">
    <w:name w:val="fontstyle01"/>
    <w:basedOn w:val="9"/>
    <w:qFormat/>
    <w:uiPriority w:val="0"/>
    <w:rPr>
      <w:rFonts w:hint="eastAsia" w:ascii="宋体" w:hAnsi="宋体" w:eastAsia="宋体"/>
      <w:color w:val="000000"/>
      <w:sz w:val="20"/>
      <w:szCs w:val="20"/>
    </w:rPr>
  </w:style>
  <w:style w:type="character" w:customStyle="1" w:styleId="16">
    <w:name w:val="批注框文本 字符"/>
    <w:basedOn w:val="9"/>
    <w:link w:val="3"/>
    <w:semiHidden/>
    <w:qFormat/>
    <w:uiPriority w:val="99"/>
    <w:rPr>
      <w:kern w:val="2"/>
      <w:sz w:val="18"/>
      <w:szCs w:val="18"/>
    </w:rPr>
  </w:style>
  <w:style w:type="character" w:customStyle="1" w:styleId="17">
    <w:name w:val="批注文字 字符"/>
    <w:basedOn w:val="9"/>
    <w:link w:val="2"/>
    <w:semiHidden/>
    <w:qFormat/>
    <w:uiPriority w:val="99"/>
    <w:rPr>
      <w:kern w:val="2"/>
      <w:sz w:val="21"/>
      <w:szCs w:val="22"/>
    </w:rPr>
  </w:style>
  <w:style w:type="character" w:customStyle="1" w:styleId="18">
    <w:name w:val="批注主题 字符"/>
    <w:basedOn w:val="17"/>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4398</Words>
  <Characters>4488</Characters>
  <Lines>45</Lines>
  <Paragraphs>12</Paragraphs>
  <TotalTime>6</TotalTime>
  <ScaleCrop>false</ScaleCrop>
  <LinksUpToDate>false</LinksUpToDate>
  <CharactersWithSpaces>4541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2023-06-09T11:16:00Z</dcterms:created>
  <dc:creator>郭枫</dc:creator>
  <cp:lastModifiedBy>董办</cp:lastModifiedBy>
  <dcterms:modified xsi:type="dcterms:W3CDTF">2026-09-21T07:23:46Z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C71E6993A0024CA4A95CF5D13B87752C</vt:lpwstr>
  </property>
  <property fmtid="{D5CDD505-2E9C-101B-9397-08002B2CF9AE}" pid="4" name="KSOTemplateDocerSaveRecord">
    <vt:lpwstr>eyJoZGlkIjoiYWNiZjg1MjhjZjQ1MDZhOWJjMjM3OWJjYmU0NmZjNDIiLCJ1c2VySWQiOiIxNDY3OTA0MjQ4In0=</vt:lpwstr>
  </property>
</Properties>
</file>