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F7F93">
      <w:pPr>
        <w:keepNext/>
        <w:keepLines/>
        <w:spacing w:before="260" w:after="260" w:line="360" w:lineRule="auto"/>
        <w:outlineLvl w:val="1"/>
        <w:rPr>
          <w:rFonts w:hint="eastAsia" w:ascii="宋体" w:hAnsi="宋体"/>
          <w:b/>
          <w:bCs/>
          <w:iCs/>
          <w:sz w:val="24"/>
          <w:szCs w:val="24"/>
        </w:rPr>
      </w:pPr>
      <w:r>
        <w:rPr>
          <w:rFonts w:hint="eastAsia" w:ascii="宋体" w:hAnsi="宋体"/>
          <w:b/>
          <w:bCs/>
          <w:iCs/>
          <w:sz w:val="24"/>
          <w:szCs w:val="24"/>
        </w:rPr>
        <w:t>证券代码：688621                                证券简称：阳光诺和</w:t>
      </w:r>
    </w:p>
    <w:p w14:paraId="193C9A26">
      <w:pPr>
        <w:keepNext/>
        <w:keepLines/>
        <w:spacing w:before="20" w:after="20"/>
        <w:jc w:val="center"/>
        <w:outlineLvl w:val="1"/>
        <w:rPr>
          <w:rFonts w:hint="eastAsia" w:ascii="宋体" w:hAnsi="宋体"/>
          <w:b/>
          <w:bCs/>
          <w:sz w:val="36"/>
          <w:szCs w:val="36"/>
        </w:rPr>
      </w:pPr>
      <w:r>
        <w:rPr>
          <w:rFonts w:hint="eastAsia" w:ascii="宋体" w:hAnsi="宋体"/>
          <w:b/>
          <w:sz w:val="36"/>
          <w:szCs w:val="36"/>
        </w:rPr>
        <w:t>北京阳光诺和药物研究</w:t>
      </w:r>
      <w:r>
        <w:rPr>
          <w:rFonts w:hint="eastAsia" w:ascii="宋体" w:hAnsi="宋体"/>
          <w:b/>
          <w:bCs/>
          <w:sz w:val="36"/>
          <w:szCs w:val="36"/>
        </w:rPr>
        <w:t>股份有限公司</w:t>
      </w:r>
    </w:p>
    <w:p w14:paraId="1DE76FD4">
      <w:pPr>
        <w:keepNext/>
        <w:keepLines/>
        <w:spacing w:before="20" w:after="20"/>
        <w:jc w:val="center"/>
        <w:outlineLvl w:val="1"/>
        <w:rPr>
          <w:rFonts w:hint="eastAsia" w:ascii="宋体" w:hAnsi="宋体"/>
          <w:b/>
          <w:bCs/>
          <w:sz w:val="36"/>
          <w:szCs w:val="36"/>
        </w:rPr>
      </w:pPr>
      <w:r>
        <w:rPr>
          <w:rFonts w:hint="eastAsia" w:ascii="宋体" w:hAnsi="宋体"/>
          <w:b/>
          <w:bCs/>
          <w:sz w:val="36"/>
          <w:szCs w:val="36"/>
        </w:rPr>
        <w:t>投资者关系活动记录表</w:t>
      </w:r>
    </w:p>
    <w:p w14:paraId="1D3EAABF">
      <w:pPr>
        <w:spacing w:line="360" w:lineRule="auto"/>
        <w:jc w:val="center"/>
        <w:rPr>
          <w:rFonts w:hint="eastAsia" w:ascii="宋体" w:hAnsi="宋体"/>
          <w:b/>
          <w:iCs/>
          <w:sz w:val="24"/>
          <w:szCs w:val="24"/>
        </w:rPr>
      </w:pPr>
      <w:r>
        <w:rPr>
          <w:rFonts w:hint="eastAsia" w:ascii="宋体" w:hAnsi="宋体"/>
          <w:b/>
          <w:iCs/>
          <w:sz w:val="24"/>
          <w:szCs w:val="24"/>
        </w:rPr>
        <w:t>（20</w:t>
      </w:r>
      <w:r>
        <w:rPr>
          <w:rFonts w:ascii="宋体" w:hAnsi="宋体"/>
          <w:b/>
          <w:iCs/>
          <w:sz w:val="24"/>
          <w:szCs w:val="24"/>
        </w:rPr>
        <w:t>2</w:t>
      </w:r>
      <w:r>
        <w:rPr>
          <w:rFonts w:hint="eastAsia" w:ascii="宋体" w:hAnsi="宋体"/>
          <w:b/>
          <w:iCs/>
          <w:sz w:val="24"/>
          <w:szCs w:val="24"/>
          <w:lang w:val="en-US" w:eastAsia="zh-CN"/>
        </w:rPr>
        <w:t>6</w:t>
      </w:r>
      <w:r>
        <w:rPr>
          <w:rFonts w:hint="eastAsia" w:ascii="宋体" w:hAnsi="宋体"/>
          <w:b/>
          <w:iCs/>
          <w:sz w:val="24"/>
          <w:szCs w:val="24"/>
        </w:rPr>
        <w:t>年</w:t>
      </w:r>
      <w:r>
        <w:rPr>
          <w:rFonts w:hint="eastAsia" w:ascii="宋体" w:hAnsi="宋体"/>
          <w:b/>
          <w:iCs/>
          <w:sz w:val="24"/>
          <w:szCs w:val="24"/>
          <w:lang w:val="en-US" w:eastAsia="zh-CN"/>
        </w:rPr>
        <w:t>9</w:t>
      </w:r>
      <w:r>
        <w:rPr>
          <w:rFonts w:hint="eastAsia" w:ascii="宋体" w:hAnsi="宋体"/>
          <w:b/>
          <w:iCs/>
          <w:sz w:val="24"/>
          <w:szCs w:val="24"/>
        </w:rPr>
        <w:t>月）</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6203"/>
      </w:tblGrid>
      <w:tr w14:paraId="2F973973">
        <w:tc>
          <w:tcPr>
            <w:tcW w:w="2093" w:type="dxa"/>
            <w:vAlign w:val="center"/>
          </w:tcPr>
          <w:p w14:paraId="199D38DD">
            <w:pPr>
              <w:spacing w:line="360" w:lineRule="auto"/>
              <w:jc w:val="center"/>
              <w:rPr>
                <w:rFonts w:hint="eastAsia" w:ascii="宋体" w:hAnsi="宋体"/>
                <w:b/>
                <w:bCs/>
                <w:iCs/>
                <w:sz w:val="24"/>
                <w:szCs w:val="24"/>
              </w:rPr>
            </w:pPr>
            <w:r>
              <w:rPr>
                <w:rFonts w:hint="eastAsia" w:ascii="宋体" w:hAnsi="宋体"/>
                <w:b/>
                <w:bCs/>
                <w:iCs/>
                <w:sz w:val="24"/>
                <w:szCs w:val="24"/>
              </w:rPr>
              <w:t>投资者关系活动类别</w:t>
            </w:r>
          </w:p>
        </w:tc>
        <w:tc>
          <w:tcPr>
            <w:tcW w:w="6203" w:type="dxa"/>
            <w:vAlign w:val="center"/>
          </w:tcPr>
          <w:p w14:paraId="4936C92A">
            <w:pPr>
              <w:spacing w:line="360" w:lineRule="auto"/>
              <w:rPr>
                <w:rFonts w:hint="eastAsia" w:ascii="宋体" w:hAnsi="宋体"/>
                <w:bCs/>
                <w:iCs/>
                <w:sz w:val="24"/>
                <w:szCs w:val="24"/>
              </w:rPr>
            </w:pPr>
            <w:r>
              <w:rPr>
                <w:rFonts w:hint="eastAsia" w:ascii="宋体" w:hAnsi="宋体"/>
                <w:bCs/>
                <w:iCs/>
                <w:sz w:val="24"/>
                <w:szCs w:val="24"/>
              </w:rPr>
              <w:sym w:font="Wingdings 2" w:char="00A3"/>
            </w:r>
            <w:r>
              <w:rPr>
                <w:rFonts w:hint="eastAsia" w:ascii="宋体" w:hAnsi="宋体"/>
                <w:sz w:val="24"/>
                <w:szCs w:val="24"/>
              </w:rPr>
              <w:t xml:space="preserve">特定对象调研        </w:t>
            </w:r>
            <w:r>
              <w:rPr>
                <w:rFonts w:hint="eastAsia" w:ascii="宋体" w:hAnsi="宋体"/>
                <w:bCs/>
                <w:iCs/>
                <w:sz w:val="24"/>
                <w:szCs w:val="24"/>
              </w:rPr>
              <w:sym w:font="Wingdings 2" w:char="00A3"/>
            </w:r>
            <w:r>
              <w:rPr>
                <w:rFonts w:hint="eastAsia" w:ascii="宋体" w:hAnsi="宋体"/>
                <w:sz w:val="24"/>
                <w:szCs w:val="24"/>
              </w:rPr>
              <w:t>分析师会议</w:t>
            </w:r>
          </w:p>
          <w:p w14:paraId="39B80EF3">
            <w:pPr>
              <w:spacing w:line="360" w:lineRule="auto"/>
              <w:rPr>
                <w:rFonts w:hint="eastAsia" w:ascii="宋体" w:hAnsi="宋体"/>
                <w:bCs/>
                <w:iCs/>
                <w:sz w:val="24"/>
                <w:szCs w:val="24"/>
              </w:rPr>
            </w:pPr>
            <w:r>
              <w:rPr>
                <w:rFonts w:hint="eastAsia" w:ascii="宋体" w:hAnsi="宋体"/>
                <w:bCs/>
                <w:iCs/>
                <w:sz w:val="24"/>
                <w:szCs w:val="24"/>
              </w:rPr>
              <w:t>□</w:t>
            </w:r>
            <w:r>
              <w:rPr>
                <w:rFonts w:hint="eastAsia" w:ascii="宋体" w:hAnsi="宋体"/>
                <w:sz w:val="24"/>
                <w:szCs w:val="24"/>
              </w:rPr>
              <w:t xml:space="preserve">媒体采访            </w:t>
            </w:r>
            <w:r>
              <w:rPr>
                <w:rFonts w:hint="eastAsia" w:ascii="宋体" w:hAnsi="宋体"/>
                <w:bCs/>
                <w:iCs/>
                <w:sz w:val="24"/>
                <w:szCs w:val="24"/>
              </w:rPr>
              <w:sym w:font="Wingdings 2" w:char="00A3"/>
            </w:r>
            <w:r>
              <w:rPr>
                <w:rFonts w:hint="eastAsia" w:ascii="宋体" w:hAnsi="宋体"/>
                <w:sz w:val="24"/>
                <w:szCs w:val="24"/>
              </w:rPr>
              <w:t>业绩说明会</w:t>
            </w:r>
          </w:p>
          <w:p w14:paraId="7EBD013F">
            <w:pPr>
              <w:spacing w:line="360" w:lineRule="auto"/>
              <w:rPr>
                <w:rFonts w:hint="eastAsia" w:ascii="宋体" w:hAnsi="宋体"/>
                <w:bCs/>
                <w:iCs/>
                <w:sz w:val="24"/>
                <w:szCs w:val="24"/>
              </w:rPr>
            </w:pPr>
            <w:r>
              <w:rPr>
                <w:rFonts w:hint="eastAsia" w:ascii="宋体" w:hAnsi="宋体"/>
                <w:bCs/>
                <w:iCs/>
                <w:sz w:val="24"/>
                <w:szCs w:val="24"/>
              </w:rPr>
              <w:t>□</w:t>
            </w:r>
            <w:r>
              <w:rPr>
                <w:rFonts w:hint="eastAsia" w:ascii="宋体" w:hAnsi="宋体"/>
                <w:sz w:val="24"/>
                <w:szCs w:val="24"/>
              </w:rPr>
              <w:t xml:space="preserve">新闻发布会          </w:t>
            </w:r>
            <w:r>
              <w:rPr>
                <w:rFonts w:hint="eastAsia" w:ascii="宋体" w:hAnsi="宋体"/>
                <w:bCs/>
                <w:iCs/>
                <w:sz w:val="24"/>
                <w:szCs w:val="24"/>
              </w:rPr>
              <w:t>□</w:t>
            </w:r>
            <w:r>
              <w:rPr>
                <w:rFonts w:hint="eastAsia" w:ascii="宋体" w:hAnsi="宋体"/>
                <w:sz w:val="24"/>
                <w:szCs w:val="24"/>
              </w:rPr>
              <w:t>路演活动</w:t>
            </w:r>
          </w:p>
          <w:p w14:paraId="51719483">
            <w:pPr>
              <w:tabs>
                <w:tab w:val="left" w:pos="3045"/>
                <w:tab w:val="center" w:pos="3199"/>
              </w:tabs>
              <w:spacing w:line="360" w:lineRule="auto"/>
              <w:rPr>
                <w:rFonts w:hint="eastAsia" w:ascii="宋体" w:hAnsi="宋体"/>
                <w:bCs/>
                <w:iCs/>
                <w:sz w:val="24"/>
                <w:szCs w:val="24"/>
              </w:rPr>
            </w:pPr>
            <w:r>
              <w:rPr>
                <w:rFonts w:hint="eastAsia" w:ascii="宋体" w:hAnsi="宋体"/>
                <w:bCs/>
                <w:iCs/>
                <w:sz w:val="24"/>
                <w:szCs w:val="24"/>
              </w:rPr>
              <w:sym w:font="Wingdings 2" w:char="F0A3"/>
            </w:r>
            <w:r>
              <w:rPr>
                <w:rFonts w:hint="eastAsia" w:ascii="宋体" w:hAnsi="宋体"/>
                <w:sz w:val="24"/>
                <w:szCs w:val="24"/>
              </w:rPr>
              <w:t>现场参观</w:t>
            </w:r>
            <w:r>
              <w:rPr>
                <w:rFonts w:ascii="宋体" w:hAnsi="宋体"/>
                <w:bCs/>
                <w:iCs/>
                <w:sz w:val="24"/>
                <w:szCs w:val="24"/>
              </w:rPr>
              <w:tab/>
            </w:r>
          </w:p>
          <w:p w14:paraId="232496E4">
            <w:pPr>
              <w:tabs>
                <w:tab w:val="center" w:pos="3199"/>
              </w:tabs>
              <w:spacing w:line="360" w:lineRule="auto"/>
              <w:rPr>
                <w:rFonts w:hint="eastAsia" w:ascii="宋体" w:hAnsi="宋体"/>
                <w:bCs/>
                <w:iCs/>
                <w:sz w:val="24"/>
                <w:szCs w:val="24"/>
              </w:rPr>
            </w:pPr>
            <w:r>
              <w:rPr>
                <w:rFonts w:hint="eastAsia" w:ascii="宋体" w:hAnsi="宋体"/>
                <w:bCs/>
                <w:iCs/>
                <w:sz w:val="24"/>
                <w:szCs w:val="24"/>
              </w:rPr>
              <w:sym w:font="Wingdings 2" w:char="0052"/>
            </w:r>
            <w:r>
              <w:rPr>
                <w:rFonts w:hint="eastAsia" w:ascii="宋体" w:hAnsi="宋体"/>
                <w:sz w:val="24"/>
                <w:szCs w:val="24"/>
              </w:rPr>
              <w:t>其他（电话会议）</w:t>
            </w:r>
          </w:p>
        </w:tc>
      </w:tr>
      <w:tr w14:paraId="622A330B">
        <w:tc>
          <w:tcPr>
            <w:tcW w:w="2093" w:type="dxa"/>
            <w:vAlign w:val="center"/>
          </w:tcPr>
          <w:p w14:paraId="72B2D1EE">
            <w:pPr>
              <w:spacing w:line="360" w:lineRule="auto"/>
              <w:jc w:val="center"/>
              <w:rPr>
                <w:rFonts w:hint="eastAsia" w:ascii="宋体" w:hAnsi="宋体"/>
                <w:b/>
                <w:bCs/>
                <w:iCs/>
                <w:sz w:val="24"/>
                <w:szCs w:val="24"/>
              </w:rPr>
            </w:pPr>
            <w:r>
              <w:rPr>
                <w:rFonts w:hint="eastAsia" w:ascii="宋体" w:hAnsi="宋体"/>
                <w:b/>
                <w:bCs/>
                <w:iCs/>
                <w:sz w:val="24"/>
                <w:szCs w:val="24"/>
              </w:rPr>
              <w:t>参与单位名称</w:t>
            </w:r>
          </w:p>
        </w:tc>
        <w:tc>
          <w:tcPr>
            <w:tcW w:w="6203" w:type="dxa"/>
          </w:tcPr>
          <w:p w14:paraId="7CE61A69">
            <w:pPr>
              <w:spacing w:line="360" w:lineRule="auto"/>
              <w:rPr>
                <w:rFonts w:hint="default" w:ascii="宋体" w:hAnsi="宋体" w:eastAsia="宋体" w:cs="宋体"/>
                <w:sz w:val="24"/>
                <w:szCs w:val="24"/>
                <w:lang w:val="en-US" w:eastAsia="zh-CN"/>
              </w:rPr>
            </w:pPr>
            <w:r>
              <w:rPr>
                <w:rFonts w:hint="eastAsia" w:ascii="宋体" w:hAnsi="宋体" w:cs="宋体"/>
                <w:sz w:val="24"/>
                <w:szCs w:val="24"/>
                <w:lang w:val="en-US" w:eastAsia="zh-CN"/>
              </w:rPr>
              <w:t>国联民生证券、摩根士丹利基金、平安资产、银河基金、杭州昊晟投资、鹏扬基金、广东正圆、仁桥(北京)资产、光大证券（自营）、平安基金、华能贵诚信托、上海途灵资产、富安达基金、华宝兴业基金、野村东方国际证券、中信保诚基金、上海尚雅、光大保德信基金、陆家嘴国际信托、中泰证券、圆信永丰基金、中国民生信托、中加基金、东方基金、安信基金、兴业证券、中银国际证券、金信基金、开源证券、浙商证券、方正证券、西部证券</w:t>
            </w:r>
          </w:p>
        </w:tc>
      </w:tr>
      <w:tr w14:paraId="63BC6D09">
        <w:tc>
          <w:tcPr>
            <w:tcW w:w="2093" w:type="dxa"/>
            <w:vAlign w:val="center"/>
          </w:tcPr>
          <w:p w14:paraId="1A8094E6">
            <w:pPr>
              <w:spacing w:line="360" w:lineRule="auto"/>
              <w:jc w:val="center"/>
              <w:rPr>
                <w:rFonts w:hint="eastAsia" w:ascii="宋体" w:hAnsi="宋体"/>
                <w:b/>
                <w:bCs/>
                <w:iCs/>
                <w:sz w:val="24"/>
                <w:szCs w:val="24"/>
              </w:rPr>
            </w:pPr>
            <w:r>
              <w:rPr>
                <w:rFonts w:hint="eastAsia" w:ascii="宋体" w:hAnsi="宋体"/>
                <w:b/>
                <w:bCs/>
                <w:iCs/>
                <w:sz w:val="24"/>
                <w:szCs w:val="24"/>
              </w:rPr>
              <w:t>时间</w:t>
            </w:r>
          </w:p>
        </w:tc>
        <w:tc>
          <w:tcPr>
            <w:tcW w:w="6203" w:type="dxa"/>
          </w:tcPr>
          <w:p w14:paraId="326BC5A2">
            <w:pPr>
              <w:spacing w:line="360" w:lineRule="auto"/>
              <w:rPr>
                <w:rFonts w:hint="default" w:ascii="宋体" w:hAnsi="宋体" w:eastAsia="宋体"/>
                <w:bCs/>
                <w:iCs/>
                <w:sz w:val="24"/>
                <w:szCs w:val="24"/>
                <w:lang w:val="en-US" w:eastAsia="zh-CN"/>
              </w:rPr>
            </w:pPr>
            <w:r>
              <w:rPr>
                <w:rFonts w:hint="eastAsia" w:ascii="宋体" w:hAnsi="宋体"/>
                <w:bCs/>
                <w:iCs/>
                <w:sz w:val="24"/>
                <w:szCs w:val="24"/>
              </w:rPr>
              <w:t>20</w:t>
            </w:r>
            <w:r>
              <w:rPr>
                <w:rFonts w:ascii="宋体" w:hAnsi="宋体"/>
                <w:bCs/>
                <w:iCs/>
                <w:sz w:val="24"/>
                <w:szCs w:val="24"/>
              </w:rPr>
              <w:t>2</w:t>
            </w:r>
            <w:r>
              <w:rPr>
                <w:rFonts w:hint="eastAsia" w:ascii="宋体" w:hAnsi="宋体"/>
                <w:bCs/>
                <w:iCs/>
                <w:sz w:val="24"/>
                <w:szCs w:val="24"/>
                <w:lang w:val="en-US" w:eastAsia="zh-CN"/>
              </w:rPr>
              <w:t>6</w:t>
            </w:r>
            <w:r>
              <w:rPr>
                <w:rFonts w:hint="eastAsia" w:ascii="宋体" w:hAnsi="宋体"/>
                <w:bCs/>
                <w:iCs/>
                <w:sz w:val="24"/>
                <w:szCs w:val="24"/>
              </w:rPr>
              <w:t>年</w:t>
            </w:r>
            <w:r>
              <w:rPr>
                <w:rFonts w:hint="eastAsia" w:ascii="宋体" w:hAnsi="宋体"/>
                <w:bCs/>
                <w:iCs/>
                <w:sz w:val="24"/>
                <w:szCs w:val="24"/>
                <w:lang w:val="en-US" w:eastAsia="zh-CN"/>
              </w:rPr>
              <w:t>9</w:t>
            </w:r>
            <w:r>
              <w:rPr>
                <w:rFonts w:hint="eastAsia" w:ascii="宋体" w:hAnsi="宋体"/>
                <w:bCs/>
                <w:iCs/>
                <w:sz w:val="24"/>
                <w:szCs w:val="24"/>
              </w:rPr>
              <w:t>月</w:t>
            </w:r>
            <w:r>
              <w:rPr>
                <w:rFonts w:hint="eastAsia" w:ascii="宋体" w:hAnsi="宋体"/>
                <w:bCs/>
                <w:iCs/>
                <w:sz w:val="24"/>
                <w:szCs w:val="24"/>
                <w:lang w:val="en-US" w:eastAsia="zh-CN"/>
              </w:rPr>
              <w:t>22</w:t>
            </w:r>
            <w:r>
              <w:rPr>
                <w:rFonts w:hint="eastAsia" w:ascii="宋体" w:hAnsi="宋体"/>
                <w:bCs/>
                <w:iCs/>
                <w:sz w:val="24"/>
                <w:szCs w:val="24"/>
              </w:rPr>
              <w:t>日</w:t>
            </w:r>
          </w:p>
        </w:tc>
      </w:tr>
      <w:tr w14:paraId="2448A6CD">
        <w:tc>
          <w:tcPr>
            <w:tcW w:w="2093" w:type="dxa"/>
            <w:vAlign w:val="center"/>
          </w:tcPr>
          <w:p w14:paraId="3FEB7A8D">
            <w:pPr>
              <w:spacing w:line="360" w:lineRule="auto"/>
              <w:jc w:val="center"/>
              <w:rPr>
                <w:rFonts w:hint="eastAsia" w:ascii="宋体" w:hAnsi="宋体"/>
                <w:b/>
                <w:bCs/>
                <w:iCs/>
                <w:sz w:val="24"/>
                <w:szCs w:val="24"/>
              </w:rPr>
            </w:pPr>
            <w:r>
              <w:rPr>
                <w:rFonts w:hint="eastAsia" w:ascii="宋体" w:hAnsi="宋体"/>
                <w:b/>
                <w:bCs/>
                <w:iCs/>
                <w:sz w:val="24"/>
                <w:szCs w:val="24"/>
              </w:rPr>
              <w:t>参会方式</w:t>
            </w:r>
          </w:p>
        </w:tc>
        <w:tc>
          <w:tcPr>
            <w:tcW w:w="6203" w:type="dxa"/>
          </w:tcPr>
          <w:p w14:paraId="4C5F5090">
            <w:pPr>
              <w:spacing w:line="360" w:lineRule="auto"/>
              <w:rPr>
                <w:rFonts w:hint="eastAsia" w:ascii="宋体" w:hAnsi="宋体"/>
                <w:bCs/>
                <w:iCs/>
                <w:sz w:val="24"/>
                <w:szCs w:val="24"/>
              </w:rPr>
            </w:pPr>
            <w:r>
              <w:rPr>
                <w:rFonts w:hint="eastAsia" w:ascii="宋体" w:hAnsi="宋体"/>
                <w:bCs/>
                <w:iCs/>
                <w:sz w:val="24"/>
                <w:szCs w:val="24"/>
                <w:lang w:val="en-US" w:eastAsia="zh-CN"/>
              </w:rPr>
              <w:t>线上</w:t>
            </w:r>
            <w:bookmarkStart w:id="0" w:name="_GoBack"/>
            <w:bookmarkEnd w:id="0"/>
            <w:r>
              <w:rPr>
                <w:rFonts w:hint="eastAsia" w:ascii="宋体" w:hAnsi="宋体"/>
                <w:bCs/>
                <w:iCs/>
                <w:sz w:val="24"/>
                <w:szCs w:val="24"/>
              </w:rPr>
              <w:t>会议</w:t>
            </w:r>
          </w:p>
        </w:tc>
      </w:tr>
      <w:tr w14:paraId="2200319B">
        <w:tc>
          <w:tcPr>
            <w:tcW w:w="2093" w:type="dxa"/>
            <w:vAlign w:val="center"/>
          </w:tcPr>
          <w:p w14:paraId="25249036">
            <w:pPr>
              <w:spacing w:line="360" w:lineRule="auto"/>
              <w:jc w:val="center"/>
              <w:rPr>
                <w:rFonts w:hint="eastAsia" w:ascii="宋体" w:hAnsi="宋体"/>
                <w:b/>
                <w:bCs/>
                <w:iCs/>
                <w:sz w:val="24"/>
                <w:szCs w:val="24"/>
              </w:rPr>
            </w:pPr>
            <w:r>
              <w:rPr>
                <w:rFonts w:hint="eastAsia" w:ascii="宋体" w:hAnsi="宋体"/>
                <w:b/>
                <w:bCs/>
                <w:iCs/>
                <w:sz w:val="24"/>
                <w:szCs w:val="24"/>
              </w:rPr>
              <w:t>上市公司接待人员姓名</w:t>
            </w:r>
          </w:p>
        </w:tc>
        <w:tc>
          <w:tcPr>
            <w:tcW w:w="6203" w:type="dxa"/>
            <w:vAlign w:val="center"/>
          </w:tcPr>
          <w:p w14:paraId="348BD364">
            <w:pPr>
              <w:spacing w:line="360" w:lineRule="auto"/>
              <w:rPr>
                <w:rFonts w:hint="default" w:ascii="宋体" w:hAnsi="宋体"/>
                <w:bCs/>
                <w:iCs/>
                <w:sz w:val="24"/>
                <w:szCs w:val="24"/>
                <w:lang w:val="en-US" w:eastAsia="zh-CN"/>
              </w:rPr>
            </w:pPr>
            <w:r>
              <w:rPr>
                <w:rFonts w:hint="eastAsia" w:ascii="宋体" w:hAnsi="宋体"/>
                <w:bCs/>
                <w:iCs/>
                <w:sz w:val="24"/>
                <w:szCs w:val="24"/>
                <w:lang w:val="en-US" w:eastAsia="zh-CN"/>
              </w:rPr>
              <w:t>董事长：利虔先生</w:t>
            </w:r>
            <w:r>
              <w:rPr>
                <w:rFonts w:hint="eastAsia" w:ascii="宋体" w:hAnsi="宋体"/>
                <w:bCs/>
                <w:iCs/>
                <w:sz w:val="24"/>
                <w:szCs w:val="24"/>
                <w:lang w:val="en-US" w:eastAsia="zh-CN"/>
              </w:rPr>
              <w:br w:type="textWrapping"/>
            </w:r>
            <w:r>
              <w:rPr>
                <w:rFonts w:hint="eastAsia" w:ascii="宋体" w:hAnsi="宋体"/>
                <w:bCs/>
                <w:iCs/>
                <w:sz w:val="24"/>
                <w:szCs w:val="24"/>
                <w:lang w:val="en-US" w:eastAsia="zh-CN"/>
              </w:rPr>
              <w:t>董事会秘书：魏丽萍女士</w:t>
            </w:r>
          </w:p>
          <w:p w14:paraId="5422822E">
            <w:pPr>
              <w:spacing w:line="360" w:lineRule="auto"/>
              <w:rPr>
                <w:rFonts w:hint="default" w:ascii="宋体" w:hAnsi="宋体"/>
                <w:bCs/>
                <w:iCs/>
                <w:sz w:val="24"/>
                <w:szCs w:val="24"/>
                <w:lang w:val="en-US"/>
              </w:rPr>
            </w:pPr>
            <w:r>
              <w:rPr>
                <w:rFonts w:hint="eastAsia" w:ascii="宋体" w:hAnsi="宋体"/>
                <w:bCs/>
                <w:iCs/>
                <w:sz w:val="24"/>
                <w:szCs w:val="24"/>
                <w:lang w:val="en-US" w:eastAsia="zh-CN"/>
              </w:rPr>
              <w:t>投资者关系总监</w:t>
            </w:r>
            <w:r>
              <w:rPr>
                <w:rFonts w:hint="eastAsia" w:ascii="宋体" w:hAnsi="宋体"/>
                <w:sz w:val="24"/>
                <w:lang w:eastAsia="zh-CN"/>
              </w:rPr>
              <w:t>：</w:t>
            </w:r>
            <w:r>
              <w:rPr>
                <w:rFonts w:hint="eastAsia" w:ascii="宋体" w:hAnsi="宋体"/>
                <w:bCs/>
                <w:iCs/>
                <w:sz w:val="24"/>
                <w:szCs w:val="24"/>
                <w:lang w:val="en-US" w:eastAsia="zh-CN"/>
              </w:rPr>
              <w:t>郭心驰女士</w:t>
            </w:r>
          </w:p>
        </w:tc>
      </w:tr>
      <w:tr w14:paraId="276D98E0">
        <w:tc>
          <w:tcPr>
            <w:tcW w:w="2093" w:type="dxa"/>
            <w:vAlign w:val="center"/>
          </w:tcPr>
          <w:p w14:paraId="0394FAC4">
            <w:pPr>
              <w:spacing w:line="360" w:lineRule="auto"/>
              <w:jc w:val="center"/>
              <w:rPr>
                <w:rFonts w:hint="eastAsia" w:ascii="宋体" w:hAnsi="宋体"/>
                <w:b/>
                <w:bCs/>
                <w:iCs/>
                <w:sz w:val="24"/>
                <w:szCs w:val="24"/>
              </w:rPr>
            </w:pPr>
            <w:r>
              <w:rPr>
                <w:rFonts w:hint="eastAsia" w:ascii="宋体" w:hAnsi="宋体"/>
                <w:b/>
                <w:bCs/>
                <w:iCs/>
                <w:sz w:val="24"/>
                <w:szCs w:val="24"/>
              </w:rPr>
              <w:t>投资者关系活动主要内容介绍</w:t>
            </w:r>
          </w:p>
        </w:tc>
        <w:tc>
          <w:tcPr>
            <w:tcW w:w="6203" w:type="dxa"/>
          </w:tcPr>
          <w:p w14:paraId="1DF44911">
            <w:pPr>
              <w:numPr>
                <w:ilvl w:val="255"/>
                <w:numId w:val="0"/>
              </w:numPr>
              <w:spacing w:before="156" w:beforeLines="50" w:line="360" w:lineRule="auto"/>
              <w:ind w:firstLine="480" w:firstLineChars="200"/>
              <w:rPr>
                <w:sz w:val="24"/>
              </w:rPr>
            </w:pPr>
            <w:r>
              <w:rPr>
                <w:rFonts w:hint="eastAsia"/>
                <w:sz w:val="24"/>
              </w:rPr>
              <w:t>一、公司介绍环节</w:t>
            </w:r>
          </w:p>
          <w:p w14:paraId="3C74F722">
            <w:pPr>
              <w:numPr>
                <w:ilvl w:val="255"/>
                <w:numId w:val="0"/>
              </w:numPr>
              <w:spacing w:before="156" w:beforeLines="50" w:line="360" w:lineRule="auto"/>
              <w:ind w:firstLine="480" w:firstLineChars="200"/>
              <w:rPr>
                <w:rFonts w:hint="default"/>
                <w:sz w:val="24"/>
                <w:lang w:val="en-US" w:eastAsia="zh-CN"/>
              </w:rPr>
            </w:pPr>
            <w:r>
              <w:rPr>
                <w:rFonts w:hint="eastAsia"/>
                <w:sz w:val="24"/>
              </w:rPr>
              <w:t>公司是一家专业的药物临床前及临床综合研发服务 CRO，为国内医药企业和科研机构提供全方位的一站式药物研发服务，致力于协助国内医药制造企业加速实现进口替代和自主创新。服务内容主要包括药物发现、药理药效、药学研究、临床研究和生物分析。</w:t>
            </w:r>
            <w:r>
              <w:rPr>
                <w:rFonts w:hint="eastAsia" w:ascii="Times New Roman" w:hAnsi="Times New Roman" w:eastAsia="宋体" w:cs="Times New Roman"/>
                <w:sz w:val="24"/>
                <w:szCs w:val="24"/>
              </w:rPr>
              <w:t>作为一家专注于药物创新研发的综合性企业，阳光诺和在自研创新、技术升级及全球化布局上实现多重突破，展现出从CRO“委托方”向创新驱动型“合作方”转型的强劲势能。</w:t>
            </w:r>
          </w:p>
          <w:p w14:paraId="5CC9A466">
            <w:pPr>
              <w:numPr>
                <w:ilvl w:val="255"/>
                <w:numId w:val="0"/>
              </w:numPr>
              <w:spacing w:before="156" w:beforeLines="50" w:line="360" w:lineRule="auto"/>
              <w:ind w:firstLine="480" w:firstLineChars="200"/>
              <w:rPr>
                <w:rFonts w:hint="default"/>
                <w:sz w:val="24"/>
                <w:lang w:val="en-US" w:eastAsia="zh-CN"/>
              </w:rPr>
            </w:pPr>
            <w:r>
              <w:rPr>
                <w:rFonts w:hint="eastAsia" w:ascii="宋体" w:hAnsi="宋体"/>
                <w:b/>
                <w:iCs/>
                <w:sz w:val="24"/>
                <w:szCs w:val="24"/>
              </w:rPr>
              <w:t>二、问答环节</w:t>
            </w:r>
          </w:p>
          <w:p w14:paraId="3321A73D">
            <w:pPr>
              <w:numPr>
                <w:ilvl w:val="0"/>
                <w:numId w:val="1"/>
              </w:numPr>
              <w:spacing w:before="156" w:beforeLines="50" w:line="360" w:lineRule="auto"/>
              <w:ind w:left="425" w:leftChars="0" w:firstLine="1" w:firstLineChars="0"/>
              <w:rPr>
                <w:rFonts w:hint="eastAsia" w:ascii="宋体" w:hAnsi="宋体"/>
                <w:b w:val="0"/>
                <w:bCs/>
                <w:iCs/>
                <w:sz w:val="24"/>
                <w:szCs w:val="24"/>
                <w:lang w:val="en-US" w:eastAsia="zh-CN"/>
              </w:rPr>
            </w:pPr>
            <w:r>
              <w:rPr>
                <w:rFonts w:hint="eastAsia"/>
                <w:b/>
                <w:iCs/>
                <w:sz w:val="24"/>
                <w:szCs w:val="24"/>
                <w:lang w:val="en-US" w:eastAsia="zh-CN"/>
              </w:rPr>
              <w:t>近期公司自愿披露关于签署《ABA001项目合作开发协议》的公告，请公司介绍一下该项目？</w:t>
            </w:r>
          </w:p>
          <w:p w14:paraId="404DB656">
            <w:pPr>
              <w:keepNext w:val="0"/>
              <w:keepLines w:val="0"/>
              <w:pageBreakBefore w:val="0"/>
              <w:widowControl w:val="0"/>
              <w:numPr>
                <w:ilvl w:val="255"/>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ascii="宋体" w:hAnsi="宋体"/>
                <w:b w:val="0"/>
                <w:bCs/>
                <w:iCs/>
                <w:sz w:val="24"/>
                <w:szCs w:val="24"/>
                <w:lang w:val="en-US" w:eastAsia="zh-CN"/>
              </w:rPr>
            </w:pPr>
            <w:r>
              <w:rPr>
                <w:rFonts w:hint="eastAsia"/>
                <w:b w:val="0"/>
                <w:bCs/>
                <w:sz w:val="24"/>
                <w:highlight w:val="none"/>
                <w:lang w:val="en-US" w:eastAsia="zh-CN"/>
              </w:rPr>
              <w:t>全资子公司阿尔纳研发的ABA001注射液，是一款靶向血管紧张素原（AGT）的信使RNA（mRNA)基因的小干扰核苷酸药物，偶联N-乙酰半乳糖胺递送系统，可精准地将药物递送至肝脏细胞，通过siRNA的干扰沉默机制，从源头靶向沉默AGT的信使RNA，阻断AGT蛋白的合成，从根本上抑制肾素-血管紧张素-醛固酮系统升高血压的作用，从而降低血压。截至2026年半年度报告出具日，该品种正处于I期临床试验阶段</w:t>
            </w:r>
            <w:r>
              <w:rPr>
                <w:rFonts w:hint="eastAsia" w:ascii="宋体" w:hAnsi="宋体"/>
                <w:b w:val="0"/>
                <w:bCs/>
                <w:iCs/>
                <w:sz w:val="24"/>
                <w:szCs w:val="24"/>
                <w:lang w:val="en-US" w:eastAsia="zh-CN"/>
              </w:rPr>
              <w:t>。</w:t>
            </w:r>
          </w:p>
          <w:p w14:paraId="5861EF40">
            <w:pPr>
              <w:numPr>
                <w:ilvl w:val="0"/>
                <w:numId w:val="1"/>
              </w:numPr>
              <w:spacing w:before="156" w:beforeLines="50" w:line="360" w:lineRule="auto"/>
              <w:ind w:left="425" w:leftChars="0" w:firstLine="1" w:firstLineChars="0"/>
              <w:rPr>
                <w:rFonts w:hint="eastAsia" w:ascii="宋体" w:hAnsi="宋体"/>
                <w:b w:val="0"/>
                <w:bCs/>
                <w:iCs/>
                <w:sz w:val="24"/>
                <w:szCs w:val="24"/>
                <w:lang w:val="en-US" w:eastAsia="zh-CN"/>
              </w:rPr>
            </w:pPr>
            <w:r>
              <w:rPr>
                <w:rFonts w:hint="eastAsia"/>
                <w:b/>
                <w:bCs w:val="0"/>
                <w:sz w:val="24"/>
                <w:highlight w:val="none"/>
                <w:lang w:val="en-US" w:eastAsia="zh-CN"/>
              </w:rPr>
              <w:t>介绍本次与万高药业合作的交易模式</w:t>
            </w:r>
            <w:r>
              <w:rPr>
                <w:rFonts w:hint="default"/>
                <w:b/>
                <w:sz w:val="24"/>
                <w:highlight w:val="none"/>
                <w:lang w:val="en-US" w:eastAsia="zh-CN"/>
              </w:rPr>
              <w:t>？</w:t>
            </w:r>
          </w:p>
          <w:p w14:paraId="1AB7A049">
            <w:pPr>
              <w:keepNext w:val="0"/>
              <w:keepLines w:val="0"/>
              <w:pageBreakBefore w:val="0"/>
              <w:widowControl w:val="0"/>
              <w:numPr>
                <w:ilvl w:val="255"/>
                <w:numId w:val="0"/>
              </w:numPr>
              <w:kinsoku/>
              <w:wordWrap/>
              <w:overflowPunct/>
              <w:topLinePunct w:val="0"/>
              <w:autoSpaceDE/>
              <w:autoSpaceDN/>
              <w:bidi w:val="0"/>
              <w:adjustRightInd/>
              <w:snapToGrid/>
              <w:spacing w:before="156" w:beforeLines="50" w:line="360" w:lineRule="auto"/>
              <w:ind w:firstLine="480" w:firstLineChars="200"/>
              <w:textAlignment w:val="auto"/>
              <w:rPr>
                <w:rFonts w:hint="default" w:ascii="宋体" w:hAnsi="宋体"/>
                <w:b w:val="0"/>
                <w:bCs/>
                <w:iCs/>
                <w:sz w:val="24"/>
                <w:szCs w:val="24"/>
                <w:lang w:val="en-US" w:eastAsia="zh-CN"/>
              </w:rPr>
            </w:pPr>
            <w:r>
              <w:rPr>
                <w:rFonts w:hint="eastAsia" w:ascii="宋体" w:hAnsi="宋体"/>
                <w:b w:val="0"/>
                <w:bCs/>
                <w:iCs/>
                <w:sz w:val="24"/>
                <w:szCs w:val="24"/>
                <w:lang w:val="en-US" w:eastAsia="zh-CN"/>
              </w:rPr>
              <w:t>根据《ABA001项目合作开发协议》约定，万高药业本期投资人民币5,000万元，全部款项仅用于协议产品境内临床试验、研发优化、注册申报、合规运维及项目直接相关支出，不得挪作他用。本期项目投资款项分两期按研发节点支付，分别是第一期款项:本协议正式生效后10个工作日内；第二期款项:项目启动I期临床试验后10个工作日内。</w:t>
            </w:r>
          </w:p>
          <w:p w14:paraId="7977E3DC">
            <w:pPr>
              <w:keepNext w:val="0"/>
              <w:keepLines w:val="0"/>
              <w:pageBreakBefore w:val="0"/>
              <w:widowControl w:val="0"/>
              <w:numPr>
                <w:ilvl w:val="255"/>
                <w:numId w:val="0"/>
              </w:numPr>
              <w:kinsoku/>
              <w:wordWrap/>
              <w:overflowPunct/>
              <w:topLinePunct w:val="0"/>
              <w:autoSpaceDE/>
              <w:autoSpaceDN/>
              <w:bidi w:val="0"/>
              <w:adjustRightInd/>
              <w:snapToGrid/>
              <w:spacing w:before="156" w:beforeLines="50" w:line="360" w:lineRule="auto"/>
              <w:ind w:firstLine="480" w:firstLineChars="200"/>
              <w:textAlignment w:val="auto"/>
              <w:rPr>
                <w:rFonts w:hint="default" w:ascii="宋体" w:hAnsi="宋体"/>
                <w:b w:val="0"/>
                <w:bCs/>
                <w:iCs/>
                <w:sz w:val="24"/>
                <w:szCs w:val="24"/>
                <w:lang w:val="en-US" w:eastAsia="zh-CN"/>
              </w:rPr>
            </w:pPr>
            <w:r>
              <w:rPr>
                <w:rFonts w:hint="eastAsia" w:ascii="宋体" w:hAnsi="宋体"/>
                <w:b w:val="0"/>
                <w:bCs/>
                <w:iCs/>
                <w:sz w:val="24"/>
                <w:szCs w:val="24"/>
                <w:lang w:val="en-US" w:eastAsia="zh-CN"/>
              </w:rPr>
              <w:t>本项目已于 2026年1月完成全部临床前研究工作申报临床试验(受理号:CXHL2600091)并于2026年4月取得国家药品监督管理局核发的药物临床试验批准通知书，用于高血压的治疗。目前该项目正处于临床</w:t>
            </w:r>
            <w:r>
              <w:rPr>
                <w:rFonts w:hint="eastAsia"/>
                <w:b w:val="0"/>
                <w:bCs/>
                <w:sz w:val="24"/>
                <w:highlight w:val="none"/>
                <w:lang w:val="en-US" w:eastAsia="zh-CN"/>
              </w:rPr>
              <w:t>I期试验阶段。</w:t>
            </w:r>
          </w:p>
          <w:p w14:paraId="1630CA43">
            <w:pPr>
              <w:numPr>
                <w:ilvl w:val="0"/>
                <w:numId w:val="1"/>
              </w:numPr>
              <w:spacing w:before="156" w:beforeLines="50" w:line="360" w:lineRule="auto"/>
              <w:ind w:left="425" w:leftChars="0" w:firstLine="1" w:firstLineChars="0"/>
              <w:rPr>
                <w:rFonts w:hint="eastAsia"/>
                <w:b/>
                <w:sz w:val="24"/>
                <w:highlight w:val="none"/>
              </w:rPr>
            </w:pPr>
            <w:r>
              <w:rPr>
                <w:rFonts w:hint="eastAsia"/>
                <w:b/>
                <w:sz w:val="24"/>
                <w:highlight w:val="none"/>
                <w:lang w:val="en-US" w:eastAsia="zh-CN"/>
              </w:rPr>
              <w:t>公司其他小核酸管线研发进展？同时，公司近期披露以简易程序向特定对象发行股票预案，募集资金投向核酸药物平台，请介绍该项目的战略意义</w:t>
            </w:r>
            <w:r>
              <w:rPr>
                <w:rFonts w:hint="default"/>
                <w:b/>
                <w:sz w:val="24"/>
                <w:highlight w:val="none"/>
                <w:lang w:val="en-US" w:eastAsia="zh-CN"/>
              </w:rPr>
              <w:t>？</w:t>
            </w:r>
          </w:p>
          <w:p w14:paraId="27D10739">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default"/>
                <w:b w:val="0"/>
                <w:bCs/>
                <w:sz w:val="24"/>
                <w:highlight w:val="none"/>
                <w:lang w:val="en-US" w:eastAsia="zh-CN"/>
              </w:rPr>
            </w:pPr>
            <w:r>
              <w:rPr>
                <w:rFonts w:hint="eastAsia"/>
                <w:b w:val="0"/>
                <w:bCs/>
                <w:sz w:val="24"/>
                <w:highlight w:val="none"/>
                <w:lang w:val="en-US" w:eastAsia="zh-CN"/>
              </w:rPr>
              <w:t>在小核酸药物开发领域，公司建立肝内及肝外小核酸药物开发平台。该平台专注于小核酸药物的递送系统研究，致力于解决小核酸药物在体内稳定性、靶向性及生物利用度等方面的挑战。通过创新的靶向系统设计，公司能够有效提高小核酸药物的递送效率和治疗效果，为小核酸药物的临床应用奠定了坚实基础。目前，公司在研小核酸药物已有10余条，正有序推进研发工作。</w:t>
            </w:r>
          </w:p>
          <w:p w14:paraId="530CF133">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b w:val="0"/>
                <w:bCs/>
                <w:sz w:val="24"/>
                <w:highlight w:val="none"/>
                <w:lang w:val="en-US" w:eastAsia="zh-CN"/>
              </w:rPr>
            </w:pPr>
            <w:r>
              <w:rPr>
                <w:rFonts w:hint="eastAsia"/>
                <w:b w:val="0"/>
                <w:bCs/>
                <w:sz w:val="24"/>
                <w:highlight w:val="none"/>
                <w:lang w:val="en-US" w:eastAsia="zh-CN"/>
              </w:rPr>
              <w:t>公司于2026年7月3日披露预案，拟以简易程序向特定对象发行股票，募集资金总额不超过2.4亿元，用于核酸药物发现与中试实验平台研发建设项目及补充流动资金。</w:t>
            </w:r>
          </w:p>
          <w:p w14:paraId="10AAFB49">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b w:val="0"/>
                <w:bCs/>
                <w:sz w:val="24"/>
                <w:highlight w:val="none"/>
                <w:lang w:val="en-US" w:eastAsia="zh-CN"/>
              </w:rPr>
            </w:pPr>
            <w:r>
              <w:rPr>
                <w:rFonts w:hint="eastAsia"/>
                <w:b w:val="0"/>
                <w:bCs/>
                <w:sz w:val="24"/>
                <w:highlight w:val="none"/>
                <w:lang w:val="en-US" w:eastAsia="zh-CN"/>
              </w:rPr>
              <w:t>首先，在核酸市场增速迅猛的情况下，本项目能够对公司现有技术资源进行系统性整合与能级提升，将推动公司实现从持有优质项目资产升级为具备承载与转化资产能力的平台，从而贯通研发成果商业化的最终环节，是公司抢占核酸药物产业扩容行业红利的必然选择。</w:t>
            </w:r>
          </w:p>
          <w:p w14:paraId="77C15178">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default"/>
                <w:b w:val="0"/>
                <w:bCs/>
                <w:sz w:val="24"/>
                <w:highlight w:val="none"/>
                <w:lang w:val="en-US" w:eastAsia="zh-CN"/>
              </w:rPr>
            </w:pPr>
            <w:r>
              <w:rPr>
                <w:rFonts w:hint="eastAsia"/>
                <w:b w:val="0"/>
                <w:bCs/>
                <w:sz w:val="24"/>
                <w:highlight w:val="none"/>
                <w:lang w:val="en-US" w:eastAsia="zh-CN"/>
              </w:rPr>
              <w:t>此外，核酸药物具有研发周期较短、靶点覆盖范围广泛等先天优势，但其产业化进程中临床转化成功率与商业化可行性的关键决定因素在于递送效率、化学修饰与CMC这三大核心壁垒的突破。其中，化学修饰与递送系统构成了药物竞争力的关键屏障，直接决定了分子的体内稳定性、靶向精准性及安全性；而合成放大与纯化工艺则作为连接实验室成果与临床应用的枢纽。目前，公司已建立起核酸药物载药系统开发平台，并形成了一条核酸在研管线矩阵，核酸业务布局已完成从概念储备向临床验证的初期阶段，管线推进即将进入加速期。公司核酸核心管线ABA001注射液采用成熟的GalNAc递送系统，拟用于原发性高血压治疗，已于2026年1月正式获得国家药监局临床试验受理。此外，公司核酸管线还广泛覆盖高血糖、阿尔茨海默症、高尿酸及慢性阻塞性肺疾病等高发适应症。基于公司研发管线的推进进程，本项目的建设是公司提升研发资源复用率与产出效率的实际需求，通过将分散的技术储备整合为可复用的平台能力，确保高价值资产在既定时间内并遵循监管要求转化为临床成果，从而最大化公司的投资回报。</w:t>
            </w:r>
          </w:p>
          <w:p w14:paraId="4326E310">
            <w:pPr>
              <w:numPr>
                <w:ilvl w:val="0"/>
                <w:numId w:val="1"/>
              </w:numPr>
              <w:spacing w:before="156" w:beforeLines="50" w:line="360" w:lineRule="auto"/>
              <w:ind w:left="425" w:leftChars="0" w:firstLine="1" w:firstLineChars="0"/>
              <w:rPr>
                <w:rFonts w:hint="eastAsia"/>
                <w:b/>
                <w:sz w:val="24"/>
                <w:highlight w:val="none"/>
              </w:rPr>
            </w:pPr>
            <w:r>
              <w:rPr>
                <w:rFonts w:hint="default"/>
                <w:b/>
                <w:sz w:val="24"/>
                <w:highlight w:val="none"/>
                <w:lang w:val="en-US" w:eastAsia="zh-CN"/>
              </w:rPr>
              <w:t>公司</w:t>
            </w:r>
            <w:r>
              <w:rPr>
                <w:rFonts w:hint="eastAsia"/>
                <w:b/>
                <w:sz w:val="24"/>
                <w:highlight w:val="none"/>
                <w:lang w:val="en-US" w:eastAsia="zh-CN"/>
              </w:rPr>
              <w:t>前段时间还</w:t>
            </w:r>
            <w:r>
              <w:rPr>
                <w:rFonts w:hint="default"/>
                <w:b/>
                <w:sz w:val="24"/>
                <w:highlight w:val="none"/>
                <w:lang w:val="en-US" w:eastAsia="zh-CN"/>
              </w:rPr>
              <w:t>与药康生物签署了战略合作协议，请介绍合作内容及其对公司创新药业务的影响</w:t>
            </w:r>
            <w:r>
              <w:rPr>
                <w:rFonts w:hint="eastAsia"/>
                <w:b/>
                <w:sz w:val="24"/>
                <w:highlight w:val="none"/>
                <w:lang w:val="en-US" w:eastAsia="zh-CN"/>
              </w:rPr>
              <w:t>？</w:t>
            </w:r>
          </w:p>
          <w:p w14:paraId="047BE3DD">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b w:val="0"/>
                <w:bCs/>
                <w:sz w:val="24"/>
                <w:highlight w:val="none"/>
                <w:lang w:val="en-US" w:eastAsia="zh-CN"/>
              </w:rPr>
            </w:pPr>
            <w:r>
              <w:rPr>
                <w:rFonts w:hint="eastAsia"/>
                <w:b w:val="0"/>
                <w:bCs/>
                <w:sz w:val="24"/>
                <w:highlight w:val="none"/>
                <w:lang w:val="en-US" w:eastAsia="zh-CN"/>
              </w:rPr>
              <w:t xml:space="preserve"> 2026年7月，阳光诺和与药康生物签署长期战略合作协议，双方联手打造创新药研发新模式。</w:t>
            </w:r>
          </w:p>
          <w:p w14:paraId="281F1151">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b w:val="0"/>
                <w:bCs/>
                <w:sz w:val="24"/>
                <w:highlight w:val="none"/>
                <w:lang w:val="en-US" w:eastAsia="zh-CN"/>
              </w:rPr>
            </w:pPr>
            <w:r>
              <w:rPr>
                <w:rFonts w:hint="eastAsia"/>
                <w:b w:val="0"/>
                <w:bCs/>
                <w:sz w:val="24"/>
                <w:highlight w:val="none"/>
                <w:lang w:val="en-US" w:eastAsia="zh-CN"/>
              </w:rPr>
              <w:t>药康生物在实验动物模型领域具有领先优势，阳光诺和则在药物临床前、临床综合研发服务及自主创新药研发方面积累了丰富经验。双方合作可实现：</w:t>
            </w:r>
          </w:p>
          <w:p w14:paraId="20BD6654">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b w:val="0"/>
                <w:bCs/>
                <w:sz w:val="24"/>
                <w:highlight w:val="none"/>
                <w:lang w:val="en-US" w:eastAsia="zh-CN"/>
              </w:rPr>
            </w:pPr>
            <w:r>
              <w:rPr>
                <w:rFonts w:hint="eastAsia"/>
                <w:b w:val="0"/>
                <w:bCs/>
                <w:sz w:val="24"/>
                <w:highlight w:val="none"/>
                <w:lang w:val="en-US" w:eastAsia="zh-CN"/>
              </w:rPr>
              <w:t>资源互补：整合药康生物的模式动物平台与阳光诺和的药学、临床前研究能力，为客户提供从靶点验证到IND申报的更完整解决方案。面向创新药企共同推出“药康模型/抗体+阳光诺和AOC/转化”一体化打包服务，形成差异化竞争优势，提升项目获取能力与客户价值；</w:t>
            </w:r>
          </w:p>
          <w:p w14:paraId="68637C11">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b w:val="0"/>
                <w:bCs/>
                <w:sz w:val="24"/>
                <w:highlight w:val="none"/>
                <w:lang w:val="en-US" w:eastAsia="zh-CN"/>
              </w:rPr>
            </w:pPr>
            <w:r>
              <w:rPr>
                <w:rFonts w:hint="eastAsia"/>
                <w:b w:val="0"/>
                <w:bCs/>
                <w:sz w:val="24"/>
                <w:highlight w:val="none"/>
                <w:lang w:val="en-US" w:eastAsia="zh-CN"/>
              </w:rPr>
              <w:t>效率提升：通过早期介入和协同开发，缩短创新药临床前研究周期；</w:t>
            </w:r>
          </w:p>
          <w:p w14:paraId="54108CEF">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b w:val="0"/>
                <w:bCs/>
                <w:sz w:val="24"/>
                <w:highlight w:val="none"/>
                <w:lang w:val="en-US" w:eastAsia="zh-CN"/>
              </w:rPr>
            </w:pPr>
            <w:r>
              <w:rPr>
                <w:rFonts w:hint="eastAsia"/>
                <w:b w:val="0"/>
                <w:bCs/>
                <w:sz w:val="24"/>
                <w:highlight w:val="none"/>
                <w:lang w:val="en-US" w:eastAsia="zh-CN"/>
              </w:rPr>
              <w:t>共享成果：双方共同将联合研发的抗体分子、AOC分子、药效模型等成果推向市场，通过License‑out、技术授权、联合开发等方式实现商业化变现。</w:t>
            </w:r>
          </w:p>
          <w:p w14:paraId="49C52F2D">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default"/>
                <w:b/>
                <w:sz w:val="24"/>
                <w:highlight w:val="none"/>
                <w:lang w:val="en-US" w:eastAsia="zh-CN"/>
              </w:rPr>
            </w:pPr>
            <w:r>
              <w:rPr>
                <w:rFonts w:hint="eastAsia"/>
                <w:b w:val="0"/>
                <w:bCs/>
                <w:sz w:val="24"/>
                <w:highlight w:val="none"/>
                <w:lang w:val="en-US" w:eastAsia="zh-CN"/>
              </w:rPr>
              <w:t>此次合作是公司深化创新药战略布局的重要举措，与核酸药物平台建设、STC007等自研管线推进形成协同，共同推动公司从传统CRO服务向高附加值创新综合体转化。</w:t>
            </w:r>
          </w:p>
        </w:tc>
      </w:tr>
      <w:tr w14:paraId="4A63DE4C">
        <w:trPr>
          <w:trHeight w:val="821" w:hRule="atLeast"/>
        </w:trPr>
        <w:tc>
          <w:tcPr>
            <w:tcW w:w="2093" w:type="dxa"/>
            <w:vAlign w:val="center"/>
          </w:tcPr>
          <w:p w14:paraId="49E359F1">
            <w:pPr>
              <w:spacing w:line="360" w:lineRule="auto"/>
              <w:jc w:val="left"/>
              <w:rPr>
                <w:rFonts w:hint="eastAsia" w:ascii="宋体" w:hAnsi="宋体"/>
                <w:b/>
                <w:bCs/>
                <w:iCs/>
                <w:sz w:val="24"/>
                <w:szCs w:val="24"/>
              </w:rPr>
            </w:pPr>
            <w:r>
              <w:rPr>
                <w:rFonts w:hint="eastAsia" w:ascii="宋体" w:hAnsi="宋体"/>
                <w:b/>
                <w:bCs/>
                <w:iCs/>
                <w:sz w:val="24"/>
                <w:szCs w:val="24"/>
              </w:rPr>
              <w:t>附件清单（如有）</w:t>
            </w:r>
          </w:p>
        </w:tc>
        <w:tc>
          <w:tcPr>
            <w:tcW w:w="6203" w:type="dxa"/>
          </w:tcPr>
          <w:p w14:paraId="41A52917">
            <w:pPr>
              <w:spacing w:line="360" w:lineRule="auto"/>
              <w:rPr>
                <w:rFonts w:hint="eastAsia" w:ascii="宋体" w:hAnsi="宋体" w:cs="宋体"/>
                <w:sz w:val="24"/>
                <w:szCs w:val="24"/>
              </w:rPr>
            </w:pPr>
            <w:r>
              <w:rPr>
                <w:rFonts w:hint="eastAsia" w:ascii="宋体" w:hAnsi="宋体"/>
                <w:bCs/>
                <w:iCs/>
                <w:sz w:val="24"/>
                <w:szCs w:val="24"/>
              </w:rPr>
              <w:t>无</w:t>
            </w:r>
          </w:p>
        </w:tc>
      </w:tr>
      <w:tr w14:paraId="5D6C77D5">
        <w:tc>
          <w:tcPr>
            <w:tcW w:w="2093" w:type="dxa"/>
            <w:vAlign w:val="center"/>
          </w:tcPr>
          <w:p w14:paraId="717A6FD2">
            <w:pPr>
              <w:spacing w:line="360" w:lineRule="auto"/>
              <w:jc w:val="left"/>
              <w:rPr>
                <w:rFonts w:hint="eastAsia" w:ascii="宋体" w:hAnsi="宋体"/>
                <w:b/>
                <w:bCs/>
                <w:iCs/>
                <w:sz w:val="24"/>
                <w:szCs w:val="24"/>
              </w:rPr>
            </w:pPr>
            <w:r>
              <w:rPr>
                <w:rFonts w:hint="eastAsia" w:ascii="宋体" w:hAnsi="宋体"/>
                <w:b/>
                <w:bCs/>
                <w:iCs/>
                <w:sz w:val="24"/>
                <w:szCs w:val="24"/>
              </w:rPr>
              <w:t>日期</w:t>
            </w:r>
          </w:p>
        </w:tc>
        <w:tc>
          <w:tcPr>
            <w:tcW w:w="6203" w:type="dxa"/>
          </w:tcPr>
          <w:p w14:paraId="1087953D">
            <w:pPr>
              <w:spacing w:line="360" w:lineRule="auto"/>
              <w:rPr>
                <w:rFonts w:hint="eastAsia" w:ascii="宋体" w:hAnsi="宋体"/>
                <w:bCs/>
                <w:iCs/>
                <w:sz w:val="24"/>
                <w:szCs w:val="24"/>
              </w:rPr>
            </w:pPr>
            <w:r>
              <w:rPr>
                <w:rFonts w:hint="default" w:ascii="Times New Roman" w:hAnsi="Times New Roman"/>
                <w:bCs/>
                <w:iCs/>
                <w:sz w:val="24"/>
                <w:szCs w:val="24"/>
              </w:rPr>
              <w:t>20</w:t>
            </w:r>
            <w:r>
              <w:rPr>
                <w:rFonts w:ascii="Times New Roman" w:hAnsi="Times New Roman"/>
                <w:bCs/>
                <w:iCs/>
                <w:sz w:val="24"/>
                <w:szCs w:val="24"/>
              </w:rPr>
              <w:t>2</w:t>
            </w:r>
            <w:r>
              <w:rPr>
                <w:rFonts w:hint="eastAsia"/>
                <w:bCs/>
                <w:iCs/>
                <w:sz w:val="24"/>
                <w:szCs w:val="24"/>
                <w:lang w:val="en-US" w:eastAsia="zh-CN"/>
              </w:rPr>
              <w:t>6</w:t>
            </w:r>
            <w:r>
              <w:rPr>
                <w:rFonts w:hint="default" w:ascii="Times New Roman" w:hAnsi="Times New Roman"/>
                <w:bCs/>
                <w:iCs/>
                <w:sz w:val="24"/>
                <w:szCs w:val="24"/>
              </w:rPr>
              <w:t>年</w:t>
            </w:r>
            <w:r>
              <w:rPr>
                <w:rFonts w:hint="eastAsia"/>
                <w:bCs/>
                <w:iCs/>
                <w:sz w:val="24"/>
                <w:szCs w:val="24"/>
                <w:lang w:val="en-US" w:eastAsia="zh-CN"/>
              </w:rPr>
              <w:t>9</w:t>
            </w:r>
            <w:r>
              <w:rPr>
                <w:rFonts w:hint="default" w:ascii="Times New Roman" w:hAnsi="Times New Roman"/>
                <w:bCs/>
                <w:iCs/>
                <w:sz w:val="24"/>
                <w:szCs w:val="24"/>
              </w:rPr>
              <w:t>月</w:t>
            </w:r>
            <w:r>
              <w:rPr>
                <w:rFonts w:hint="eastAsia"/>
                <w:bCs/>
                <w:iCs/>
                <w:sz w:val="24"/>
                <w:szCs w:val="24"/>
                <w:lang w:val="en-US" w:eastAsia="zh-CN"/>
              </w:rPr>
              <w:t>22</w:t>
            </w:r>
            <w:r>
              <w:rPr>
                <w:rFonts w:hint="default" w:ascii="Times New Roman" w:hAnsi="Times New Roman"/>
                <w:bCs/>
                <w:iCs/>
                <w:sz w:val="24"/>
                <w:szCs w:val="24"/>
              </w:rPr>
              <w:t>日</w:t>
            </w:r>
          </w:p>
        </w:tc>
      </w:tr>
    </w:tbl>
    <w:p w14:paraId="3B62B90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Wingdings 2">
    <w:panose1 w:val="05020102010507070707"/>
    <w:charset w:val="02"/>
    <w:family w:val="roman"/>
    <w:pitch w:val="default"/>
    <w:sig w:usb0="00000000" w:usb1="00000000" w:usb2="00000000" w:usb3="00000000" w:csb0="8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D3353"/>
    <w:multiLevelType w:val="singleLevel"/>
    <w:tmpl w:val="FFFD3353"/>
    <w:lvl w:ilvl="0" w:tentative="0">
      <w:start w:val="1"/>
      <w:numFmt w:val="decimal"/>
      <w:lvlText w:val="%1."/>
      <w:lvlJc w:val="left"/>
      <w:pPr>
        <w:tabs>
          <w:tab w:val="left" w:pos="425"/>
        </w:tabs>
        <w:ind w:left="425" w:leftChars="0" w:firstLine="1"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45BEB"/>
    <w:rsid w:val="0BCFBD97"/>
    <w:rsid w:val="13132E6E"/>
    <w:rsid w:val="16DECD7E"/>
    <w:rsid w:val="24F41ECD"/>
    <w:rsid w:val="24FF6B67"/>
    <w:rsid w:val="5ADF7FF3"/>
    <w:rsid w:val="5C2F0412"/>
    <w:rsid w:val="5F8E4261"/>
    <w:rsid w:val="6EBFDD3A"/>
    <w:rsid w:val="745A752B"/>
    <w:rsid w:val="7BE7E883"/>
    <w:rsid w:val="7BF5BCA2"/>
    <w:rsid w:val="7DEEB279"/>
    <w:rsid w:val="7EFE23B0"/>
    <w:rsid w:val="9AFF4ADF"/>
    <w:rsid w:val="AB8F5DCA"/>
    <w:rsid w:val="CB6796A3"/>
    <w:rsid w:val="D9EBD737"/>
    <w:rsid w:val="DFEDA011"/>
    <w:rsid w:val="E39E61A1"/>
    <w:rsid w:val="EF9F9C3E"/>
    <w:rsid w:val="F6FF6463"/>
    <w:rsid w:val="FD4F9004"/>
    <w:rsid w:val="FDBD0DDB"/>
    <w:rsid w:val="FFAEF52F"/>
    <w:rsid w:val="FFBD9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4">
    <w:name w:val="annotation subject"/>
    <w:basedOn w:val="2"/>
    <w:next w:val="2"/>
    <w:link w:val="11"/>
    <w:qFormat/>
    <w:uiPriority w:val="0"/>
    <w:rPr>
      <w:b/>
      <w:bCs/>
    </w:rPr>
  </w:style>
  <w:style w:type="character" w:styleId="7">
    <w:name w:val="Strong"/>
    <w:basedOn w:val="6"/>
    <w:qFormat/>
    <w:uiPriority w:val="0"/>
    <w:rPr>
      <w:b/>
    </w:rPr>
  </w:style>
  <w:style w:type="character" w:styleId="8">
    <w:name w:val="annotation reference"/>
    <w:basedOn w:val="6"/>
    <w:qFormat/>
    <w:uiPriority w:val="0"/>
    <w:rPr>
      <w:sz w:val="21"/>
      <w:szCs w:val="21"/>
    </w:rPr>
  </w:style>
  <w:style w:type="paragraph" w:customStyle="1" w:styleId="9">
    <w:name w:val="Revision"/>
    <w:hidden/>
    <w:unhideWhenUsed/>
    <w:qFormat/>
    <w:uiPriority w:val="99"/>
    <w:rPr>
      <w:rFonts w:ascii="Times New Roman" w:hAnsi="Times New Roman" w:eastAsia="宋体" w:cs="Times New Roman"/>
      <w:kern w:val="2"/>
      <w:sz w:val="21"/>
      <w:lang w:val="en-US" w:eastAsia="zh-CN" w:bidi="ar-SA"/>
    </w:rPr>
  </w:style>
  <w:style w:type="character" w:customStyle="1" w:styleId="10">
    <w:name w:val="批注文字 字符"/>
    <w:basedOn w:val="6"/>
    <w:link w:val="2"/>
    <w:qFormat/>
    <w:uiPriority w:val="0"/>
    <w:rPr>
      <w:kern w:val="2"/>
      <w:sz w:val="21"/>
    </w:rPr>
  </w:style>
  <w:style w:type="character" w:customStyle="1" w:styleId="11">
    <w:name w:val="批注主题 字符"/>
    <w:basedOn w:val="10"/>
    <w:link w:val="4"/>
    <w:qFormat/>
    <w:uiPriority w:val="0"/>
    <w:rPr>
      <w:b/>
      <w:bCs/>
      <w:kern w:val="2"/>
      <w:sz w:val="21"/>
    </w:rPr>
  </w:style>
  <w:style w:type="paragraph" w:customStyle="1" w:styleId="12">
    <w:name w:val="p1"/>
    <w:basedOn w:val="1"/>
    <w:uiPriority w:val="0"/>
    <w:pPr>
      <w:spacing w:before="0" w:beforeAutospacing="0" w:after="0" w:afterAutospacing="0"/>
      <w:ind w:left="0" w:right="0"/>
      <w:jc w:val="left"/>
    </w:pPr>
    <w:rPr>
      <w:rFonts w:ascii="pingfang sc" w:hAnsi="pingfang sc" w:eastAsia="pingfang sc" w:cs="pingfang sc"/>
      <w:color w:val="000000"/>
      <w:kern w:val="0"/>
      <w:sz w:val="32"/>
      <w:szCs w:val="32"/>
      <w:lang w:val="en-US" w:eastAsia="zh-CN" w:bidi="ar"/>
    </w:rPr>
  </w:style>
  <w:style w:type="character" w:customStyle="1" w:styleId="13">
    <w:name w:val="s1"/>
    <w:basedOn w:val="6"/>
    <w:uiPriority w:val="0"/>
    <w:rPr>
      <w:rFonts w:ascii="Helvetica Neue" w:hAnsi="Helvetica Neue" w:eastAsia="Helvetica Neue" w:cs="Helvetica Neue"/>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4059</Words>
  <Characters>4266</Characters>
  <Lines>18</Lines>
  <Paragraphs>5</Paragraphs>
  <TotalTime>31</TotalTime>
  <ScaleCrop>false</ScaleCrop>
  <LinksUpToDate>false</LinksUpToDate>
  <CharactersWithSpaces>4330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2024-10-02T14:32:00Z</dcterms:created>
  <dc:creator>杨贵娇</dc:creator>
  <cp:lastModifiedBy>Anne马也</cp:lastModifiedBy>
  <dcterms:modified xsi:type="dcterms:W3CDTF">2026-09-22T14:16:23Z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F7EC834C60321D0A6F7DAA69D0ED4B6E_43</vt:lpwstr>
  </property>
  <property fmtid="{D5CDD505-2E9C-101B-9397-08002B2CF9AE}" pid="4" name="KSOTemplateDocerSaveRecord">
    <vt:lpwstr>eyJoZGlkIjoiZTM2MTRlOTE5NzU3Y2FhZmJjMTA4ODAwNjMyZWVhZDciLCJ1c2VySWQiOiIzOTQyNDEyNzQifQ==</vt:lpwstr>
  </property>
</Properties>
</file>