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1059F">
      <w:pPr>
        <w:spacing w:after="180" w:afterLines="50" w:line="400" w:lineRule="exact"/>
        <w:rPr>
          <w:color w:val="000000"/>
          <w:sz w:val="24"/>
          <w:szCs w:val="24"/>
        </w:rPr>
      </w:pPr>
      <w:r>
        <w:rPr>
          <w:color w:val="000000"/>
          <w:sz w:val="24"/>
          <w:szCs w:val="24"/>
        </w:rPr>
        <w:t>证券简称：菲沃泰                                                                                                              证券代码：688371</w:t>
      </w:r>
    </w:p>
    <w:p w14:paraId="18116487">
      <w:pPr>
        <w:spacing w:before="180" w:beforeLines="50" w:after="180" w:afterLines="50" w:line="400" w:lineRule="exact"/>
        <w:jc w:val="center"/>
        <w:rPr>
          <w:rFonts w:hint="eastAsia" w:ascii="宋体" w:hAnsi="宋体" w:cs="宋体"/>
          <w:b/>
          <w:bCs/>
          <w:color w:val="000000"/>
          <w:sz w:val="32"/>
          <w:szCs w:val="32"/>
        </w:rPr>
      </w:pPr>
      <w:r>
        <w:rPr>
          <w:rFonts w:hint="eastAsia" w:ascii="宋体" w:hAnsi="宋体" w:cs="宋体"/>
          <w:b/>
          <w:bCs/>
          <w:color w:val="000000"/>
          <w:sz w:val="32"/>
          <w:szCs w:val="32"/>
        </w:rPr>
        <w:t>江苏菲沃泰纳米科技股份有限公司</w:t>
      </w:r>
    </w:p>
    <w:p w14:paraId="6E4A589F">
      <w:pPr>
        <w:spacing w:before="180" w:beforeLines="50" w:after="180" w:afterLines="50" w:line="400" w:lineRule="exact"/>
        <w:jc w:val="center"/>
        <w:rPr>
          <w:rFonts w:ascii="宋体"/>
          <w:b/>
          <w:bCs/>
          <w:color w:val="000000"/>
          <w:sz w:val="32"/>
          <w:szCs w:val="32"/>
        </w:rPr>
      </w:pPr>
      <w:r>
        <w:rPr>
          <w:rFonts w:hint="eastAsia" w:ascii="宋体" w:hAnsi="宋体" w:cs="宋体"/>
          <w:b/>
          <w:bCs/>
          <w:color w:val="000000"/>
          <w:sz w:val="32"/>
          <w:szCs w:val="32"/>
        </w:rPr>
        <w:t>投资者关系活动记录表</w:t>
      </w:r>
    </w:p>
    <w:p w14:paraId="3536B3D7">
      <w:pPr>
        <w:spacing w:line="400" w:lineRule="exact"/>
        <w:ind w:right="960" w:firstLine="7680" w:firstLineChars="3200"/>
        <w:rPr>
          <w:rFonts w:hint="eastAsia" w:eastAsia="宋体"/>
          <w:color w:val="000000"/>
          <w:sz w:val="24"/>
          <w:szCs w:val="24"/>
          <w:lang w:val="en-US" w:eastAsia="zh-CN"/>
        </w:rPr>
      </w:pPr>
      <w:r>
        <w:rPr>
          <w:color w:val="000000"/>
          <w:sz w:val="24"/>
          <w:szCs w:val="24"/>
        </w:rPr>
        <w:t>编号：202</w:t>
      </w:r>
      <w:r>
        <w:rPr>
          <w:rFonts w:hint="eastAsia"/>
          <w:color w:val="000000"/>
          <w:sz w:val="24"/>
          <w:szCs w:val="24"/>
        </w:rPr>
        <w:t>6</w:t>
      </w:r>
      <w:r>
        <w:rPr>
          <w:color w:val="000000"/>
          <w:sz w:val="24"/>
          <w:szCs w:val="24"/>
        </w:rPr>
        <w:t>-0</w:t>
      </w:r>
      <w:r>
        <w:rPr>
          <w:rFonts w:hint="eastAsia"/>
          <w:color w:val="000000"/>
          <w:sz w:val="24"/>
          <w:szCs w:val="24"/>
        </w:rPr>
        <w:t>0</w:t>
      </w:r>
      <w:r>
        <w:rPr>
          <w:rFonts w:hint="eastAsia"/>
          <w:color w:val="000000"/>
          <w:sz w:val="24"/>
          <w:szCs w:val="24"/>
          <w:lang w:val="en-US" w:eastAsia="zh-CN"/>
        </w:rPr>
        <w:t>3</w:t>
      </w:r>
    </w:p>
    <w:tbl>
      <w:tblPr>
        <w:tblStyle w:val="8"/>
        <w:tblW w:w="1068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8840"/>
      </w:tblGrid>
      <w:tr w14:paraId="2785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vAlign w:val="center"/>
          </w:tcPr>
          <w:p w14:paraId="0E9DFE20">
            <w:pPr>
              <w:keepNext w:val="0"/>
              <w:keepLines w:val="0"/>
              <w:pageBreakBefore w:val="0"/>
              <w:widowControl w:val="0"/>
              <w:kinsoku/>
              <w:wordWrap/>
              <w:overflowPunct/>
              <w:topLinePunct w:val="0"/>
              <w:autoSpaceDE/>
              <w:autoSpaceDN/>
              <w:bidi w:val="0"/>
              <w:spacing w:line="240" w:lineRule="auto"/>
              <w:textAlignment w:val="auto"/>
              <w:rPr>
                <w:color w:val="000000"/>
                <w:sz w:val="24"/>
                <w:szCs w:val="24"/>
              </w:rPr>
            </w:pPr>
            <w:r>
              <w:rPr>
                <w:color w:val="000000"/>
                <w:sz w:val="24"/>
                <w:szCs w:val="24"/>
              </w:rPr>
              <w:t>投资者关系活动类别</w:t>
            </w:r>
          </w:p>
        </w:tc>
        <w:tc>
          <w:tcPr>
            <w:tcW w:w="8840" w:type="dxa"/>
          </w:tcPr>
          <w:p w14:paraId="5E2ABBE2">
            <w:pPr>
              <w:spacing w:line="480" w:lineRule="atLeast"/>
              <w:rPr>
                <w:color w:val="000000"/>
                <w:sz w:val="24"/>
                <w:szCs w:val="24"/>
              </w:rPr>
            </w:pPr>
            <w:r>
              <w:rPr>
                <w:color w:val="000000"/>
                <w:sz w:val="24"/>
                <w:szCs w:val="24"/>
              </w:rPr>
              <w:t>□</w:t>
            </w:r>
            <w:r>
              <w:rPr>
                <w:sz w:val="24"/>
                <w:szCs w:val="24"/>
              </w:rPr>
              <w:t xml:space="preserve">特定对象调研    </w:t>
            </w:r>
            <w:r>
              <w:rPr>
                <w:color w:val="000000"/>
                <w:sz w:val="24"/>
                <w:szCs w:val="24"/>
              </w:rPr>
              <w:t>□</w:t>
            </w:r>
            <w:r>
              <w:rPr>
                <w:sz w:val="24"/>
                <w:szCs w:val="24"/>
              </w:rPr>
              <w:t>分析师会议</w:t>
            </w:r>
          </w:p>
          <w:p w14:paraId="2876B807">
            <w:pPr>
              <w:spacing w:line="480" w:lineRule="atLeast"/>
              <w:rPr>
                <w:color w:val="000000"/>
                <w:sz w:val="24"/>
                <w:szCs w:val="24"/>
              </w:rPr>
            </w:pPr>
            <w:r>
              <w:rPr>
                <w:color w:val="000000"/>
                <w:sz w:val="24"/>
                <w:szCs w:val="24"/>
              </w:rPr>
              <w:t>□</w:t>
            </w:r>
            <w:r>
              <w:rPr>
                <w:sz w:val="24"/>
                <w:szCs w:val="24"/>
              </w:rPr>
              <w:t xml:space="preserve">媒体采访            </w:t>
            </w:r>
            <w:r>
              <w:rPr>
                <w:color w:val="000000"/>
                <w:sz w:val="24"/>
                <w:szCs w:val="24"/>
              </w:rPr>
              <w:t>■</w:t>
            </w:r>
            <w:r>
              <w:rPr>
                <w:sz w:val="24"/>
                <w:szCs w:val="24"/>
              </w:rPr>
              <w:t xml:space="preserve">业绩说明会  </w:t>
            </w:r>
          </w:p>
          <w:p w14:paraId="6D7E9FBC">
            <w:pPr>
              <w:spacing w:line="480" w:lineRule="atLeast"/>
              <w:rPr>
                <w:color w:val="000000"/>
                <w:sz w:val="24"/>
                <w:szCs w:val="24"/>
              </w:rPr>
            </w:pPr>
            <w:r>
              <w:rPr>
                <w:color w:val="000000"/>
                <w:sz w:val="24"/>
                <w:szCs w:val="24"/>
              </w:rPr>
              <w:t>□</w:t>
            </w:r>
            <w:r>
              <w:rPr>
                <w:sz w:val="24"/>
                <w:szCs w:val="24"/>
              </w:rPr>
              <w:t xml:space="preserve">新闻发布会        </w:t>
            </w:r>
            <w:r>
              <w:rPr>
                <w:color w:val="000000"/>
                <w:sz w:val="24"/>
                <w:szCs w:val="24"/>
              </w:rPr>
              <w:t>□</w:t>
            </w:r>
            <w:r>
              <w:rPr>
                <w:sz w:val="24"/>
                <w:szCs w:val="24"/>
              </w:rPr>
              <w:t>路演活动</w:t>
            </w:r>
          </w:p>
          <w:p w14:paraId="2DC2DC2B">
            <w:pPr>
              <w:tabs>
                <w:tab w:val="left" w:pos="3045"/>
                <w:tab w:val="center" w:pos="3199"/>
              </w:tabs>
              <w:spacing w:line="480" w:lineRule="atLeast"/>
              <w:rPr>
                <w:color w:val="000000"/>
                <w:sz w:val="24"/>
                <w:szCs w:val="24"/>
              </w:rPr>
            </w:pPr>
            <w:r>
              <w:rPr>
                <w:color w:val="000000"/>
                <w:sz w:val="24"/>
                <w:szCs w:val="24"/>
              </w:rPr>
              <w:t>□</w:t>
            </w:r>
            <w:r>
              <w:rPr>
                <w:sz w:val="24"/>
                <w:szCs w:val="24"/>
              </w:rPr>
              <w:t xml:space="preserve">现场参观            </w:t>
            </w:r>
            <w:r>
              <w:rPr>
                <w:color w:val="000000"/>
                <w:sz w:val="24"/>
                <w:szCs w:val="24"/>
              </w:rPr>
              <w:t>□</w:t>
            </w:r>
            <w:r>
              <w:rPr>
                <w:sz w:val="24"/>
                <w:szCs w:val="24"/>
              </w:rPr>
              <w:t>其他（</w:t>
            </w:r>
            <w:r>
              <w:rPr>
                <w:sz w:val="24"/>
                <w:szCs w:val="24"/>
                <w:u w:val="single"/>
              </w:rPr>
              <w:t>请文字说明其他活动内容）</w:t>
            </w:r>
          </w:p>
        </w:tc>
      </w:tr>
      <w:tr w14:paraId="7009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842" w:type="dxa"/>
            <w:vAlign w:val="center"/>
          </w:tcPr>
          <w:p w14:paraId="3C404074">
            <w:pPr>
              <w:keepNext w:val="0"/>
              <w:keepLines w:val="0"/>
              <w:pageBreakBefore w:val="0"/>
              <w:widowControl w:val="0"/>
              <w:kinsoku/>
              <w:wordWrap/>
              <w:overflowPunct/>
              <w:topLinePunct w:val="0"/>
              <w:autoSpaceDE/>
              <w:autoSpaceDN/>
              <w:bidi w:val="0"/>
              <w:spacing w:line="240" w:lineRule="auto"/>
              <w:textAlignment w:val="auto"/>
              <w:rPr>
                <w:color w:val="000000"/>
                <w:sz w:val="24"/>
                <w:szCs w:val="24"/>
              </w:rPr>
            </w:pPr>
            <w:r>
              <w:rPr>
                <w:color w:val="000000"/>
                <w:sz w:val="24"/>
                <w:szCs w:val="24"/>
              </w:rPr>
              <w:t>参与单位名称</w:t>
            </w:r>
          </w:p>
        </w:tc>
        <w:tc>
          <w:tcPr>
            <w:tcW w:w="8840" w:type="dxa"/>
            <w:vAlign w:val="center"/>
          </w:tcPr>
          <w:p w14:paraId="07F57EA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eastAsiaTheme="minorEastAsia"/>
                <w:color w:val="000000"/>
                <w:sz w:val="24"/>
                <w:szCs w:val="24"/>
              </w:rPr>
            </w:pPr>
            <w:r>
              <w:rPr>
                <w:rFonts w:eastAsiaTheme="minorEastAsia"/>
                <w:color w:val="000000"/>
                <w:sz w:val="24"/>
                <w:szCs w:val="24"/>
              </w:rPr>
              <w:t>线上参与202</w:t>
            </w:r>
            <w:r>
              <w:rPr>
                <w:rFonts w:hint="eastAsia" w:eastAsiaTheme="minorEastAsia"/>
                <w:color w:val="000000"/>
                <w:sz w:val="24"/>
                <w:szCs w:val="24"/>
                <w:lang w:val="en-US" w:eastAsia="zh-CN"/>
              </w:rPr>
              <w:t>6年半</w:t>
            </w:r>
            <w:r>
              <w:rPr>
                <w:rFonts w:eastAsiaTheme="minorEastAsia"/>
                <w:color w:val="000000"/>
                <w:sz w:val="24"/>
                <w:szCs w:val="24"/>
              </w:rPr>
              <w:t>年度业绩说明会的投资者</w:t>
            </w:r>
          </w:p>
        </w:tc>
      </w:tr>
      <w:tr w14:paraId="5821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842" w:type="dxa"/>
            <w:vAlign w:val="center"/>
          </w:tcPr>
          <w:p w14:paraId="3B471803">
            <w:pPr>
              <w:keepNext w:val="0"/>
              <w:keepLines w:val="0"/>
              <w:pageBreakBefore w:val="0"/>
              <w:widowControl w:val="0"/>
              <w:kinsoku/>
              <w:wordWrap/>
              <w:overflowPunct/>
              <w:topLinePunct w:val="0"/>
              <w:autoSpaceDE/>
              <w:autoSpaceDN/>
              <w:bidi w:val="0"/>
              <w:adjustRightInd w:val="0"/>
              <w:snapToGrid w:val="0"/>
              <w:spacing w:line="240" w:lineRule="auto"/>
              <w:textAlignment w:val="auto"/>
              <w:rPr>
                <w:color w:val="000000"/>
                <w:sz w:val="24"/>
                <w:szCs w:val="24"/>
              </w:rPr>
            </w:pPr>
            <w:r>
              <w:rPr>
                <w:color w:val="000000"/>
                <w:sz w:val="24"/>
                <w:szCs w:val="24"/>
              </w:rPr>
              <w:t>活动时间</w:t>
            </w:r>
          </w:p>
        </w:tc>
        <w:tc>
          <w:tcPr>
            <w:tcW w:w="8840" w:type="dxa"/>
            <w:tcBorders>
              <w:bottom w:val="single" w:color="auto" w:sz="4" w:space="0"/>
            </w:tcBorders>
            <w:vAlign w:val="center"/>
          </w:tcPr>
          <w:p w14:paraId="317106E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eastAsia="宋体"/>
                <w:color w:val="000000"/>
                <w:sz w:val="24"/>
                <w:szCs w:val="24"/>
                <w:lang w:val="en-US" w:eastAsia="zh-CN"/>
              </w:rPr>
            </w:pPr>
            <w:r>
              <w:rPr>
                <w:bCs/>
                <w:iCs/>
                <w:color w:val="000000"/>
                <w:sz w:val="24"/>
              </w:rPr>
              <w:t>202</w:t>
            </w:r>
            <w:r>
              <w:rPr>
                <w:rFonts w:hint="eastAsia"/>
                <w:bCs/>
                <w:iCs/>
                <w:color w:val="000000"/>
                <w:sz w:val="24"/>
              </w:rPr>
              <w:t>6</w:t>
            </w:r>
            <w:r>
              <w:rPr>
                <w:bCs/>
                <w:iCs/>
                <w:color w:val="000000"/>
                <w:sz w:val="24"/>
              </w:rPr>
              <w:t>年</w:t>
            </w:r>
            <w:r>
              <w:rPr>
                <w:rFonts w:hint="eastAsia"/>
                <w:bCs/>
                <w:iCs/>
                <w:color w:val="000000"/>
                <w:sz w:val="24"/>
                <w:lang w:val="en-US" w:eastAsia="zh-CN"/>
              </w:rPr>
              <w:t>9</w:t>
            </w:r>
            <w:r>
              <w:rPr>
                <w:bCs/>
                <w:iCs/>
                <w:color w:val="000000"/>
                <w:sz w:val="24"/>
              </w:rPr>
              <w:t>月</w:t>
            </w:r>
            <w:r>
              <w:rPr>
                <w:rFonts w:hint="eastAsia"/>
                <w:bCs/>
                <w:iCs/>
                <w:color w:val="000000"/>
                <w:sz w:val="24"/>
                <w:lang w:val="en-US" w:eastAsia="zh-CN"/>
              </w:rPr>
              <w:t>22</w:t>
            </w:r>
            <w:r>
              <w:rPr>
                <w:bCs/>
                <w:iCs/>
                <w:color w:val="000000"/>
                <w:sz w:val="24"/>
              </w:rPr>
              <w:t>日</w:t>
            </w:r>
            <w:r>
              <w:rPr>
                <w:rFonts w:hint="eastAsia"/>
                <w:bCs/>
                <w:iCs/>
                <w:color w:val="000000"/>
                <w:sz w:val="24"/>
                <w:lang w:val="en-US" w:eastAsia="zh-CN"/>
              </w:rPr>
              <w:t>13:00-14:</w:t>
            </w:r>
            <w:bookmarkStart w:id="0" w:name="_GoBack"/>
            <w:bookmarkEnd w:id="0"/>
            <w:r>
              <w:rPr>
                <w:rFonts w:hint="eastAsia"/>
                <w:bCs/>
                <w:iCs/>
                <w:color w:val="000000"/>
                <w:sz w:val="24"/>
                <w:lang w:val="en-US" w:eastAsia="zh-CN"/>
              </w:rPr>
              <w:t>00</w:t>
            </w:r>
          </w:p>
        </w:tc>
      </w:tr>
      <w:tr w14:paraId="07AA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842" w:type="dxa"/>
            <w:vAlign w:val="center"/>
          </w:tcPr>
          <w:p w14:paraId="1EEDE2E7">
            <w:pPr>
              <w:keepNext w:val="0"/>
              <w:keepLines w:val="0"/>
              <w:pageBreakBefore w:val="0"/>
              <w:widowControl w:val="0"/>
              <w:kinsoku/>
              <w:wordWrap/>
              <w:overflowPunct/>
              <w:topLinePunct w:val="0"/>
              <w:autoSpaceDE/>
              <w:autoSpaceDN/>
              <w:bidi w:val="0"/>
              <w:spacing w:line="240" w:lineRule="auto"/>
              <w:textAlignment w:val="auto"/>
              <w:rPr>
                <w:color w:val="000000"/>
                <w:sz w:val="24"/>
                <w:szCs w:val="24"/>
              </w:rPr>
            </w:pPr>
            <w:r>
              <w:rPr>
                <w:rFonts w:hint="eastAsia"/>
                <w:color w:val="000000"/>
                <w:sz w:val="24"/>
                <w:szCs w:val="24"/>
              </w:rPr>
              <w:t>地点</w:t>
            </w:r>
          </w:p>
        </w:tc>
        <w:tc>
          <w:tcPr>
            <w:tcW w:w="8840" w:type="dxa"/>
            <w:tcBorders>
              <w:bottom w:val="single" w:color="auto" w:sz="4" w:space="0"/>
            </w:tcBorders>
            <w:vAlign w:val="center"/>
          </w:tcPr>
          <w:p w14:paraId="2726698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eastAsiaTheme="minorEastAsia"/>
                <w:color w:val="000000"/>
                <w:sz w:val="24"/>
                <w:szCs w:val="24"/>
                <w:lang w:val="en-US" w:eastAsia="zh-CN"/>
              </w:rPr>
            </w:pPr>
            <w:r>
              <w:rPr>
                <w:rFonts w:hint="default" w:eastAsiaTheme="minorEastAsia"/>
                <w:color w:val="000000"/>
                <w:sz w:val="24"/>
                <w:szCs w:val="24"/>
                <w:lang w:val="en-US" w:eastAsia="zh-CN"/>
              </w:rPr>
              <w:t>价值在线（https://www.ir-online.cn/）网络互动</w:t>
            </w:r>
          </w:p>
        </w:tc>
      </w:tr>
      <w:tr w14:paraId="7636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42" w:type="dxa"/>
            <w:vAlign w:val="center"/>
          </w:tcPr>
          <w:p w14:paraId="44C318E8">
            <w:pPr>
              <w:keepNext w:val="0"/>
              <w:keepLines w:val="0"/>
              <w:pageBreakBefore w:val="0"/>
              <w:widowControl w:val="0"/>
              <w:kinsoku/>
              <w:wordWrap/>
              <w:overflowPunct/>
              <w:topLinePunct w:val="0"/>
              <w:autoSpaceDE/>
              <w:autoSpaceDN/>
              <w:bidi w:val="0"/>
              <w:spacing w:line="240" w:lineRule="auto"/>
              <w:textAlignment w:val="auto"/>
              <w:rPr>
                <w:color w:val="000000"/>
                <w:sz w:val="24"/>
                <w:szCs w:val="24"/>
              </w:rPr>
            </w:pPr>
            <w:r>
              <w:rPr>
                <w:color w:val="000000"/>
                <w:sz w:val="24"/>
                <w:szCs w:val="24"/>
              </w:rPr>
              <w:t>上市公司接待人员姓名</w:t>
            </w:r>
          </w:p>
        </w:tc>
        <w:tc>
          <w:tcPr>
            <w:tcW w:w="8840" w:type="dxa"/>
            <w:tcBorders>
              <w:top w:val="single" w:color="auto" w:sz="4" w:space="0"/>
            </w:tcBorders>
            <w:vAlign w:val="center"/>
          </w:tcPr>
          <w:p w14:paraId="577500D9">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default" w:eastAsiaTheme="minorEastAsia"/>
                <w:sz w:val="24"/>
                <w:szCs w:val="24"/>
              </w:rPr>
            </w:pPr>
            <w:r>
              <w:rPr>
                <w:rFonts w:eastAsiaTheme="minorEastAsia"/>
                <w:sz w:val="24"/>
                <w:szCs w:val="24"/>
              </w:rPr>
              <w:t>董</w:t>
            </w:r>
            <w:r>
              <w:rPr>
                <w:rFonts w:hint="default" w:eastAsiaTheme="minorEastAsia"/>
                <w:sz w:val="24"/>
                <w:szCs w:val="24"/>
              </w:rPr>
              <w:t>事长、总经理：宗坚</w:t>
            </w:r>
          </w:p>
          <w:p w14:paraId="6942C571">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default" w:eastAsiaTheme="minorEastAsia"/>
                <w:sz w:val="24"/>
                <w:szCs w:val="24"/>
              </w:rPr>
            </w:pPr>
            <w:r>
              <w:rPr>
                <w:rFonts w:hint="default" w:eastAsiaTheme="minorEastAsia"/>
                <w:sz w:val="24"/>
                <w:szCs w:val="24"/>
              </w:rPr>
              <w:t>董事、副总经理、董事会秘书：孙西林</w:t>
            </w:r>
          </w:p>
          <w:p w14:paraId="0DE39F1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default" w:eastAsiaTheme="minorEastAsia"/>
                <w:sz w:val="24"/>
                <w:szCs w:val="24"/>
              </w:rPr>
            </w:pPr>
            <w:r>
              <w:rPr>
                <w:rFonts w:hint="default" w:eastAsiaTheme="minorEastAsia"/>
                <w:sz w:val="24"/>
                <w:szCs w:val="24"/>
              </w:rPr>
              <w:t>财务总监：曲宁</w:t>
            </w:r>
          </w:p>
          <w:p w14:paraId="7847D152">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eastAsiaTheme="minorEastAsia"/>
                <w:sz w:val="24"/>
                <w:szCs w:val="24"/>
              </w:rPr>
            </w:pPr>
            <w:r>
              <w:rPr>
                <w:rFonts w:hint="default" w:eastAsiaTheme="minorEastAsia"/>
                <w:sz w:val="24"/>
                <w:szCs w:val="24"/>
              </w:rPr>
              <w:t>独立董事：竹民</w:t>
            </w:r>
          </w:p>
        </w:tc>
      </w:tr>
      <w:tr w14:paraId="377F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6" w:hRule="atLeast"/>
        </w:trPr>
        <w:tc>
          <w:tcPr>
            <w:tcW w:w="1842" w:type="dxa"/>
            <w:vAlign w:val="center"/>
          </w:tcPr>
          <w:p w14:paraId="16227FE4">
            <w:pPr>
              <w:spacing w:line="480" w:lineRule="atLeast"/>
              <w:rPr>
                <w:color w:val="000000"/>
                <w:sz w:val="24"/>
                <w:szCs w:val="24"/>
              </w:rPr>
            </w:pPr>
            <w:r>
              <w:rPr>
                <w:color w:val="000000"/>
                <w:sz w:val="24"/>
                <w:szCs w:val="24"/>
              </w:rPr>
              <w:t>投资者关系活动主要内容介绍</w:t>
            </w:r>
          </w:p>
        </w:tc>
        <w:tc>
          <w:tcPr>
            <w:tcW w:w="8840" w:type="dxa"/>
          </w:tcPr>
          <w:p w14:paraId="1D8C8318">
            <w:pPr>
              <w:pStyle w:val="27"/>
              <w:keepNext w:val="0"/>
              <w:keepLines w:val="0"/>
              <w:pageBreakBefore w:val="0"/>
              <w:widowControl w:val="0"/>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1、公司正在做哪些竞争对手尚未做的事</w:t>
            </w:r>
          </w:p>
          <w:p w14:paraId="58207A0E">
            <w:pPr>
              <w:pStyle w:val="27"/>
              <w:keepNext w:val="0"/>
              <w:keepLines w:val="0"/>
              <w:pageBreakBefore w:val="0"/>
              <w:widowControl w:val="0"/>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答：在传统优势领域，公司业务保持稳健：消费电子仍是基本盘，业务范围已从手机、耳机顺势切入AI眼镜、智能穿戴等新型硬件，功能点也从防水防腐蚀拓展到散热、增硬等多元场景，目前已进入多家头部客户供应链；汽车电子收入近年来持续增长，相关产品已在传感器、激光雷达、电子油泵、中控板等部件上陆续量产，客户覆盖三十余家。</w:t>
            </w:r>
          </w:p>
          <w:p w14:paraId="328DEAD7">
            <w:pPr>
              <w:pStyle w:val="27"/>
              <w:keepNext w:val="0"/>
              <w:keepLines w:val="0"/>
              <w:pageBreakBefore w:val="0"/>
              <w:widowControl w:val="0"/>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面向产业趋势，公司前瞻布局主要有：一是半导体先进制程，公司与相关大客户保持长期合作，业务自研发阶段逐步落地、实现少量营收，主要提供耐紫外疏水、增硬、超硬膜层；二是算力液冷，针对浸没式环境下冷却液对各类部件的腐蚀、溶胀、渗漏等难题，公司采用PECVD与CVD耦合真空镀膜技术，率先在服务器电源、算力大板、机柜风扇等部件上实现量产防护，兼顾散热效率与长期可靠性；三是AI硬件和可穿戴产品表面处理，依托自研设备制备兼具高透光性与高硬度的透明增硬涂层，布局AI眼镜、手机、手表等产品的表面增硬防护方向。</w:t>
            </w:r>
          </w:p>
          <w:p w14:paraId="5CD3256F">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领导您好，半年报产品节奏转换是来自于存量客户的复购与升级，还是增量市场的开拓等新产品完全接棒</w:t>
            </w:r>
          </w:p>
          <w:p w14:paraId="05C6D257">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公司产品节奏转换是</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存量升级</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与</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增量开拓</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双轮驱动的结果，二者相互衔接、并非单向接棒。一方面，存量客户需求随终端产品迭代持续升级，公司镀膜产品的覆盖范围与功能点随之不断扩大；另一方面，公司积极开拓增量市场，新领域的客户与产品正在陆续放量，为后续业绩修复与跨越式增长奠定了坚实基础。</w:t>
            </w:r>
          </w:p>
          <w:p w14:paraId="28D03019">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公司2026年上半年业绩承压的具体原因是什么？后续有哪些举措改善经营状况？</w:t>
            </w:r>
          </w:p>
          <w:p w14:paraId="30CB0C8D">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2026年上半年公司业绩承压主要受内外部因素叠加影响。外部层面，今年上半年，高端消费电子市场需求下行，公司消费电子营收占比达76%，行业周期波动对公司经营业绩产生一定影响。内部层面，汽车、算力、半导体等新业务尚处于培育落地期，项目推进节奏略低于前期规划，内部增长潜力未能如期释放。后续公司将持续夯实消费电子基本盘，同时加快新项目落地进程，不断优化业务结构，着力培育多元增长极。</w:t>
            </w:r>
          </w:p>
          <w:p w14:paraId="271E955C">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请问公司上半年具体有什么新业务？目前带来了多少收入？</w:t>
            </w:r>
          </w:p>
          <w:p w14:paraId="4D922780">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2026年上半年，公司保持对前沿纳米镀膜技术、高端装备迭代及新兴应用领域的前置研发投入，同时聚焦高附加值、高技术壁垒的核心产品线。得益于持续的技术深耕，公司在汽车电子、AI硬件、算力服务器、国产半导体先进制程等战略新兴领域的客户认证与项目储备取得突破性进展。从营业收入角度，公司消费电子收入占比为76%，汽车领域占比9%，医疗和个人护理行业占比5%，算力服务器及工业控制等其他领域占比10%。</w:t>
            </w:r>
          </w:p>
          <w:p w14:paraId="1C1C5491">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公司在半导体领域的布局和应用有哪些？</w:t>
            </w:r>
          </w:p>
          <w:p w14:paraId="0EC0A350">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当前，半导体行业正朝着更高集成度与更先进制程节点的方向加速演进，制造工艺升级带动高性能薄膜材料与高端设备需求提升。国内半导体制造企业在高性能薄膜产品方面仍依赖进口，存在采购成本高、供应链受限等问题，国产化替代需求迫切。面对这一产业趋势，公司布局半导体薄膜赛道，以自主研发的耐紫外疏水镀膜技术和DLC（类金刚石）薄膜技术为核心突破口，现已取得阶段性进展。在某些先进半导体制程的核心环节，公司的耐紫外疏水镀膜技术确保了核心器件表面的低浸润性，满足水滴无残留以及长期疏液稳定性的严苛工艺要求，从而显著提升了制造过程的稳定性与良率。公司自主研发的DLC镀膜产品，可有效应用于轴承、活塞环、晶圆卡盘等关键运动与承载部件，实现优异的增硬耐磨效果，并显著降低摩擦过程中产生的颗粒污染，完美契合了半导体制造对高洁净度环境的严苛要求。</w:t>
            </w:r>
          </w:p>
          <w:p w14:paraId="3ECC893F">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上述两大核心技术的国产化落地，在提升产品性能与可靠性的同时，帮助客户减少进口依赖，降低采购成本与供应链风险，同时为公司开辟了新的业务增长点，助力国内半导体关键材料与工艺环节自主可控。目前该类业务整体体量较小，公司正积极拓展客户，推动业务规模化放量。</w:t>
            </w:r>
          </w:p>
          <w:p w14:paraId="3EE35911">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宗董事长你好，非常喜欢贵公司的稳健风格，我想问的是三季度服务器和新能源电子产品的业务有无加快？</w:t>
            </w:r>
          </w:p>
          <w:p w14:paraId="4D7207AD">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公司长期坚持稳健经营的发展理念，在巩固消费电子领域市场优势的前提下，持续推进包括新能源汽车电子、AI硬件、算力服务器、国产半导体先进制程领域在内的多元下游市场拓展，目前公司产品已快速切入上述行业全球头部客户供应链，相关业务拓展节奏正在稳步加快，后续公司也将持续推进前沿产品的产业化布局，为高质量增长积蓄动能。</w:t>
            </w:r>
          </w:p>
          <w:p w14:paraId="18913C84">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公司在汽车领域的布局进展如何？</w:t>
            </w:r>
          </w:p>
          <w:p w14:paraId="6DA79473">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在汽车领域，公司已进入30余家客户的供应链体系。公司产品在新能源汽车BMS系统、升压充电系统、中控系统、电机热管理系统、传感器、控制电机、照明系统等核心部件领域具备广阔应用空间。目前已成功落地于座舱控制器、油泵控制器、齿轮、密封圈、控制板、中控台、后视镜控制板等多个核心部件场景。其中，公司打造的“电子油泵高性能降本防护解决方案”已在头部车企实现规模化应用，相关产线已部署至客户欧洲工厂。尽管整体收入仍在爬坡阶段，但已形成多点开花格局。</w:t>
            </w:r>
          </w:p>
          <w:p w14:paraId="1C3B7548">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公司产品在算力系统方面的应用方向是什么？</w:t>
            </w:r>
          </w:p>
          <w:p w14:paraId="7DE0A653">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随着AI、大数据技术发展，服务器算力需求爆发，芯片集成度与功率密度持续提升，既对散热性能提出更高要求，也使电子元件更易受高温、潮湿、灰尘侵蚀，影响运行可靠性。液冷已成为服务器散热主流方案，但传统氟化液存在环保问题，矿物油等替代介质易引发电子元件失效，行业亟需兼顾散热与元件防护的解决方案。</w:t>
            </w:r>
          </w:p>
          <w:p w14:paraId="51620267">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公司技术团队采用PECVD与CVD耦合真空镀膜技术，对浸没式PCBA等部件进行处理，在元件表面形成无针孔、厚度均匀的绝缘涂层；依托纳米材料微观覆形生长特性，可实现360°无死角均匀防护。</w:t>
            </w:r>
          </w:p>
          <w:p w14:paraId="07A87B7B">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目前，公司相关技术已在多家客户的服务器电源、算力大板、散热风扇等产品上成功应用。</w:t>
            </w:r>
          </w:p>
          <w:p w14:paraId="55A99727">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公司业务结构是怎样的？有什么变化？</w:t>
            </w:r>
          </w:p>
          <w:p w14:paraId="22439992">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2026年上半年，公司消费电子收入占比为76%，汽车领域占比9%，医疗和个人护理行业占比5%，算力服务器及工业控制等其他领域占比10%。公司已从原先单一聚焦消费电子的业务结构进一步转向多领域协同发展的产业格局，新业务多点开花，拓展成效持续显现并巩固。目前公司产品在多个领域均已深度融入全球头部客户供应链体系，未来公司将持续深耕市场开拓，着力培育更多业绩增长点。</w:t>
            </w:r>
          </w:p>
          <w:p w14:paraId="2F78E7AA">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公司未来拓展新赛道的战略重点是什么</w:t>
            </w:r>
            <w:r>
              <w:rPr>
                <w:rFonts w:hint="eastAsia" w:ascii="宋体" w:hAnsi="宋体" w:cs="宋体"/>
                <w:b/>
                <w:bCs/>
                <w:sz w:val="24"/>
                <w:szCs w:val="24"/>
                <w:lang w:val="en-US" w:eastAsia="zh-CN"/>
              </w:rPr>
              <w:t>？</w:t>
            </w:r>
          </w:p>
          <w:p w14:paraId="101F6EA0">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公司积极推进业务结构转型，加速实现“去消费电子依赖”战略。在巩固消费电子基本盘的前提下，基于公司核心技术的平台化应用能力，聚焦未来潜力赛道，拓展汽车、半导体、AI算力、光模块等新应用场景。</w:t>
            </w:r>
          </w:p>
          <w:p w14:paraId="7B09FD8F">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公司投资收购科盛机电部分股权是出于什么考虑？后续有哪些合作？</w:t>
            </w:r>
          </w:p>
          <w:p w14:paraId="457D5086">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科盛机电是一家专注于真空镀膜设备核心部件的高新技术企业，核心业务为真空镀膜设备核心零部件及耗材的研发与生产，主要产品包括平面阴极、旋转阴极、离子源等，是真空镀膜设备里决定镀膜质量的核心。目前科盛机电的产品广泛应用于3C消费电子、精密光学、光伏与锂电、半导体先进封装、工业制造等领域，其客户覆盖了半导体行业国内多家头部镀膜设备厂商。</w:t>
            </w:r>
          </w:p>
          <w:p w14:paraId="36DFC7BB">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盛机电的磁控阴极属于对应产品领域国产替代的一线制造商，技术实力强，产品标准化程度较高，批量量产工艺成熟，可以和公司现有镀膜业务形成较好的上下游互补关系。依托本次股权收购达成深度绑定后，双方可围绕镀膜核心部件开展长期联合研发，针对高端镀膜场景迭代升级产品性能、攻克关键工艺难点，进一步提升整体产品竞争力。通过本次投资，公司可以迅速获取科盛机电在技术、客户资源、市场渠道等方面的积累，加速公司在半导体、锂电、光学等前沿方向的布局，有助于实现双方技术资源的整合与协同。</w:t>
            </w:r>
          </w:p>
          <w:p w14:paraId="4534EF07">
            <w:pPr>
              <w:pStyle w:val="27"/>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482" w:firstLineChars="200"/>
              <w:textAlignment w:val="auto"/>
              <w:rPr>
                <w:rFonts w:hint="default" w:ascii="Times New Roman" w:hAnsi="Times New Roman"/>
                <w:sz w:val="24"/>
                <w:szCs w:val="24"/>
                <w:lang w:val="en-US" w:eastAsia="zh-CN"/>
              </w:rPr>
            </w:pPr>
            <w:r>
              <w:rPr>
                <w:rFonts w:hint="eastAsia" w:ascii="宋体" w:hAnsi="宋体" w:eastAsia="宋体" w:cs="宋体"/>
                <w:b/>
                <w:bCs/>
                <w:sz w:val="24"/>
                <w:szCs w:val="24"/>
                <w:lang w:val="en-US" w:eastAsia="zh-CN"/>
              </w:rPr>
              <w:t>您好，我注意到公司今年上半年的算力服务及相关领域业务增长非常迅猛，单半年的增速已经超过了2025年全年的水平。请问目前算力业务的增长具体是由什么驱动的</w:t>
            </w:r>
          </w:p>
          <w:p w14:paraId="4A7DCCB2">
            <w:pPr>
              <w:pStyle w:val="27"/>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sz w:val="24"/>
                <w:szCs w:val="24"/>
                <w:lang w:val="en-US" w:eastAsia="zh-CN"/>
              </w:rPr>
            </w:pPr>
            <w:r>
              <w:rPr>
                <w:rFonts w:hint="eastAsia" w:ascii="宋体" w:hAnsi="宋体" w:eastAsia="宋体" w:cs="宋体"/>
                <w:sz w:val="24"/>
                <w:szCs w:val="24"/>
                <w:lang w:val="en-US" w:eastAsia="zh-CN"/>
              </w:rPr>
              <w:t>答</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算力相关业务的增长主要由行业技术升级与公司方案落地共同驱动。随着AI与大数据技术快速发展，服务器芯片功率密度急剧增大，液冷已成为散热主流方案，但传统氟化液存在环保问题、矿物油等替代介质易致电子元件失效，市场亟需兼顾散热与防护的解决方案。公司采用PECVD与CVD耦合真空镀膜技术，在浸没式PCBA等部件表面形成无针孔、厚度均匀的绝缘涂层，实现360°无死角防护。目前相关产品已在多家客户的服务器电源、算力大板、散热风扇等产品上成功应用，带动该业务快速增长。</w:t>
            </w:r>
          </w:p>
        </w:tc>
      </w:tr>
      <w:tr w14:paraId="0E4A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842" w:type="dxa"/>
            <w:vAlign w:val="center"/>
          </w:tcPr>
          <w:p w14:paraId="42D0C281">
            <w:pPr>
              <w:rPr>
                <w:color w:val="000000"/>
                <w:sz w:val="24"/>
                <w:szCs w:val="24"/>
              </w:rPr>
            </w:pPr>
            <w:r>
              <w:rPr>
                <w:color w:val="000000"/>
                <w:sz w:val="24"/>
                <w:szCs w:val="24"/>
              </w:rPr>
              <w:t>附件清单（如有）</w:t>
            </w:r>
          </w:p>
        </w:tc>
        <w:tc>
          <w:tcPr>
            <w:tcW w:w="8840" w:type="dxa"/>
            <w:vAlign w:val="center"/>
          </w:tcPr>
          <w:p w14:paraId="5DC29E96">
            <w:pPr>
              <w:spacing w:line="480" w:lineRule="atLeast"/>
              <w:rPr>
                <w:rFonts w:eastAsiaTheme="minorEastAsia"/>
                <w:color w:val="000000"/>
                <w:sz w:val="24"/>
                <w:szCs w:val="24"/>
              </w:rPr>
            </w:pPr>
            <w:r>
              <w:rPr>
                <w:rFonts w:eastAsiaTheme="minorEastAsia"/>
                <w:color w:val="000000"/>
                <w:sz w:val="24"/>
                <w:szCs w:val="24"/>
              </w:rPr>
              <w:t>无</w:t>
            </w:r>
          </w:p>
        </w:tc>
      </w:tr>
      <w:tr w14:paraId="4FCE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842" w:type="dxa"/>
            <w:vAlign w:val="center"/>
          </w:tcPr>
          <w:p w14:paraId="65620EF6">
            <w:pPr>
              <w:spacing w:line="480" w:lineRule="atLeast"/>
              <w:rPr>
                <w:color w:val="000000"/>
                <w:sz w:val="24"/>
                <w:szCs w:val="24"/>
              </w:rPr>
            </w:pPr>
            <w:r>
              <w:rPr>
                <w:color w:val="000000"/>
                <w:sz w:val="24"/>
                <w:szCs w:val="24"/>
              </w:rPr>
              <w:t>日期</w:t>
            </w:r>
          </w:p>
        </w:tc>
        <w:tc>
          <w:tcPr>
            <w:tcW w:w="8840" w:type="dxa"/>
          </w:tcPr>
          <w:p w14:paraId="7DE4DBBD">
            <w:pPr>
              <w:spacing w:line="480" w:lineRule="atLeast"/>
              <w:rPr>
                <w:rFonts w:eastAsiaTheme="minorEastAsia"/>
                <w:color w:val="000000"/>
                <w:sz w:val="24"/>
                <w:szCs w:val="24"/>
              </w:rPr>
            </w:pPr>
            <w:r>
              <w:rPr>
                <w:rFonts w:eastAsiaTheme="minorEastAsia"/>
                <w:color w:val="000000"/>
                <w:sz w:val="24"/>
                <w:szCs w:val="24"/>
              </w:rPr>
              <w:t>202</w:t>
            </w:r>
            <w:r>
              <w:rPr>
                <w:rFonts w:hint="eastAsia" w:eastAsiaTheme="minorEastAsia"/>
                <w:color w:val="000000"/>
                <w:sz w:val="24"/>
                <w:szCs w:val="24"/>
              </w:rPr>
              <w:t>6</w:t>
            </w:r>
            <w:r>
              <w:rPr>
                <w:rFonts w:eastAsiaTheme="minorEastAsia"/>
                <w:color w:val="000000"/>
                <w:sz w:val="24"/>
                <w:szCs w:val="24"/>
              </w:rPr>
              <w:t>年</w:t>
            </w:r>
            <w:r>
              <w:rPr>
                <w:rFonts w:hint="eastAsia" w:eastAsiaTheme="minorEastAsia"/>
                <w:color w:val="000000"/>
                <w:sz w:val="24"/>
                <w:szCs w:val="24"/>
                <w:lang w:val="en-US" w:eastAsia="zh-CN"/>
              </w:rPr>
              <w:t>9</w:t>
            </w:r>
            <w:r>
              <w:rPr>
                <w:rFonts w:eastAsiaTheme="minorEastAsia"/>
                <w:color w:val="000000"/>
                <w:sz w:val="24"/>
                <w:szCs w:val="24"/>
              </w:rPr>
              <w:t>月</w:t>
            </w:r>
            <w:r>
              <w:rPr>
                <w:rFonts w:hint="eastAsia" w:eastAsiaTheme="minorEastAsia"/>
                <w:color w:val="000000"/>
                <w:sz w:val="24"/>
                <w:szCs w:val="24"/>
                <w:lang w:val="en-US" w:eastAsia="zh-CN"/>
              </w:rPr>
              <w:t>22</w:t>
            </w:r>
            <w:r>
              <w:rPr>
                <w:rFonts w:eastAsiaTheme="minorEastAsia"/>
                <w:color w:val="000000"/>
                <w:sz w:val="24"/>
                <w:szCs w:val="24"/>
              </w:rPr>
              <w:t>日</w:t>
            </w:r>
          </w:p>
        </w:tc>
      </w:tr>
    </w:tbl>
    <w:p w14:paraId="4EE10B46"/>
    <w:sectPr>
      <w:headerReference r:id="rId3" w:type="default"/>
      <w:pgSz w:w="11906" w:h="16838"/>
      <w:pgMar w:top="720" w:right="720" w:bottom="720" w:left="720" w:header="708" w:footer="708"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31F27">
    <w:pPr>
      <w:pStyle w:val="6"/>
      <w:tabs>
        <w:tab w:val="center" w:pos="5233"/>
        <w:tab w:val="right" w:pos="10466"/>
        <w:tab w:val="clear" w:pos="4153"/>
        <w:tab w:val="clear" w:pos="8306"/>
      </w:tabs>
      <w:rPr>
        <w:rFonts w:ascii="Times New Roman" w:hAnsi="Times New Roman" w:eastAsia="宋体"/>
      </w:rPr>
    </w:pPr>
    <w:r>
      <w:drawing>
        <wp:anchor distT="0" distB="0" distL="114300" distR="114300" simplePos="0" relativeHeight="251659264" behindDoc="0" locked="0" layoutInCell="1" allowOverlap="1">
          <wp:simplePos x="0" y="0"/>
          <wp:positionH relativeFrom="page">
            <wp:posOffset>519430</wp:posOffset>
          </wp:positionH>
          <wp:positionV relativeFrom="page">
            <wp:posOffset>66675</wp:posOffset>
          </wp:positionV>
          <wp:extent cx="1600200" cy="471805"/>
          <wp:effectExtent l="0" t="0" r="0" b="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00200" cy="471805"/>
                  </a:xfrm>
                  <a:prstGeom prst="rect">
                    <a:avLst/>
                  </a:prstGeom>
                  <a:noFill/>
                </pic:spPr>
              </pic:pic>
            </a:graphicData>
          </a:graphic>
        </wp:anchor>
      </w:drawing>
    </w:r>
    <w:r>
      <w:rPr>
        <w:rFonts w:ascii="Times New Roman" w:hAnsi="Times New Roman" w:eastAsia="宋体"/>
      </w:rPr>
      <w:tab/>
    </w:r>
    <w:r>
      <w:rPr>
        <w:rFonts w:ascii="Times New Roman" w:hAnsi="Times New Roman" w:eastAsia="宋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6D53ED"/>
    <w:multiLevelType w:val="singleLevel"/>
    <w:tmpl w:val="2B6D53ED"/>
    <w:lvl w:ilvl="0" w:tentative="0">
      <w:start w:val="2"/>
      <w:numFmt w:val="decimal"/>
      <w:suff w:val="nothing"/>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720"/>
  <w:doNotHyphenateCaps/>
  <w:drawingGridHorizontalSpacing w:val="105"/>
  <w:displayHorizontalDrawingGridEvery w:val="1"/>
  <w:displayVerticalDrawingGridEvery w:val="1"/>
  <w:noPunctuationKerning w:val="1"/>
  <w:characterSpacingControl w:val="doNotCompress"/>
  <w:noLineBreaksAfter w:lang="zh-CN" w:val="$([{£¥·‘“〈《「『【〔〖〝﹙﹛﹝＄（．［｛￡￥"/>
  <w:noLineBreaksBefore w:lang="zh-CN" w:val="!%),.:;&gt;?]}¢¨°·ˇˉ―‖’”…‰′″›℃∶、。〃〉》」』】〕〗〞︶︺︾﹀﹄﹚﹜﹞！＂％＇），．：；？］｀｜｝～￠"/>
  <w:doNotValidateAgainstSchema/>
  <w:doNotDemarcateInvalidXml/>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ZTA1ZTkyODc3NWQ3ZTk4ODdhZDkwN2Y1NDExMDEifQ=="/>
  </w:docVars>
  <w:rsids>
    <w:rsidRoot w:val="00A46BD9"/>
    <w:rsid w:val="0001051E"/>
    <w:rsid w:val="00012DEE"/>
    <w:rsid w:val="00013967"/>
    <w:rsid w:val="0001457E"/>
    <w:rsid w:val="000156D7"/>
    <w:rsid w:val="0002029F"/>
    <w:rsid w:val="00025081"/>
    <w:rsid w:val="000261EA"/>
    <w:rsid w:val="00034FFA"/>
    <w:rsid w:val="00040F1A"/>
    <w:rsid w:val="00042792"/>
    <w:rsid w:val="00042993"/>
    <w:rsid w:val="00046D6A"/>
    <w:rsid w:val="00050BA7"/>
    <w:rsid w:val="000519F3"/>
    <w:rsid w:val="000530BE"/>
    <w:rsid w:val="0005522C"/>
    <w:rsid w:val="00061D96"/>
    <w:rsid w:val="000664D4"/>
    <w:rsid w:val="00066648"/>
    <w:rsid w:val="000752B0"/>
    <w:rsid w:val="000A3C4B"/>
    <w:rsid w:val="000A653A"/>
    <w:rsid w:val="000C5506"/>
    <w:rsid w:val="000C79B4"/>
    <w:rsid w:val="000D0C9B"/>
    <w:rsid w:val="000D3DFB"/>
    <w:rsid w:val="000D5592"/>
    <w:rsid w:val="000E2D21"/>
    <w:rsid w:val="0010129A"/>
    <w:rsid w:val="0010345F"/>
    <w:rsid w:val="00103493"/>
    <w:rsid w:val="00105B38"/>
    <w:rsid w:val="001122B6"/>
    <w:rsid w:val="00122247"/>
    <w:rsid w:val="00123C78"/>
    <w:rsid w:val="00145422"/>
    <w:rsid w:val="00147007"/>
    <w:rsid w:val="00150FF1"/>
    <w:rsid w:val="00154951"/>
    <w:rsid w:val="00160248"/>
    <w:rsid w:val="001625A7"/>
    <w:rsid w:val="001660A2"/>
    <w:rsid w:val="0017090D"/>
    <w:rsid w:val="00171A72"/>
    <w:rsid w:val="00174E3B"/>
    <w:rsid w:val="0018216B"/>
    <w:rsid w:val="00183AEC"/>
    <w:rsid w:val="0019095D"/>
    <w:rsid w:val="00191DE2"/>
    <w:rsid w:val="0019797D"/>
    <w:rsid w:val="001A38A7"/>
    <w:rsid w:val="001A44FB"/>
    <w:rsid w:val="001A6186"/>
    <w:rsid w:val="001B05A1"/>
    <w:rsid w:val="001B66FB"/>
    <w:rsid w:val="001B7D23"/>
    <w:rsid w:val="001C5BE3"/>
    <w:rsid w:val="001D11E4"/>
    <w:rsid w:val="001D764E"/>
    <w:rsid w:val="001E1F7E"/>
    <w:rsid w:val="001F5C5B"/>
    <w:rsid w:val="001F7989"/>
    <w:rsid w:val="00200B3F"/>
    <w:rsid w:val="0020107E"/>
    <w:rsid w:val="002038A0"/>
    <w:rsid w:val="00207409"/>
    <w:rsid w:val="002103C5"/>
    <w:rsid w:val="00211B9E"/>
    <w:rsid w:val="00212EE5"/>
    <w:rsid w:val="00216821"/>
    <w:rsid w:val="00222A09"/>
    <w:rsid w:val="002278B6"/>
    <w:rsid w:val="0023156C"/>
    <w:rsid w:val="002347AE"/>
    <w:rsid w:val="00244A4B"/>
    <w:rsid w:val="00244D03"/>
    <w:rsid w:val="00265B4C"/>
    <w:rsid w:val="00270BE9"/>
    <w:rsid w:val="00270C74"/>
    <w:rsid w:val="0027752B"/>
    <w:rsid w:val="00282D7D"/>
    <w:rsid w:val="002973AB"/>
    <w:rsid w:val="002B4F2B"/>
    <w:rsid w:val="002B5665"/>
    <w:rsid w:val="002B5726"/>
    <w:rsid w:val="002C0F7A"/>
    <w:rsid w:val="002D5496"/>
    <w:rsid w:val="002E486A"/>
    <w:rsid w:val="002E5782"/>
    <w:rsid w:val="002E62AE"/>
    <w:rsid w:val="002F0A17"/>
    <w:rsid w:val="002F40EF"/>
    <w:rsid w:val="002F6D0A"/>
    <w:rsid w:val="00304CB4"/>
    <w:rsid w:val="003057E5"/>
    <w:rsid w:val="0031356A"/>
    <w:rsid w:val="00323B43"/>
    <w:rsid w:val="00324C64"/>
    <w:rsid w:val="00331682"/>
    <w:rsid w:val="00337058"/>
    <w:rsid w:val="00343108"/>
    <w:rsid w:val="0034702E"/>
    <w:rsid w:val="003534C6"/>
    <w:rsid w:val="003556A7"/>
    <w:rsid w:val="003607F0"/>
    <w:rsid w:val="003620F3"/>
    <w:rsid w:val="00363996"/>
    <w:rsid w:val="00366160"/>
    <w:rsid w:val="003723D9"/>
    <w:rsid w:val="00374D2F"/>
    <w:rsid w:val="00381189"/>
    <w:rsid w:val="003848B8"/>
    <w:rsid w:val="003979ED"/>
    <w:rsid w:val="003A084E"/>
    <w:rsid w:val="003A47D2"/>
    <w:rsid w:val="003A7CA5"/>
    <w:rsid w:val="003B05B6"/>
    <w:rsid w:val="003B7F59"/>
    <w:rsid w:val="003C5EBF"/>
    <w:rsid w:val="003D2463"/>
    <w:rsid w:val="003D37D8"/>
    <w:rsid w:val="003D5557"/>
    <w:rsid w:val="003D69BF"/>
    <w:rsid w:val="003E4931"/>
    <w:rsid w:val="003E5B49"/>
    <w:rsid w:val="003E6BD1"/>
    <w:rsid w:val="003F7BE3"/>
    <w:rsid w:val="003F7E60"/>
    <w:rsid w:val="00404EFE"/>
    <w:rsid w:val="00405A06"/>
    <w:rsid w:val="0042288D"/>
    <w:rsid w:val="004274B5"/>
    <w:rsid w:val="004358AB"/>
    <w:rsid w:val="00436C88"/>
    <w:rsid w:val="00463954"/>
    <w:rsid w:val="004657A9"/>
    <w:rsid w:val="00476753"/>
    <w:rsid w:val="00476A41"/>
    <w:rsid w:val="00477873"/>
    <w:rsid w:val="0048152C"/>
    <w:rsid w:val="004838DA"/>
    <w:rsid w:val="0048685D"/>
    <w:rsid w:val="004A35AA"/>
    <w:rsid w:val="004A69D3"/>
    <w:rsid w:val="004B2332"/>
    <w:rsid w:val="004C5AA2"/>
    <w:rsid w:val="004D184E"/>
    <w:rsid w:val="004F18A4"/>
    <w:rsid w:val="004F1C47"/>
    <w:rsid w:val="004F28B1"/>
    <w:rsid w:val="005003D4"/>
    <w:rsid w:val="00515D1C"/>
    <w:rsid w:val="00516A11"/>
    <w:rsid w:val="0051730E"/>
    <w:rsid w:val="00524684"/>
    <w:rsid w:val="00530E7C"/>
    <w:rsid w:val="00540042"/>
    <w:rsid w:val="0054209B"/>
    <w:rsid w:val="005451E8"/>
    <w:rsid w:val="00550569"/>
    <w:rsid w:val="0055280A"/>
    <w:rsid w:val="00553441"/>
    <w:rsid w:val="005564C7"/>
    <w:rsid w:val="00561E59"/>
    <w:rsid w:val="005665E8"/>
    <w:rsid w:val="0057162F"/>
    <w:rsid w:val="00580779"/>
    <w:rsid w:val="00591273"/>
    <w:rsid w:val="00593F36"/>
    <w:rsid w:val="005A09F6"/>
    <w:rsid w:val="005A5AA2"/>
    <w:rsid w:val="005B1584"/>
    <w:rsid w:val="005D2CE4"/>
    <w:rsid w:val="005D3210"/>
    <w:rsid w:val="005D4636"/>
    <w:rsid w:val="005D642D"/>
    <w:rsid w:val="005E4D70"/>
    <w:rsid w:val="005F000A"/>
    <w:rsid w:val="005F10D8"/>
    <w:rsid w:val="005F1A8E"/>
    <w:rsid w:val="005F59AB"/>
    <w:rsid w:val="00602002"/>
    <w:rsid w:val="00603A9F"/>
    <w:rsid w:val="006112DA"/>
    <w:rsid w:val="00615A9D"/>
    <w:rsid w:val="00622631"/>
    <w:rsid w:val="00630D2E"/>
    <w:rsid w:val="006320EA"/>
    <w:rsid w:val="00644F00"/>
    <w:rsid w:val="006521D6"/>
    <w:rsid w:val="00655715"/>
    <w:rsid w:val="00661439"/>
    <w:rsid w:val="00661D6B"/>
    <w:rsid w:val="00670800"/>
    <w:rsid w:val="006717F5"/>
    <w:rsid w:val="00671996"/>
    <w:rsid w:val="00676CF6"/>
    <w:rsid w:val="00677947"/>
    <w:rsid w:val="00680833"/>
    <w:rsid w:val="00685589"/>
    <w:rsid w:val="00687136"/>
    <w:rsid w:val="006901E0"/>
    <w:rsid w:val="006932E0"/>
    <w:rsid w:val="006954BA"/>
    <w:rsid w:val="006A0198"/>
    <w:rsid w:val="006B46F5"/>
    <w:rsid w:val="006C4744"/>
    <w:rsid w:val="006C58F2"/>
    <w:rsid w:val="006D298B"/>
    <w:rsid w:val="006D6697"/>
    <w:rsid w:val="006E0A68"/>
    <w:rsid w:val="006E2C08"/>
    <w:rsid w:val="006F5217"/>
    <w:rsid w:val="007009EF"/>
    <w:rsid w:val="007026FB"/>
    <w:rsid w:val="007039E4"/>
    <w:rsid w:val="007072EB"/>
    <w:rsid w:val="00721190"/>
    <w:rsid w:val="00736D7C"/>
    <w:rsid w:val="00737251"/>
    <w:rsid w:val="00737D31"/>
    <w:rsid w:val="00740334"/>
    <w:rsid w:val="0074277F"/>
    <w:rsid w:val="00752E92"/>
    <w:rsid w:val="00755E2E"/>
    <w:rsid w:val="00767F29"/>
    <w:rsid w:val="00773CC2"/>
    <w:rsid w:val="00774B78"/>
    <w:rsid w:val="00774BB7"/>
    <w:rsid w:val="00790193"/>
    <w:rsid w:val="0079033B"/>
    <w:rsid w:val="00797A86"/>
    <w:rsid w:val="007A1376"/>
    <w:rsid w:val="007A1790"/>
    <w:rsid w:val="007A223D"/>
    <w:rsid w:val="007A5B29"/>
    <w:rsid w:val="007A7CD8"/>
    <w:rsid w:val="007B6355"/>
    <w:rsid w:val="007B6483"/>
    <w:rsid w:val="007B7BCE"/>
    <w:rsid w:val="007C00F1"/>
    <w:rsid w:val="007C3408"/>
    <w:rsid w:val="007C4AEA"/>
    <w:rsid w:val="007C5948"/>
    <w:rsid w:val="007D1BE1"/>
    <w:rsid w:val="007D1ECA"/>
    <w:rsid w:val="007D39F2"/>
    <w:rsid w:val="008078BF"/>
    <w:rsid w:val="00811DF1"/>
    <w:rsid w:val="00812B0D"/>
    <w:rsid w:val="008148E4"/>
    <w:rsid w:val="00820985"/>
    <w:rsid w:val="00820BF7"/>
    <w:rsid w:val="00841FDD"/>
    <w:rsid w:val="00844333"/>
    <w:rsid w:val="008538C3"/>
    <w:rsid w:val="00854434"/>
    <w:rsid w:val="0085731C"/>
    <w:rsid w:val="00862583"/>
    <w:rsid w:val="0086313F"/>
    <w:rsid w:val="008631CB"/>
    <w:rsid w:val="008675CC"/>
    <w:rsid w:val="0088222E"/>
    <w:rsid w:val="00884876"/>
    <w:rsid w:val="00890B58"/>
    <w:rsid w:val="0089190B"/>
    <w:rsid w:val="00892234"/>
    <w:rsid w:val="0089339F"/>
    <w:rsid w:val="00896BBF"/>
    <w:rsid w:val="00896FF2"/>
    <w:rsid w:val="008A1DD5"/>
    <w:rsid w:val="008B7726"/>
    <w:rsid w:val="008D190C"/>
    <w:rsid w:val="008D1FD8"/>
    <w:rsid w:val="008D2A7A"/>
    <w:rsid w:val="008D6D4D"/>
    <w:rsid w:val="008E2204"/>
    <w:rsid w:val="008F00F8"/>
    <w:rsid w:val="008F0A16"/>
    <w:rsid w:val="008F5EA5"/>
    <w:rsid w:val="008F6C50"/>
    <w:rsid w:val="00902836"/>
    <w:rsid w:val="00912728"/>
    <w:rsid w:val="00914130"/>
    <w:rsid w:val="00915A8C"/>
    <w:rsid w:val="009178C0"/>
    <w:rsid w:val="0092721D"/>
    <w:rsid w:val="00933FF8"/>
    <w:rsid w:val="009341FD"/>
    <w:rsid w:val="00935D9A"/>
    <w:rsid w:val="00944E08"/>
    <w:rsid w:val="00945908"/>
    <w:rsid w:val="00945D45"/>
    <w:rsid w:val="009465F0"/>
    <w:rsid w:val="009524AC"/>
    <w:rsid w:val="00963D82"/>
    <w:rsid w:val="009669E9"/>
    <w:rsid w:val="00977A15"/>
    <w:rsid w:val="0098425A"/>
    <w:rsid w:val="00986662"/>
    <w:rsid w:val="00994193"/>
    <w:rsid w:val="009A2813"/>
    <w:rsid w:val="009A6C51"/>
    <w:rsid w:val="009B1684"/>
    <w:rsid w:val="009B35E6"/>
    <w:rsid w:val="009B5DC6"/>
    <w:rsid w:val="009B6B2E"/>
    <w:rsid w:val="009C2851"/>
    <w:rsid w:val="009C3894"/>
    <w:rsid w:val="009C4941"/>
    <w:rsid w:val="009C496D"/>
    <w:rsid w:val="009D10E6"/>
    <w:rsid w:val="009D16B8"/>
    <w:rsid w:val="009D6589"/>
    <w:rsid w:val="009E3AEC"/>
    <w:rsid w:val="009F2BED"/>
    <w:rsid w:val="009F4687"/>
    <w:rsid w:val="00A00077"/>
    <w:rsid w:val="00A00B80"/>
    <w:rsid w:val="00A02719"/>
    <w:rsid w:val="00A13ED2"/>
    <w:rsid w:val="00A31764"/>
    <w:rsid w:val="00A320E0"/>
    <w:rsid w:val="00A33DA6"/>
    <w:rsid w:val="00A46BD9"/>
    <w:rsid w:val="00A46DD2"/>
    <w:rsid w:val="00A476A8"/>
    <w:rsid w:val="00A5187C"/>
    <w:rsid w:val="00A809D4"/>
    <w:rsid w:val="00A82F01"/>
    <w:rsid w:val="00A84691"/>
    <w:rsid w:val="00A8610C"/>
    <w:rsid w:val="00A90FEE"/>
    <w:rsid w:val="00A929AA"/>
    <w:rsid w:val="00A975E1"/>
    <w:rsid w:val="00AA51DA"/>
    <w:rsid w:val="00AB5690"/>
    <w:rsid w:val="00AB746F"/>
    <w:rsid w:val="00AC19CE"/>
    <w:rsid w:val="00AC525A"/>
    <w:rsid w:val="00AE5FF3"/>
    <w:rsid w:val="00AE60A4"/>
    <w:rsid w:val="00AE7E79"/>
    <w:rsid w:val="00AF1638"/>
    <w:rsid w:val="00AF5DC9"/>
    <w:rsid w:val="00B00FFA"/>
    <w:rsid w:val="00B023AB"/>
    <w:rsid w:val="00B02BD9"/>
    <w:rsid w:val="00B044C2"/>
    <w:rsid w:val="00B0700C"/>
    <w:rsid w:val="00B11F5A"/>
    <w:rsid w:val="00B1534F"/>
    <w:rsid w:val="00B209AF"/>
    <w:rsid w:val="00B20B6F"/>
    <w:rsid w:val="00B23AC4"/>
    <w:rsid w:val="00B32E34"/>
    <w:rsid w:val="00B34A33"/>
    <w:rsid w:val="00B361BD"/>
    <w:rsid w:val="00B41DCB"/>
    <w:rsid w:val="00B4554B"/>
    <w:rsid w:val="00B47B5E"/>
    <w:rsid w:val="00B514B7"/>
    <w:rsid w:val="00B5425E"/>
    <w:rsid w:val="00B548E3"/>
    <w:rsid w:val="00B55778"/>
    <w:rsid w:val="00B71CB4"/>
    <w:rsid w:val="00B7226A"/>
    <w:rsid w:val="00B73A90"/>
    <w:rsid w:val="00B7444F"/>
    <w:rsid w:val="00B76F69"/>
    <w:rsid w:val="00B84AF3"/>
    <w:rsid w:val="00BA07C3"/>
    <w:rsid w:val="00BA1F3B"/>
    <w:rsid w:val="00BA2F57"/>
    <w:rsid w:val="00BA3B2C"/>
    <w:rsid w:val="00BA6DC4"/>
    <w:rsid w:val="00BB1A72"/>
    <w:rsid w:val="00BB2AC9"/>
    <w:rsid w:val="00BB3A28"/>
    <w:rsid w:val="00BB3DA5"/>
    <w:rsid w:val="00BB5F57"/>
    <w:rsid w:val="00BB761E"/>
    <w:rsid w:val="00BC131B"/>
    <w:rsid w:val="00BC31D3"/>
    <w:rsid w:val="00BC6A80"/>
    <w:rsid w:val="00BC7AF4"/>
    <w:rsid w:val="00BD1641"/>
    <w:rsid w:val="00BD2B98"/>
    <w:rsid w:val="00BE3723"/>
    <w:rsid w:val="00BF69FB"/>
    <w:rsid w:val="00C120DD"/>
    <w:rsid w:val="00C1794E"/>
    <w:rsid w:val="00C22BDC"/>
    <w:rsid w:val="00C22BF4"/>
    <w:rsid w:val="00C30754"/>
    <w:rsid w:val="00C30809"/>
    <w:rsid w:val="00C313FC"/>
    <w:rsid w:val="00C4635E"/>
    <w:rsid w:val="00C6029E"/>
    <w:rsid w:val="00C60C9D"/>
    <w:rsid w:val="00C67A34"/>
    <w:rsid w:val="00C73E2E"/>
    <w:rsid w:val="00C846D3"/>
    <w:rsid w:val="00C84E8D"/>
    <w:rsid w:val="00CB5B74"/>
    <w:rsid w:val="00CB68A7"/>
    <w:rsid w:val="00CB790A"/>
    <w:rsid w:val="00CD764F"/>
    <w:rsid w:val="00CF088D"/>
    <w:rsid w:val="00CF0918"/>
    <w:rsid w:val="00CF1C41"/>
    <w:rsid w:val="00CF6C21"/>
    <w:rsid w:val="00D06D17"/>
    <w:rsid w:val="00D07CD3"/>
    <w:rsid w:val="00D15EBC"/>
    <w:rsid w:val="00D16B36"/>
    <w:rsid w:val="00D178E5"/>
    <w:rsid w:val="00D219E4"/>
    <w:rsid w:val="00D23D46"/>
    <w:rsid w:val="00D318C6"/>
    <w:rsid w:val="00D31C54"/>
    <w:rsid w:val="00D36ABC"/>
    <w:rsid w:val="00D37349"/>
    <w:rsid w:val="00D415F0"/>
    <w:rsid w:val="00D42CDB"/>
    <w:rsid w:val="00D431D5"/>
    <w:rsid w:val="00D47966"/>
    <w:rsid w:val="00D60334"/>
    <w:rsid w:val="00D7003A"/>
    <w:rsid w:val="00D72342"/>
    <w:rsid w:val="00D7586E"/>
    <w:rsid w:val="00D75EEB"/>
    <w:rsid w:val="00D806A8"/>
    <w:rsid w:val="00D8550C"/>
    <w:rsid w:val="00D85541"/>
    <w:rsid w:val="00D91046"/>
    <w:rsid w:val="00D95DBD"/>
    <w:rsid w:val="00DA15A3"/>
    <w:rsid w:val="00DA3FF1"/>
    <w:rsid w:val="00DA4F18"/>
    <w:rsid w:val="00DA7D6A"/>
    <w:rsid w:val="00DB7469"/>
    <w:rsid w:val="00DB798B"/>
    <w:rsid w:val="00DC1A9A"/>
    <w:rsid w:val="00DC4110"/>
    <w:rsid w:val="00DC620D"/>
    <w:rsid w:val="00DC7F32"/>
    <w:rsid w:val="00DD7918"/>
    <w:rsid w:val="00DE2639"/>
    <w:rsid w:val="00DF507D"/>
    <w:rsid w:val="00E02B55"/>
    <w:rsid w:val="00E170CE"/>
    <w:rsid w:val="00E25090"/>
    <w:rsid w:val="00E262E0"/>
    <w:rsid w:val="00E33DB4"/>
    <w:rsid w:val="00E3723F"/>
    <w:rsid w:val="00E41AEE"/>
    <w:rsid w:val="00E43366"/>
    <w:rsid w:val="00E4594D"/>
    <w:rsid w:val="00E51AF9"/>
    <w:rsid w:val="00E560BC"/>
    <w:rsid w:val="00E61AF0"/>
    <w:rsid w:val="00E64523"/>
    <w:rsid w:val="00E65D5E"/>
    <w:rsid w:val="00E70FA9"/>
    <w:rsid w:val="00E71136"/>
    <w:rsid w:val="00E762CA"/>
    <w:rsid w:val="00E86944"/>
    <w:rsid w:val="00E93A62"/>
    <w:rsid w:val="00E94060"/>
    <w:rsid w:val="00EA2A72"/>
    <w:rsid w:val="00EA7201"/>
    <w:rsid w:val="00EB34DD"/>
    <w:rsid w:val="00EB695A"/>
    <w:rsid w:val="00EB7E2B"/>
    <w:rsid w:val="00EC068B"/>
    <w:rsid w:val="00ED521F"/>
    <w:rsid w:val="00ED7898"/>
    <w:rsid w:val="00EE1554"/>
    <w:rsid w:val="00EE62B6"/>
    <w:rsid w:val="00EF121A"/>
    <w:rsid w:val="00EF2A8B"/>
    <w:rsid w:val="00EF367E"/>
    <w:rsid w:val="00EF7017"/>
    <w:rsid w:val="00F04262"/>
    <w:rsid w:val="00F068BB"/>
    <w:rsid w:val="00F100A5"/>
    <w:rsid w:val="00F10551"/>
    <w:rsid w:val="00F17B7D"/>
    <w:rsid w:val="00F21DBE"/>
    <w:rsid w:val="00F358DF"/>
    <w:rsid w:val="00F40125"/>
    <w:rsid w:val="00F5504E"/>
    <w:rsid w:val="00F6752C"/>
    <w:rsid w:val="00F76231"/>
    <w:rsid w:val="00F76CAE"/>
    <w:rsid w:val="00F8204A"/>
    <w:rsid w:val="00F85EBE"/>
    <w:rsid w:val="00F8768F"/>
    <w:rsid w:val="00F87C76"/>
    <w:rsid w:val="00FA43D3"/>
    <w:rsid w:val="00FA770B"/>
    <w:rsid w:val="00FB4C1B"/>
    <w:rsid w:val="00FC22D9"/>
    <w:rsid w:val="00FC405D"/>
    <w:rsid w:val="00FC6529"/>
    <w:rsid w:val="00FD2314"/>
    <w:rsid w:val="00FD48A8"/>
    <w:rsid w:val="00FD4D40"/>
    <w:rsid w:val="00FD6686"/>
    <w:rsid w:val="00FD768A"/>
    <w:rsid w:val="00FE31DB"/>
    <w:rsid w:val="00FE3FFB"/>
    <w:rsid w:val="00FE5E9E"/>
    <w:rsid w:val="00FE7720"/>
    <w:rsid w:val="0CC0744E"/>
    <w:rsid w:val="2BA81C41"/>
    <w:rsid w:val="32B576FC"/>
    <w:rsid w:val="38990140"/>
    <w:rsid w:val="404D2D25"/>
    <w:rsid w:val="44916C74"/>
    <w:rsid w:val="5D673CC7"/>
    <w:rsid w:val="6F5354F1"/>
    <w:rsid w:val="738F26B9"/>
    <w:rsid w:val="748C49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semiHidden="0"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style>
  <w:style w:type="paragraph" w:styleId="3">
    <w:name w:val="Body Text Indent"/>
    <w:basedOn w:val="1"/>
    <w:link w:val="14"/>
    <w:semiHidden/>
    <w:qFormat/>
    <w:uiPriority w:val="99"/>
    <w:pPr>
      <w:spacing w:after="120"/>
      <w:ind w:left="200" w:leftChars="200"/>
    </w:pPr>
    <w:rPr>
      <w:rFonts w:ascii="Calibri" w:hAnsi="Calibri" w:eastAsia="微软雅黑"/>
    </w:rPr>
  </w:style>
  <w:style w:type="paragraph" w:styleId="4">
    <w:name w:val="Balloon Text"/>
    <w:basedOn w:val="1"/>
    <w:link w:val="20"/>
    <w:semiHidden/>
    <w:unhideWhenUsed/>
    <w:qFormat/>
    <w:uiPriority w:val="99"/>
    <w:rPr>
      <w:sz w:val="18"/>
      <w:szCs w:val="18"/>
    </w:rPr>
  </w:style>
  <w:style w:type="paragraph" w:styleId="5">
    <w:name w:val="footer"/>
    <w:basedOn w:val="1"/>
    <w:link w:val="13"/>
    <w:semiHidden/>
    <w:qFormat/>
    <w:uiPriority w:val="99"/>
    <w:pPr>
      <w:widowControl/>
      <w:tabs>
        <w:tab w:val="center" w:pos="4153"/>
        <w:tab w:val="right" w:pos="8306"/>
      </w:tabs>
      <w:adjustRightInd w:val="0"/>
      <w:snapToGrid w:val="0"/>
      <w:spacing w:before="100" w:beforeAutospacing="1" w:after="375"/>
      <w:ind w:firstLine="420"/>
      <w:jc w:val="left"/>
    </w:pPr>
    <w:rPr>
      <w:rFonts w:ascii="Tahoma" w:hAnsi="Tahoma" w:eastAsia="微软雅黑"/>
      <w:kern w:val="0"/>
      <w:sz w:val="18"/>
      <w:szCs w:val="18"/>
    </w:rPr>
  </w:style>
  <w:style w:type="paragraph" w:styleId="6">
    <w:name w:val="header"/>
    <w:basedOn w:val="1"/>
    <w:link w:val="12"/>
    <w:semiHidden/>
    <w:qFormat/>
    <w:uiPriority w:val="99"/>
    <w:pPr>
      <w:widowControl/>
      <w:pBdr>
        <w:bottom w:val="single" w:color="auto" w:sz="6" w:space="1"/>
      </w:pBdr>
      <w:tabs>
        <w:tab w:val="center" w:pos="4153"/>
        <w:tab w:val="right" w:pos="8306"/>
      </w:tabs>
      <w:adjustRightInd w:val="0"/>
      <w:snapToGrid w:val="0"/>
      <w:spacing w:before="100" w:beforeAutospacing="1" w:after="375"/>
      <w:ind w:firstLine="420"/>
      <w:jc w:val="center"/>
    </w:pPr>
    <w:rPr>
      <w:rFonts w:ascii="Tahoma" w:hAnsi="Tahoma" w:eastAsia="微软雅黑"/>
      <w:kern w:val="0"/>
      <w:sz w:val="18"/>
      <w:szCs w:val="18"/>
    </w:rPr>
  </w:style>
  <w:style w:type="paragraph" w:styleId="7">
    <w:name w:val="annotation subject"/>
    <w:basedOn w:val="2"/>
    <w:next w:val="2"/>
    <w:link w:val="19"/>
    <w:semiHidden/>
    <w:unhideWhenUsed/>
    <w:qFormat/>
    <w:uiPriority w:val="99"/>
    <w:rPr>
      <w:b/>
      <w:bCs/>
    </w:r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styleId="11">
    <w:name w:val="annotation reference"/>
    <w:basedOn w:val="9"/>
    <w:semiHidden/>
    <w:unhideWhenUsed/>
    <w:qFormat/>
    <w:uiPriority w:val="99"/>
    <w:rPr>
      <w:sz w:val="21"/>
      <w:szCs w:val="21"/>
    </w:rPr>
  </w:style>
  <w:style w:type="character" w:customStyle="1" w:styleId="12">
    <w:name w:val="页眉 字符"/>
    <w:link w:val="6"/>
    <w:semiHidden/>
    <w:qFormat/>
    <w:locked/>
    <w:uiPriority w:val="99"/>
    <w:rPr>
      <w:rFonts w:ascii="Tahoma" w:hAnsi="Tahoma" w:cs="Tahoma"/>
      <w:sz w:val="18"/>
      <w:szCs w:val="18"/>
    </w:rPr>
  </w:style>
  <w:style w:type="character" w:customStyle="1" w:styleId="13">
    <w:name w:val="页脚 字符"/>
    <w:link w:val="5"/>
    <w:semiHidden/>
    <w:qFormat/>
    <w:locked/>
    <w:uiPriority w:val="99"/>
    <w:rPr>
      <w:rFonts w:ascii="Tahoma" w:hAnsi="Tahoma" w:cs="Tahoma"/>
      <w:sz w:val="18"/>
      <w:szCs w:val="18"/>
    </w:rPr>
  </w:style>
  <w:style w:type="character" w:customStyle="1" w:styleId="14">
    <w:name w:val="正文文本缩进 字符"/>
    <w:link w:val="3"/>
    <w:semiHidden/>
    <w:qFormat/>
    <w:locked/>
    <w:uiPriority w:val="99"/>
    <w:rPr>
      <w:kern w:val="2"/>
      <w:sz w:val="21"/>
      <w:szCs w:val="21"/>
    </w:rPr>
  </w:style>
  <w:style w:type="character" w:customStyle="1" w:styleId="15">
    <w:name w:val="Body Text Indent Char1"/>
    <w:semiHidden/>
    <w:qFormat/>
    <w:uiPriority w:val="99"/>
    <w:rPr>
      <w:rFonts w:ascii="Times New Roman" w:hAnsi="Times New Roman" w:eastAsia="宋体" w:cs="Times New Roman"/>
      <w:sz w:val="21"/>
      <w:szCs w:val="21"/>
    </w:rPr>
  </w:style>
  <w:style w:type="character" w:customStyle="1" w:styleId="16">
    <w:name w:val="正文文本缩进 Char1"/>
    <w:semiHidden/>
    <w:qFormat/>
    <w:uiPriority w:val="99"/>
    <w:rPr>
      <w:rFonts w:ascii="Times New Roman" w:hAnsi="Times New Roman" w:eastAsia="宋体" w:cs="Times New Roman"/>
      <w:kern w:val="2"/>
      <w:sz w:val="24"/>
      <w:szCs w:val="24"/>
    </w:rPr>
  </w:style>
  <w:style w:type="paragraph" w:customStyle="1" w:styleId="17">
    <w:name w:val="Char Char1 Char Char Char Char Char Char Char Char Char Char Char Char Char Char Char Char Char Char Char Char Char Char Char Char Char Char Char Char Char Char Char Char Char Char Char Char Char Char"/>
    <w:basedOn w:val="1"/>
    <w:qFormat/>
    <w:uiPriority w:val="99"/>
    <w:pPr>
      <w:widowControl/>
      <w:spacing w:after="160" w:line="240" w:lineRule="exact"/>
    </w:pPr>
    <w:rPr>
      <w:rFonts w:ascii="Verdana" w:hAnsi="Verdana" w:eastAsia="微软雅黑" w:cs="Verdana"/>
      <w:kern w:val="0"/>
      <w:sz w:val="22"/>
      <w:szCs w:val="22"/>
      <w:lang w:eastAsia="en-US"/>
    </w:rPr>
  </w:style>
  <w:style w:type="character" w:customStyle="1" w:styleId="18">
    <w:name w:val="批注文字 字符"/>
    <w:basedOn w:val="9"/>
    <w:link w:val="2"/>
    <w:qFormat/>
    <w:uiPriority w:val="99"/>
    <w:rPr>
      <w:rFonts w:ascii="Times New Roman" w:hAnsi="Times New Roman" w:eastAsia="宋体"/>
      <w:kern w:val="2"/>
      <w:sz w:val="21"/>
      <w:szCs w:val="21"/>
    </w:rPr>
  </w:style>
  <w:style w:type="character" w:customStyle="1" w:styleId="19">
    <w:name w:val="批注主题 字符"/>
    <w:basedOn w:val="18"/>
    <w:link w:val="7"/>
    <w:semiHidden/>
    <w:qFormat/>
    <w:uiPriority w:val="99"/>
    <w:rPr>
      <w:rFonts w:ascii="Times New Roman" w:hAnsi="Times New Roman" w:eastAsia="宋体"/>
      <w:b/>
      <w:bCs/>
      <w:kern w:val="2"/>
      <w:sz w:val="21"/>
      <w:szCs w:val="21"/>
    </w:rPr>
  </w:style>
  <w:style w:type="character" w:customStyle="1" w:styleId="20">
    <w:name w:val="批注框文本 字符"/>
    <w:basedOn w:val="9"/>
    <w:link w:val="4"/>
    <w:semiHidden/>
    <w:qFormat/>
    <w:uiPriority w:val="99"/>
    <w:rPr>
      <w:rFonts w:ascii="Times New Roman" w:hAnsi="Times New Roman" w:eastAsia="宋体"/>
      <w:kern w:val="2"/>
      <w:sz w:val="18"/>
      <w:szCs w:val="18"/>
    </w:rPr>
  </w:style>
  <w:style w:type="paragraph" w:customStyle="1" w:styleId="21">
    <w:name w:val="修订1"/>
    <w:hidden/>
    <w:semiHidden/>
    <w:qFormat/>
    <w:uiPriority w:val="99"/>
    <w:rPr>
      <w:rFonts w:ascii="Times New Roman" w:hAnsi="Times New Roman" w:eastAsia="宋体" w:cs="Times New Roman"/>
      <w:kern w:val="2"/>
      <w:sz w:val="21"/>
      <w:szCs w:val="21"/>
      <w:lang w:val="en-US" w:eastAsia="zh-CN" w:bidi="ar-SA"/>
    </w:rPr>
  </w:style>
  <w:style w:type="paragraph" w:customStyle="1" w:styleId="22">
    <w:name w:val="修订2"/>
    <w:hidden/>
    <w:semiHidden/>
    <w:qFormat/>
    <w:uiPriority w:val="99"/>
    <w:rPr>
      <w:rFonts w:ascii="Times New Roman" w:hAnsi="Times New Roman" w:eastAsia="宋体" w:cs="Times New Roman"/>
      <w:kern w:val="2"/>
      <w:sz w:val="21"/>
      <w:szCs w:val="21"/>
      <w:lang w:val="en-US" w:eastAsia="zh-CN" w:bidi="ar-SA"/>
    </w:rPr>
  </w:style>
  <w:style w:type="paragraph" w:customStyle="1" w:styleId="23">
    <w:name w:val="修订3"/>
    <w:hidden/>
    <w:semiHidden/>
    <w:qFormat/>
    <w:uiPriority w:val="99"/>
    <w:rPr>
      <w:rFonts w:ascii="Times New Roman" w:hAnsi="Times New Roman" w:eastAsia="宋体" w:cs="Times New Roman"/>
      <w:kern w:val="2"/>
      <w:sz w:val="21"/>
      <w:szCs w:val="21"/>
      <w:lang w:val="en-US" w:eastAsia="zh-CN" w:bidi="ar-SA"/>
    </w:rPr>
  </w:style>
  <w:style w:type="paragraph" w:customStyle="1" w:styleId="24">
    <w:name w:val="修订4"/>
    <w:hidden/>
    <w:semiHidden/>
    <w:qFormat/>
    <w:uiPriority w:val="99"/>
    <w:rPr>
      <w:rFonts w:ascii="Times New Roman" w:hAnsi="Times New Roman" w:eastAsia="宋体" w:cs="Times New Roman"/>
      <w:kern w:val="2"/>
      <w:sz w:val="21"/>
      <w:szCs w:val="21"/>
      <w:lang w:val="en-US" w:eastAsia="zh-CN" w:bidi="ar-SA"/>
    </w:rPr>
  </w:style>
  <w:style w:type="paragraph" w:styleId="25">
    <w:name w:val="List Paragraph"/>
    <w:basedOn w:val="1"/>
    <w:qFormat/>
    <w:uiPriority w:val="99"/>
    <w:pPr>
      <w:ind w:firstLine="420" w:firstLineChars="200"/>
    </w:pPr>
  </w:style>
  <w:style w:type="paragraph" w:customStyle="1" w:styleId="26">
    <w:name w:val="修订5"/>
    <w:hidden/>
    <w:unhideWhenUsed/>
    <w:qFormat/>
    <w:uiPriority w:val="99"/>
    <w:rPr>
      <w:rFonts w:ascii="Times New Roman" w:hAnsi="Times New Roman" w:eastAsia="宋体" w:cs="Times New Roman"/>
      <w:kern w:val="2"/>
      <w:sz w:val="21"/>
      <w:szCs w:val="21"/>
      <w:lang w:val="en-US" w:eastAsia="zh-CN" w:bidi="ar-SA"/>
    </w:rPr>
  </w:style>
  <w:style w:type="paragraph" w:customStyle="1" w:styleId="27">
    <w:name w:val="_Style 6"/>
    <w:basedOn w:val="1"/>
    <w:qFormat/>
    <w:uiPriority w:val="34"/>
    <w:pPr>
      <w:ind w:firstLine="420" w:firstLineChars="200"/>
    </w:pPr>
    <w:rPr>
      <w:rFonts w:ascii="Calibri" w:hAnsi="Calibri"/>
      <w:szCs w:val="22"/>
    </w:rPr>
  </w:style>
  <w:style w:type="character" w:customStyle="1" w:styleId="28">
    <w:name w:val="Unresolved Mention"/>
    <w:basedOn w:val="9"/>
    <w:semiHidden/>
    <w:unhideWhenUsed/>
    <w:qFormat/>
    <w:uiPriority w:val="99"/>
    <w:rPr>
      <w:color w:val="605E5C"/>
      <w:shd w:val="clear" w:color="auto" w:fill="E1DFDD"/>
    </w:rPr>
  </w:style>
  <w:style w:type="paragraph" w:customStyle="1" w:styleId="29">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3510</Words>
  <Characters>3638</Characters>
  <Lines>12</Lines>
  <Paragraphs>3</Paragraphs>
  <TotalTime>0</TotalTime>
  <ScaleCrop>false</ScaleCrop>
  <LinksUpToDate>false</LinksUpToDate>
  <CharactersWithSpaces>3786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2023-05-30T08:00:00Z</dcterms:created>
  <dc:creator>Favored</dc:creator>
  <cp:lastModifiedBy>纹鯗</cp:lastModifiedBy>
  <cp:lastPrinted>2025-11-04T09:51:00Z</cp:lastPrinted>
  <dcterms:modified xsi:type="dcterms:W3CDTF">2026-09-22T07:33:12Z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0791AF2330C245FCAAD2E83E020DBD84_13</vt:lpwstr>
  </property>
  <property fmtid="{D5CDD505-2E9C-101B-9397-08002B2CF9AE}" pid="4" name="KSOTemplateDocerSaveRecord">
    <vt:lpwstr>eyJoZGlkIjoiN2QxZGMzM2U2YjgxZTVmMThmMzBjZGZiZTZlNzVlM2MiLCJ1c2VySWQiOiI2MjQ5MjA4NjkifQ==</vt:lpwstr>
  </property>
</Properties>
</file>