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A0586">
      <w:pPr>
        <w:rPr>
          <w:rFonts w:ascii="宋体" w:hAnsi="宋体" w:eastAsia="宋体"/>
          <w:sz w:val="28"/>
          <w:szCs w:val="28"/>
        </w:rPr>
      </w:pPr>
      <w:bookmarkStart w:id="0" w:name="_GoBack"/>
      <w:bookmarkEnd w:id="0"/>
      <w:r>
        <w:rPr>
          <w:rFonts w:hint="eastAsia" w:ascii="宋体" w:hAnsi="宋体" w:eastAsia="宋体"/>
          <w:sz w:val="28"/>
          <w:szCs w:val="28"/>
        </w:rPr>
        <w:t>证券代码：688334</w:t>
      </w:r>
      <w:r>
        <w:rPr>
          <w:rFonts w:ascii="宋体" w:hAnsi="宋体" w:eastAsia="宋体"/>
          <w:sz w:val="28"/>
          <w:szCs w:val="28"/>
        </w:rPr>
        <w:t xml:space="preserve">   </w:t>
      </w:r>
      <w:r>
        <w:rPr>
          <w:rFonts w:hint="eastAsia" w:ascii="宋体" w:hAnsi="宋体" w:eastAsia="宋体"/>
          <w:sz w:val="28"/>
          <w:szCs w:val="28"/>
        </w:rPr>
        <w:t xml:space="preserve"> </w:t>
      </w:r>
      <w:r>
        <w:rPr>
          <w:rFonts w:ascii="宋体" w:hAnsi="宋体" w:eastAsia="宋体"/>
          <w:sz w:val="28"/>
          <w:szCs w:val="28"/>
        </w:rPr>
        <w:t xml:space="preserve">                          </w:t>
      </w:r>
      <w:r>
        <w:rPr>
          <w:rFonts w:hint="eastAsia" w:ascii="宋体" w:hAnsi="宋体" w:eastAsia="宋体"/>
          <w:sz w:val="28"/>
          <w:szCs w:val="28"/>
        </w:rPr>
        <w:t>证券简称：西高院</w:t>
      </w:r>
    </w:p>
    <w:p w14:paraId="0496276A">
      <w:pPr>
        <w:jc w:val="center"/>
        <w:rPr>
          <w:rFonts w:ascii="黑体" w:hAnsi="黑体" w:eastAsia="黑体"/>
          <w:b/>
          <w:bCs/>
          <w:sz w:val="36"/>
          <w:szCs w:val="36"/>
        </w:rPr>
      </w:pPr>
      <w:r>
        <w:rPr>
          <w:rFonts w:hint="eastAsia" w:ascii="黑体" w:hAnsi="黑体" w:eastAsia="黑体"/>
          <w:b/>
          <w:bCs/>
          <w:sz w:val="36"/>
          <w:szCs w:val="36"/>
        </w:rPr>
        <w:t>西安高压电器研究院股份有限公司</w:t>
      </w:r>
    </w:p>
    <w:p w14:paraId="23833E0D">
      <w:pPr>
        <w:jc w:val="center"/>
        <w:rPr>
          <w:rFonts w:ascii="黑体" w:hAnsi="黑体" w:eastAsia="黑体"/>
          <w:b/>
          <w:bCs/>
          <w:sz w:val="36"/>
          <w:szCs w:val="36"/>
        </w:rPr>
      </w:pPr>
      <w:r>
        <w:rPr>
          <w:rFonts w:hint="eastAsia" w:ascii="黑体" w:hAnsi="黑体" w:eastAsia="黑体"/>
          <w:b/>
          <w:bCs/>
          <w:sz w:val="36"/>
          <w:szCs w:val="36"/>
        </w:rPr>
        <w:t>投资者关系活动记录表</w:t>
      </w:r>
    </w:p>
    <w:p w14:paraId="4A6E0161">
      <w:pPr>
        <w:ind w:firstLine="560" w:firstLineChars="200"/>
        <w:jc w:val="right"/>
        <w:rPr>
          <w:rFonts w:hint="default" w:ascii="宋体" w:hAnsi="宋体" w:eastAsia="宋体"/>
          <w:sz w:val="28"/>
          <w:szCs w:val="28"/>
          <w:lang w:val="en-US" w:eastAsia="zh-CN"/>
        </w:rPr>
      </w:pPr>
      <w:r>
        <w:rPr>
          <w:rFonts w:hint="eastAsia" w:ascii="宋体" w:hAnsi="宋体" w:eastAsia="宋体"/>
          <w:sz w:val="28"/>
          <w:szCs w:val="28"/>
        </w:rPr>
        <w:t>编号：2</w:t>
      </w:r>
      <w:r>
        <w:rPr>
          <w:rFonts w:ascii="宋体" w:hAnsi="宋体" w:eastAsia="宋体"/>
          <w:sz w:val="28"/>
          <w:szCs w:val="28"/>
        </w:rPr>
        <w:t>02</w:t>
      </w:r>
      <w:r>
        <w:rPr>
          <w:rFonts w:hint="eastAsia" w:ascii="宋体" w:hAnsi="宋体" w:eastAsia="宋体"/>
          <w:sz w:val="28"/>
          <w:szCs w:val="28"/>
          <w:lang w:val="en-US" w:eastAsia="zh-CN"/>
        </w:rPr>
        <w:t>6</w:t>
      </w:r>
      <w:r>
        <w:rPr>
          <w:rFonts w:ascii="宋体" w:hAnsi="宋体" w:eastAsia="宋体"/>
          <w:sz w:val="28"/>
          <w:szCs w:val="28"/>
        </w:rPr>
        <w:t>-0</w:t>
      </w:r>
      <w:r>
        <w:rPr>
          <w:rFonts w:hint="eastAsia" w:ascii="宋体" w:hAnsi="宋体" w:eastAsia="宋体"/>
          <w:sz w:val="28"/>
          <w:szCs w:val="28"/>
          <w:lang w:val="en-US" w:eastAsia="zh-CN"/>
        </w:rPr>
        <w:t>03</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6740"/>
      </w:tblGrid>
      <w:tr w14:paraId="3E90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1980" w:type="dxa"/>
            <w:vAlign w:val="center"/>
          </w:tcPr>
          <w:p w14:paraId="5B3A12E0">
            <w:pPr>
              <w:jc w:val="center"/>
              <w:rPr>
                <w:rFonts w:ascii="宋体" w:hAnsi="宋体" w:eastAsia="宋体"/>
                <w:b/>
                <w:bCs/>
                <w:sz w:val="24"/>
                <w:szCs w:val="24"/>
              </w:rPr>
            </w:pPr>
            <w:r>
              <w:rPr>
                <w:rFonts w:hint="eastAsia" w:ascii="宋体" w:hAnsi="宋体" w:eastAsia="宋体"/>
                <w:b/>
                <w:bCs/>
                <w:sz w:val="24"/>
                <w:szCs w:val="24"/>
              </w:rPr>
              <w:t>投资者关系</w:t>
            </w:r>
          </w:p>
          <w:p w14:paraId="15885639">
            <w:pPr>
              <w:jc w:val="center"/>
              <w:rPr>
                <w:rFonts w:ascii="宋体" w:hAnsi="宋体" w:eastAsia="宋体"/>
                <w:b/>
                <w:bCs/>
                <w:sz w:val="24"/>
                <w:szCs w:val="24"/>
              </w:rPr>
            </w:pPr>
            <w:r>
              <w:rPr>
                <w:rFonts w:hint="eastAsia" w:ascii="宋体" w:hAnsi="宋体" w:eastAsia="宋体"/>
                <w:b/>
                <w:bCs/>
                <w:sz w:val="24"/>
                <w:szCs w:val="24"/>
              </w:rPr>
              <w:t>活动类别</w:t>
            </w:r>
          </w:p>
        </w:tc>
        <w:tc>
          <w:tcPr>
            <w:tcW w:w="6740" w:type="dxa"/>
            <w:vAlign w:val="center"/>
          </w:tcPr>
          <w:p w14:paraId="08D2F849">
            <w:pPr>
              <w:rPr>
                <w:rFonts w:ascii="宋体" w:hAnsi="宋体" w:eastAsia="宋体"/>
                <w:sz w:val="24"/>
                <w:szCs w:val="24"/>
              </w:rPr>
            </w:pPr>
            <w:r>
              <w:rPr>
                <w:rFonts w:hint="eastAsia" w:ascii="宋体" w:hAnsi="宋体" w:eastAsia="宋体"/>
                <w:sz w:val="24"/>
                <w:szCs w:val="24"/>
              </w:rPr>
              <w:t>□特定对象调研</w:t>
            </w:r>
            <w:r>
              <w:rPr>
                <w:rFonts w:ascii="宋体" w:hAnsi="宋体" w:eastAsia="宋体"/>
                <w:sz w:val="24"/>
                <w:szCs w:val="24"/>
              </w:rPr>
              <w:t xml:space="preserve">                □分析师会议</w:t>
            </w:r>
          </w:p>
          <w:p w14:paraId="35D5DEC2">
            <w:pPr>
              <w:rPr>
                <w:rFonts w:ascii="宋体" w:hAnsi="宋体" w:eastAsia="宋体"/>
                <w:sz w:val="24"/>
                <w:szCs w:val="24"/>
              </w:rPr>
            </w:pPr>
            <w:r>
              <w:rPr>
                <w:rFonts w:hint="eastAsia" w:ascii="宋体" w:hAnsi="宋体" w:eastAsia="宋体"/>
                <w:sz w:val="24"/>
                <w:szCs w:val="24"/>
              </w:rPr>
              <w:t>□媒体采访</w:t>
            </w:r>
            <w:r>
              <w:rPr>
                <w:rFonts w:ascii="宋体" w:hAnsi="宋体" w:eastAsia="宋体"/>
                <w:sz w:val="24"/>
                <w:szCs w:val="24"/>
              </w:rPr>
              <w:t xml:space="preserve">                    </w:t>
            </w:r>
            <w:r>
              <w:rPr>
                <w:rFonts w:hint="eastAsia" w:ascii="宋体" w:hAnsi="宋体" w:eastAsia="宋体"/>
                <w:sz w:val="24"/>
                <w:szCs w:val="24"/>
              </w:rPr>
              <w:t>√</w:t>
            </w:r>
            <w:r>
              <w:rPr>
                <w:rFonts w:ascii="宋体" w:hAnsi="宋体" w:eastAsia="宋体"/>
                <w:sz w:val="24"/>
                <w:szCs w:val="24"/>
              </w:rPr>
              <w:t>业绩说明会</w:t>
            </w:r>
          </w:p>
          <w:p w14:paraId="6EC47EA5">
            <w:pPr>
              <w:rPr>
                <w:rFonts w:hint="eastAsia" w:ascii="宋体" w:hAnsi="宋体" w:eastAsia="宋体"/>
                <w:sz w:val="24"/>
                <w:szCs w:val="24"/>
                <w:lang w:val="en-US" w:eastAsia="zh-CN"/>
              </w:rPr>
            </w:pPr>
            <w:r>
              <w:rPr>
                <w:rFonts w:hint="eastAsia" w:ascii="宋体" w:hAnsi="宋体" w:eastAsia="宋体"/>
                <w:sz w:val="24"/>
                <w:szCs w:val="24"/>
              </w:rPr>
              <w:t>□新闻发布会</w:t>
            </w:r>
            <w:r>
              <w:rPr>
                <w:rFonts w:ascii="宋体" w:hAnsi="宋体" w:eastAsia="宋体"/>
                <w:sz w:val="24"/>
                <w:szCs w:val="24"/>
              </w:rPr>
              <w:t xml:space="preserve">                  □路演活动</w:t>
            </w:r>
          </w:p>
          <w:p w14:paraId="305A5D0D">
            <w:pPr>
              <w:rPr>
                <w:rFonts w:ascii="宋体" w:hAnsi="宋体" w:eastAsia="宋体"/>
                <w:sz w:val="24"/>
                <w:szCs w:val="24"/>
              </w:rPr>
            </w:pPr>
            <w:r>
              <w:rPr>
                <w:rFonts w:hint="eastAsia" w:ascii="宋体" w:hAnsi="宋体" w:eastAsia="宋体"/>
                <w:sz w:val="24"/>
                <w:szCs w:val="24"/>
              </w:rPr>
              <w:t>□现场参观</w:t>
            </w:r>
            <w:r>
              <w:rPr>
                <w:rFonts w:ascii="宋体" w:hAnsi="宋体" w:eastAsia="宋体"/>
                <w:sz w:val="24"/>
                <w:szCs w:val="24"/>
              </w:rPr>
              <w:t xml:space="preserve">                    □电话会议</w:t>
            </w:r>
          </w:p>
          <w:p w14:paraId="67CD6D8F">
            <w:pPr>
              <w:rPr>
                <w:rFonts w:ascii="宋体" w:hAnsi="宋体" w:eastAsia="宋体"/>
                <w:sz w:val="24"/>
                <w:szCs w:val="24"/>
              </w:rPr>
            </w:pPr>
            <w:r>
              <w:rPr>
                <w:rFonts w:hint="eastAsia" w:ascii="宋体" w:hAnsi="宋体" w:eastAsia="宋体"/>
                <w:sz w:val="24"/>
                <w:szCs w:val="24"/>
              </w:rPr>
              <w:t>□其他</w:t>
            </w:r>
          </w:p>
        </w:tc>
      </w:tr>
      <w:tr w14:paraId="0716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80" w:type="dxa"/>
            <w:vAlign w:val="center"/>
          </w:tcPr>
          <w:p w14:paraId="03E46AE3">
            <w:pPr>
              <w:jc w:val="center"/>
              <w:rPr>
                <w:rFonts w:ascii="宋体" w:hAnsi="宋体" w:eastAsia="宋体"/>
                <w:b/>
                <w:bCs/>
                <w:sz w:val="24"/>
                <w:szCs w:val="24"/>
              </w:rPr>
            </w:pPr>
            <w:r>
              <w:rPr>
                <w:rFonts w:hint="eastAsia" w:ascii="宋体" w:hAnsi="宋体" w:eastAsia="宋体"/>
                <w:b/>
                <w:bCs/>
                <w:sz w:val="24"/>
                <w:szCs w:val="24"/>
              </w:rPr>
              <w:t>参与单位名称</w:t>
            </w:r>
          </w:p>
        </w:tc>
        <w:tc>
          <w:tcPr>
            <w:tcW w:w="6740" w:type="dxa"/>
            <w:vAlign w:val="center"/>
          </w:tcPr>
          <w:p w14:paraId="5FCD7351">
            <w:pPr>
              <w:rPr>
                <w:rFonts w:ascii="宋体" w:hAnsi="宋体" w:eastAsia="宋体"/>
                <w:sz w:val="24"/>
                <w:szCs w:val="24"/>
              </w:rPr>
            </w:pPr>
            <w:r>
              <w:rPr>
                <w:rFonts w:hint="eastAsia" w:ascii="宋体" w:hAnsi="宋体" w:eastAsia="宋体"/>
                <w:sz w:val="24"/>
                <w:szCs w:val="24"/>
              </w:rPr>
              <w:t>全体通过上证路演中心网络互动平台参与公司</w:t>
            </w:r>
            <w:r>
              <w:rPr>
                <w:rFonts w:ascii="宋体" w:hAnsi="宋体" w:eastAsia="宋体"/>
                <w:sz w:val="24"/>
                <w:szCs w:val="24"/>
              </w:rPr>
              <w:t>202</w:t>
            </w:r>
            <w:r>
              <w:rPr>
                <w:rFonts w:hint="eastAsia" w:ascii="宋体" w:hAnsi="宋体" w:eastAsia="宋体"/>
                <w:sz w:val="24"/>
                <w:szCs w:val="24"/>
                <w:lang w:val="en-US" w:eastAsia="zh-CN"/>
              </w:rPr>
              <w:t>6</w:t>
            </w:r>
            <w:r>
              <w:rPr>
                <w:rFonts w:ascii="宋体" w:hAnsi="宋体" w:eastAsia="宋体"/>
                <w:sz w:val="24"/>
                <w:szCs w:val="24"/>
              </w:rPr>
              <w:t>年</w:t>
            </w:r>
            <w:r>
              <w:rPr>
                <w:rFonts w:hint="eastAsia" w:ascii="宋体" w:hAnsi="宋体" w:eastAsia="宋体"/>
                <w:sz w:val="24"/>
                <w:szCs w:val="24"/>
                <w:lang w:val="en-US" w:eastAsia="zh-CN"/>
              </w:rPr>
              <w:t>半年</w:t>
            </w:r>
            <w:r>
              <w:rPr>
                <w:rFonts w:ascii="宋体" w:hAnsi="宋体" w:eastAsia="宋体"/>
                <w:sz w:val="24"/>
                <w:szCs w:val="24"/>
              </w:rPr>
              <w:t>度业绩说明会的投资者</w:t>
            </w:r>
          </w:p>
        </w:tc>
      </w:tr>
      <w:tr w14:paraId="1B1D4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80" w:type="dxa"/>
            <w:vAlign w:val="center"/>
          </w:tcPr>
          <w:p w14:paraId="327E69E2">
            <w:pPr>
              <w:jc w:val="center"/>
              <w:rPr>
                <w:rFonts w:ascii="宋体" w:hAnsi="宋体" w:eastAsia="宋体"/>
                <w:b/>
                <w:bCs/>
                <w:sz w:val="24"/>
                <w:szCs w:val="24"/>
              </w:rPr>
            </w:pPr>
            <w:r>
              <w:rPr>
                <w:rFonts w:hint="eastAsia" w:ascii="宋体" w:hAnsi="宋体" w:eastAsia="宋体"/>
                <w:b/>
                <w:bCs/>
                <w:sz w:val="24"/>
                <w:szCs w:val="24"/>
              </w:rPr>
              <w:t>会议时间</w:t>
            </w:r>
          </w:p>
        </w:tc>
        <w:tc>
          <w:tcPr>
            <w:tcW w:w="6740" w:type="dxa"/>
            <w:vAlign w:val="center"/>
          </w:tcPr>
          <w:p w14:paraId="1DB7CF5F">
            <w:pPr>
              <w:rPr>
                <w:rFonts w:ascii="宋体" w:hAnsi="宋体" w:eastAsia="宋体"/>
                <w:sz w:val="24"/>
                <w:szCs w:val="24"/>
              </w:rPr>
            </w:pPr>
            <w:r>
              <w:rPr>
                <w:rFonts w:ascii="宋体" w:hAnsi="宋体" w:eastAsia="宋体"/>
                <w:sz w:val="24"/>
                <w:szCs w:val="24"/>
              </w:rPr>
              <w:t>202</w:t>
            </w:r>
            <w:r>
              <w:rPr>
                <w:rFonts w:hint="eastAsia" w:ascii="宋体" w:hAnsi="宋体" w:eastAsia="宋体"/>
                <w:sz w:val="24"/>
                <w:szCs w:val="24"/>
                <w:lang w:val="en-US" w:eastAsia="zh-CN"/>
              </w:rPr>
              <w:t>6</w:t>
            </w:r>
            <w:r>
              <w:rPr>
                <w:rFonts w:ascii="宋体" w:hAnsi="宋体" w:eastAsia="宋体"/>
                <w:sz w:val="24"/>
                <w:szCs w:val="24"/>
              </w:rPr>
              <w:t>年</w:t>
            </w:r>
            <w:r>
              <w:rPr>
                <w:rFonts w:hint="eastAsia" w:ascii="宋体" w:hAnsi="宋体" w:eastAsia="宋体"/>
                <w:sz w:val="24"/>
                <w:szCs w:val="24"/>
                <w:lang w:val="en-US" w:eastAsia="zh-CN"/>
              </w:rPr>
              <w:t>9</w:t>
            </w:r>
            <w:r>
              <w:rPr>
                <w:rFonts w:ascii="宋体" w:hAnsi="宋体" w:eastAsia="宋体"/>
                <w:sz w:val="24"/>
                <w:szCs w:val="24"/>
              </w:rPr>
              <w:t>月</w:t>
            </w:r>
            <w:r>
              <w:rPr>
                <w:rFonts w:hint="eastAsia" w:ascii="宋体" w:hAnsi="宋体" w:eastAsia="宋体"/>
                <w:sz w:val="24"/>
                <w:szCs w:val="24"/>
                <w:lang w:val="en-US" w:eastAsia="zh-CN"/>
              </w:rPr>
              <w:t>28</w:t>
            </w:r>
            <w:r>
              <w:rPr>
                <w:rFonts w:ascii="宋体" w:hAnsi="宋体" w:eastAsia="宋体"/>
                <w:sz w:val="24"/>
                <w:szCs w:val="24"/>
              </w:rPr>
              <w:t>日</w:t>
            </w:r>
            <w:r>
              <w:rPr>
                <w:rFonts w:hint="eastAsia" w:ascii="宋体" w:hAnsi="宋体" w:eastAsia="宋体"/>
                <w:sz w:val="24"/>
                <w:szCs w:val="24"/>
              </w:rPr>
              <w:t xml:space="preserve"> </w:t>
            </w:r>
            <w:r>
              <w:rPr>
                <w:rFonts w:hint="eastAsia" w:ascii="宋体" w:hAnsi="宋体" w:eastAsia="宋体"/>
                <w:sz w:val="24"/>
                <w:szCs w:val="24"/>
                <w:lang w:val="en-US" w:eastAsia="zh-CN"/>
              </w:rPr>
              <w:t>9</w:t>
            </w:r>
            <w:r>
              <w:rPr>
                <w:rFonts w:ascii="宋体" w:hAnsi="宋体" w:eastAsia="宋体"/>
                <w:sz w:val="24"/>
                <w:szCs w:val="24"/>
              </w:rPr>
              <w:t>:00-1</w:t>
            </w:r>
            <w:r>
              <w:rPr>
                <w:rFonts w:hint="eastAsia" w:ascii="宋体" w:hAnsi="宋体" w:eastAsia="宋体"/>
                <w:sz w:val="24"/>
                <w:szCs w:val="24"/>
                <w:lang w:val="en-US" w:eastAsia="zh-CN"/>
              </w:rPr>
              <w:t>0</w:t>
            </w:r>
            <w:r>
              <w:rPr>
                <w:rFonts w:ascii="宋体" w:hAnsi="宋体" w:eastAsia="宋体"/>
                <w:sz w:val="24"/>
                <w:szCs w:val="24"/>
              </w:rPr>
              <w:t>:</w:t>
            </w:r>
            <w:r>
              <w:rPr>
                <w:rFonts w:hint="eastAsia" w:ascii="宋体" w:hAnsi="宋体" w:eastAsia="宋体"/>
                <w:sz w:val="24"/>
                <w:szCs w:val="24"/>
                <w:lang w:val="en-US" w:eastAsia="zh-CN"/>
              </w:rPr>
              <w:t>0</w:t>
            </w:r>
            <w:r>
              <w:rPr>
                <w:rFonts w:ascii="宋体" w:hAnsi="宋体" w:eastAsia="宋体"/>
                <w:sz w:val="24"/>
                <w:szCs w:val="24"/>
              </w:rPr>
              <w:t>0</w:t>
            </w:r>
          </w:p>
        </w:tc>
      </w:tr>
      <w:tr w14:paraId="449DF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80" w:type="dxa"/>
            <w:vAlign w:val="center"/>
          </w:tcPr>
          <w:p w14:paraId="34028ED7">
            <w:pPr>
              <w:jc w:val="center"/>
              <w:rPr>
                <w:rFonts w:ascii="宋体" w:hAnsi="宋体" w:eastAsia="宋体"/>
                <w:b/>
                <w:bCs/>
                <w:sz w:val="24"/>
                <w:szCs w:val="24"/>
              </w:rPr>
            </w:pPr>
            <w:r>
              <w:rPr>
                <w:rFonts w:hint="eastAsia" w:ascii="宋体" w:hAnsi="宋体" w:eastAsia="宋体"/>
                <w:b/>
                <w:bCs/>
                <w:sz w:val="24"/>
                <w:szCs w:val="24"/>
              </w:rPr>
              <w:t>会议地点</w:t>
            </w:r>
          </w:p>
        </w:tc>
        <w:tc>
          <w:tcPr>
            <w:tcW w:w="6740" w:type="dxa"/>
            <w:vAlign w:val="center"/>
          </w:tcPr>
          <w:p w14:paraId="08AF5A60">
            <w:pPr>
              <w:rPr>
                <w:rFonts w:ascii="宋体" w:hAnsi="宋体" w:eastAsia="宋体"/>
                <w:sz w:val="24"/>
                <w:szCs w:val="24"/>
              </w:rPr>
            </w:pPr>
            <w:r>
              <w:rPr>
                <w:rFonts w:hint="eastAsia" w:ascii="宋体" w:hAnsi="宋体" w:eastAsia="宋体"/>
                <w:sz w:val="24"/>
                <w:szCs w:val="24"/>
              </w:rPr>
              <w:t>上证路演中心（网址：</w:t>
            </w:r>
            <w:r>
              <w:rPr>
                <w:rFonts w:ascii="宋体" w:hAnsi="宋体" w:eastAsia="宋体"/>
                <w:sz w:val="24"/>
                <w:szCs w:val="24"/>
              </w:rPr>
              <w:t>http://roadshow.sseinfo.com/）</w:t>
            </w:r>
          </w:p>
        </w:tc>
      </w:tr>
      <w:tr w14:paraId="6F32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80" w:type="dxa"/>
            <w:vAlign w:val="center"/>
          </w:tcPr>
          <w:p w14:paraId="0FA60F89">
            <w:pPr>
              <w:jc w:val="center"/>
              <w:rPr>
                <w:rFonts w:ascii="宋体" w:hAnsi="宋体" w:eastAsia="宋体"/>
                <w:b/>
                <w:bCs/>
                <w:sz w:val="24"/>
                <w:szCs w:val="24"/>
              </w:rPr>
            </w:pPr>
            <w:r>
              <w:rPr>
                <w:rFonts w:hint="eastAsia" w:ascii="宋体" w:hAnsi="宋体" w:eastAsia="宋体"/>
                <w:b/>
                <w:bCs/>
                <w:sz w:val="24"/>
                <w:szCs w:val="24"/>
              </w:rPr>
              <w:t>公司接待人员</w:t>
            </w:r>
          </w:p>
        </w:tc>
        <w:tc>
          <w:tcPr>
            <w:tcW w:w="6740" w:type="dxa"/>
            <w:vAlign w:val="center"/>
          </w:tcPr>
          <w:p w14:paraId="2B5FC932">
            <w:pPr>
              <w:rPr>
                <w:rFonts w:ascii="宋体" w:hAnsi="宋体" w:eastAsia="宋体"/>
                <w:sz w:val="24"/>
                <w:szCs w:val="24"/>
              </w:rPr>
            </w:pPr>
            <w:r>
              <w:rPr>
                <w:rFonts w:hint="eastAsia" w:ascii="宋体" w:hAnsi="宋体" w:eastAsia="宋体"/>
                <w:sz w:val="24"/>
                <w:szCs w:val="24"/>
              </w:rPr>
              <w:t xml:space="preserve">党委书记、董事长 </w:t>
            </w:r>
            <w:r>
              <w:rPr>
                <w:rFonts w:hint="eastAsia" w:ascii="宋体" w:hAnsi="宋体" w:eastAsia="宋体"/>
                <w:sz w:val="24"/>
                <w:szCs w:val="24"/>
                <w:lang w:val="en-US" w:eastAsia="zh-CN"/>
              </w:rPr>
              <w:t>张晋波</w:t>
            </w:r>
            <w:r>
              <w:rPr>
                <w:rFonts w:hint="eastAsia" w:ascii="宋体" w:hAnsi="宋体" w:eastAsia="宋体"/>
                <w:sz w:val="24"/>
                <w:szCs w:val="24"/>
              </w:rPr>
              <w:t>先生</w:t>
            </w:r>
          </w:p>
          <w:p w14:paraId="43D7DC80">
            <w:pPr>
              <w:rPr>
                <w:rFonts w:ascii="宋体" w:hAnsi="宋体" w:eastAsia="宋体"/>
                <w:sz w:val="24"/>
                <w:szCs w:val="24"/>
              </w:rPr>
            </w:pPr>
            <w:r>
              <w:rPr>
                <w:rFonts w:hint="eastAsia" w:ascii="宋体" w:hAnsi="宋体" w:eastAsia="宋体"/>
                <w:sz w:val="24"/>
                <w:szCs w:val="24"/>
              </w:rPr>
              <w:t>董事会秘书、总会计师、总法律顾问 王辉先生</w:t>
            </w:r>
          </w:p>
          <w:p w14:paraId="677CC333">
            <w:pPr>
              <w:rPr>
                <w:rFonts w:ascii="宋体" w:hAnsi="宋体" w:eastAsia="宋体"/>
                <w:sz w:val="24"/>
                <w:szCs w:val="24"/>
              </w:rPr>
            </w:pPr>
            <w:r>
              <w:rPr>
                <w:rFonts w:hint="eastAsia" w:ascii="宋体" w:hAnsi="宋体" w:eastAsia="宋体"/>
                <w:sz w:val="24"/>
                <w:szCs w:val="24"/>
              </w:rPr>
              <w:t>独立董事 李玲女士</w:t>
            </w:r>
          </w:p>
        </w:tc>
      </w:tr>
      <w:tr w14:paraId="763B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980" w:type="dxa"/>
            <w:vAlign w:val="center"/>
          </w:tcPr>
          <w:p w14:paraId="404C7B7B">
            <w:pPr>
              <w:jc w:val="center"/>
              <w:rPr>
                <w:rFonts w:ascii="宋体" w:hAnsi="宋体" w:eastAsia="宋体"/>
                <w:b/>
                <w:bCs/>
                <w:sz w:val="24"/>
                <w:szCs w:val="24"/>
              </w:rPr>
            </w:pPr>
            <w:r>
              <w:rPr>
                <w:rFonts w:hint="eastAsia" w:ascii="宋体" w:hAnsi="宋体" w:eastAsia="宋体"/>
                <w:b/>
                <w:bCs/>
                <w:sz w:val="24"/>
                <w:szCs w:val="24"/>
              </w:rPr>
              <w:t>投资者关系活动主要内容介绍</w:t>
            </w:r>
          </w:p>
        </w:tc>
        <w:tc>
          <w:tcPr>
            <w:tcW w:w="6740" w:type="dxa"/>
            <w:vAlign w:val="center"/>
          </w:tcPr>
          <w:p w14:paraId="524CB1BB">
            <w:pPr>
              <w:ind w:firstLine="480" w:firstLineChars="200"/>
              <w:rPr>
                <w:rFonts w:ascii="宋体" w:hAnsi="宋体" w:eastAsia="宋体"/>
                <w:sz w:val="24"/>
                <w:szCs w:val="24"/>
              </w:rPr>
            </w:pPr>
            <w:r>
              <w:rPr>
                <w:rFonts w:hint="eastAsia" w:ascii="宋体" w:hAnsi="宋体" w:eastAsia="宋体"/>
                <w:sz w:val="24"/>
                <w:szCs w:val="24"/>
              </w:rPr>
              <w:t>公司通过上海证券交易所上证路演中心平台（http://roadshow.sseinfo.com）以</w:t>
            </w:r>
            <w:r>
              <w:rPr>
                <w:rFonts w:hint="eastAsia" w:ascii="宋体" w:hAnsi="宋体" w:eastAsia="宋体"/>
                <w:sz w:val="24"/>
                <w:szCs w:val="24"/>
                <w:lang w:val="en-US" w:eastAsia="zh-CN"/>
              </w:rPr>
              <w:t>文字</w:t>
            </w:r>
            <w:r>
              <w:rPr>
                <w:rFonts w:hint="eastAsia" w:ascii="宋体" w:hAnsi="宋体" w:eastAsia="宋体"/>
                <w:sz w:val="24"/>
                <w:szCs w:val="24"/>
              </w:rPr>
              <w:t>和网络互动方式召开202</w:t>
            </w:r>
            <w:r>
              <w:rPr>
                <w:rFonts w:hint="eastAsia" w:ascii="宋体" w:hAnsi="宋体" w:eastAsia="宋体"/>
                <w:sz w:val="24"/>
                <w:szCs w:val="24"/>
                <w:lang w:val="en-US" w:eastAsia="zh-CN"/>
              </w:rPr>
              <w:t>6</w:t>
            </w:r>
            <w:r>
              <w:rPr>
                <w:rFonts w:hint="eastAsia" w:ascii="宋体" w:hAnsi="宋体" w:eastAsia="宋体"/>
                <w:sz w:val="24"/>
                <w:szCs w:val="24"/>
              </w:rPr>
              <w:t>年</w:t>
            </w:r>
            <w:r>
              <w:rPr>
                <w:rFonts w:hint="eastAsia" w:ascii="宋体" w:hAnsi="宋体" w:eastAsia="宋体"/>
                <w:sz w:val="24"/>
                <w:szCs w:val="24"/>
                <w:lang w:val="en-US" w:eastAsia="zh-CN"/>
              </w:rPr>
              <w:t>半年</w:t>
            </w:r>
            <w:r>
              <w:rPr>
                <w:rFonts w:hint="eastAsia" w:ascii="宋体" w:hAnsi="宋体" w:eastAsia="宋体"/>
                <w:sz w:val="24"/>
                <w:szCs w:val="24"/>
              </w:rPr>
              <w:t>度业绩说明会。</w:t>
            </w:r>
          </w:p>
          <w:p w14:paraId="7E7E8ECA">
            <w:pPr>
              <w:ind w:firstLine="482" w:firstLineChars="200"/>
              <w:rPr>
                <w:rFonts w:ascii="宋体" w:hAnsi="宋体" w:eastAsia="宋体"/>
                <w:sz w:val="24"/>
                <w:szCs w:val="24"/>
              </w:rPr>
            </w:pPr>
            <w:r>
              <w:rPr>
                <w:rFonts w:hint="eastAsia" w:ascii="宋体" w:hAnsi="宋体" w:eastAsia="宋体"/>
                <w:b/>
                <w:bCs/>
                <w:sz w:val="24"/>
                <w:szCs w:val="24"/>
              </w:rPr>
              <w:t>第一部分</w:t>
            </w:r>
            <w:r>
              <w:rPr>
                <w:rFonts w:hint="eastAsia" w:ascii="宋体" w:hAnsi="宋体" w:eastAsia="宋体"/>
                <w:sz w:val="24"/>
                <w:szCs w:val="24"/>
              </w:rPr>
              <w:t>：公司202</w:t>
            </w:r>
            <w:r>
              <w:rPr>
                <w:rFonts w:hint="eastAsia" w:ascii="宋体" w:hAnsi="宋体" w:eastAsia="宋体"/>
                <w:sz w:val="24"/>
                <w:szCs w:val="24"/>
                <w:lang w:val="en-US" w:eastAsia="zh-CN"/>
              </w:rPr>
              <w:t>6</w:t>
            </w:r>
            <w:r>
              <w:rPr>
                <w:rFonts w:hint="eastAsia" w:ascii="宋体" w:hAnsi="宋体" w:eastAsia="宋体"/>
                <w:sz w:val="24"/>
                <w:szCs w:val="24"/>
              </w:rPr>
              <w:t>年</w:t>
            </w:r>
            <w:r>
              <w:rPr>
                <w:rFonts w:hint="eastAsia" w:ascii="宋体" w:hAnsi="宋体" w:eastAsia="宋体"/>
                <w:sz w:val="24"/>
                <w:szCs w:val="24"/>
                <w:lang w:val="en-US" w:eastAsia="zh-CN"/>
              </w:rPr>
              <w:t>半年</w:t>
            </w:r>
            <w:r>
              <w:rPr>
                <w:rFonts w:hint="eastAsia" w:ascii="宋体" w:hAnsi="宋体" w:eastAsia="宋体"/>
                <w:sz w:val="24"/>
                <w:szCs w:val="24"/>
              </w:rPr>
              <w:t>度经营情况说明，介绍公司概况、核心技术、产能布局等；</w:t>
            </w:r>
          </w:p>
          <w:p w14:paraId="593D50DA">
            <w:pPr>
              <w:ind w:firstLine="482" w:firstLineChars="200"/>
              <w:rPr>
                <w:rFonts w:ascii="宋体" w:hAnsi="宋体" w:eastAsia="宋体"/>
                <w:sz w:val="24"/>
                <w:szCs w:val="24"/>
              </w:rPr>
            </w:pPr>
            <w:r>
              <w:rPr>
                <w:rFonts w:hint="eastAsia" w:ascii="宋体" w:hAnsi="宋体" w:eastAsia="宋体"/>
                <w:b/>
                <w:bCs/>
                <w:sz w:val="24"/>
                <w:szCs w:val="24"/>
              </w:rPr>
              <w:t>第二部分</w:t>
            </w:r>
            <w:r>
              <w:rPr>
                <w:rFonts w:hint="eastAsia" w:ascii="宋体" w:hAnsi="宋体" w:eastAsia="宋体"/>
                <w:sz w:val="24"/>
                <w:szCs w:val="24"/>
              </w:rPr>
              <w:t>：问答环节</w:t>
            </w:r>
          </w:p>
          <w:p w14:paraId="672E7A5B">
            <w:pPr>
              <w:ind w:firstLine="480" w:firstLineChars="200"/>
              <w:rPr>
                <w:rFonts w:hint="eastAsia" w:ascii="宋体" w:hAnsi="宋体" w:eastAsia="宋体"/>
                <w:sz w:val="24"/>
                <w:szCs w:val="24"/>
              </w:rPr>
            </w:pPr>
            <w:r>
              <w:rPr>
                <w:rFonts w:hint="eastAsia" w:ascii="宋体" w:hAnsi="宋体" w:eastAsia="宋体"/>
                <w:sz w:val="24"/>
                <w:szCs w:val="24"/>
              </w:rPr>
              <w:t>问题1：随着十五五电网、新能源装备需求增长，大容量试验平台属于稀缺资源，请问公司现有实验室产能能否匹配未来 2-3 年订单需求，是否有新的资本开支规划?</w:t>
            </w:r>
          </w:p>
          <w:p w14:paraId="0974E9F1">
            <w:pPr>
              <w:ind w:firstLine="480" w:firstLineChars="200"/>
              <w:rPr>
                <w:rFonts w:hint="eastAsia" w:ascii="宋体" w:hAnsi="宋体" w:eastAsia="宋体"/>
                <w:sz w:val="24"/>
                <w:szCs w:val="24"/>
              </w:rPr>
            </w:pPr>
            <w:r>
              <w:rPr>
                <w:rFonts w:hint="eastAsia" w:ascii="宋体" w:hAnsi="宋体" w:eastAsia="宋体"/>
                <w:sz w:val="24"/>
                <w:szCs w:val="24"/>
              </w:rPr>
              <w:t>答：尊敬的投资者，您好。目前公司整体产能可满足大部分订单的履约需求，正积极采取项目建设、智能化改造提升实验效率等多种措施，进一步保障客户订单的及时交付。未来如有重要投资建设计划，公司将及时披露。感谢您的关注。</w:t>
            </w:r>
          </w:p>
          <w:p w14:paraId="7691A16C">
            <w:pPr>
              <w:ind w:firstLine="480" w:firstLineChars="200"/>
              <w:rPr>
                <w:rFonts w:hint="eastAsia" w:ascii="宋体" w:hAnsi="宋体" w:eastAsia="宋体"/>
                <w:sz w:val="24"/>
                <w:szCs w:val="24"/>
              </w:rPr>
            </w:pPr>
            <w:r>
              <w:rPr>
                <w:rFonts w:hint="eastAsia" w:ascii="宋体" w:hAnsi="宋体" w:eastAsia="宋体"/>
                <w:sz w:val="24"/>
                <w:szCs w:val="24"/>
              </w:rPr>
              <w:t>问题2：特高压是西高院核心优势赛道，今年特高压招标规模大增，请问上半年相关检测订单增速，下半年以及“十五五”特高压规划对公司业务的增量空间怎么判断？</w:t>
            </w:r>
          </w:p>
          <w:p w14:paraId="68A0353E">
            <w:pPr>
              <w:ind w:firstLine="480" w:firstLineChars="200"/>
              <w:rPr>
                <w:rFonts w:hint="eastAsia" w:ascii="宋体" w:hAnsi="宋体" w:eastAsia="宋体"/>
                <w:sz w:val="24"/>
                <w:szCs w:val="24"/>
              </w:rPr>
            </w:pPr>
            <w:r>
              <w:rPr>
                <w:rFonts w:hint="eastAsia" w:ascii="宋体" w:hAnsi="宋体" w:eastAsia="宋体"/>
                <w:sz w:val="24"/>
                <w:szCs w:val="24"/>
              </w:rPr>
              <w:t>答：尊敬的投资者，您好。上半年，随着国内特高压建设有序推进，公司相关业务稳步增长。未来公司将继续做好主业，努力抓住“十五五”的机遇，但未来的市场需求量及释放进度和市场竞争的情况都存在不确定性，请投资者理性判断，注意投资风险。感谢您的关注。</w:t>
            </w:r>
          </w:p>
          <w:p w14:paraId="2024C2EB">
            <w:pPr>
              <w:ind w:firstLine="480" w:firstLineChars="200"/>
              <w:rPr>
                <w:rFonts w:hint="eastAsia" w:ascii="宋体" w:hAnsi="宋体" w:eastAsia="宋体"/>
                <w:sz w:val="24"/>
                <w:szCs w:val="24"/>
              </w:rPr>
            </w:pPr>
            <w:r>
              <w:rPr>
                <w:rFonts w:hint="eastAsia" w:ascii="宋体" w:hAnsi="宋体" w:eastAsia="宋体"/>
                <w:sz w:val="24"/>
                <w:szCs w:val="24"/>
              </w:rPr>
              <w:t>问题3：美国电网设备进口禁令，会削弱公司出口相关检测业务吗？</w:t>
            </w:r>
          </w:p>
          <w:p w14:paraId="5499F0FE">
            <w:pPr>
              <w:ind w:firstLine="480" w:firstLineChars="200"/>
              <w:rPr>
                <w:rFonts w:hint="eastAsia" w:ascii="宋体" w:hAnsi="宋体" w:eastAsia="宋体"/>
                <w:sz w:val="24"/>
                <w:szCs w:val="24"/>
              </w:rPr>
            </w:pPr>
            <w:r>
              <w:rPr>
                <w:rFonts w:hint="eastAsia" w:ascii="宋体" w:hAnsi="宋体" w:eastAsia="宋体"/>
                <w:sz w:val="24"/>
                <w:szCs w:val="24"/>
              </w:rPr>
              <w:t>答：尊敬的投资者，您好。在国际市场布局上，公司主要聚焦东南亚、中东、欧洲等核心区域，稳步拓展海外检测业务市场，该行政令对公司当前业务的直接影响较小。公司将持续关注海外政策，并根据市场环境变化积极应对。感谢您的关注。</w:t>
            </w:r>
          </w:p>
          <w:p w14:paraId="09931563">
            <w:pPr>
              <w:ind w:firstLine="480" w:firstLineChars="200"/>
              <w:rPr>
                <w:rFonts w:hint="eastAsia" w:ascii="宋体" w:hAnsi="宋体" w:eastAsia="宋体"/>
                <w:sz w:val="24"/>
                <w:szCs w:val="24"/>
              </w:rPr>
            </w:pPr>
            <w:r>
              <w:rPr>
                <w:rFonts w:hint="eastAsia" w:ascii="宋体" w:hAnsi="宋体" w:eastAsia="宋体"/>
                <w:sz w:val="24"/>
                <w:szCs w:val="24"/>
              </w:rPr>
              <w:t>问题4：公司检测报告已获得海外多个国家认可，上半年海外相关检测业务进展如何？海外业务当前的主要客户与市场区域是哪些，未来国际化拓展的策略是什么？</w:t>
            </w:r>
          </w:p>
          <w:p w14:paraId="042F202B">
            <w:pPr>
              <w:ind w:firstLine="480" w:firstLineChars="200"/>
              <w:rPr>
                <w:rFonts w:hint="eastAsia" w:ascii="宋体" w:hAnsi="宋体" w:eastAsia="宋体"/>
                <w:sz w:val="24"/>
                <w:szCs w:val="24"/>
              </w:rPr>
            </w:pPr>
            <w:r>
              <w:rPr>
                <w:rFonts w:hint="eastAsia" w:ascii="宋体" w:hAnsi="宋体" w:eastAsia="宋体"/>
                <w:sz w:val="24"/>
                <w:szCs w:val="24"/>
              </w:rPr>
              <w:t>答：尊敬的投资者，您好。2026年上半年，公司成功获得土耳其、沙特、阿联酋、埃及等多国变压器、开关柜、避雷器、GIL等海外试验订单，国际化业务动能持续释放。在国际市场布局上，公司将坚持“重点突破+全球布局”的发展战略，聚焦东南亚、中东、欧洲等核心区域，积极推进当地检测资质获取，深度参与国际标准制定，稳步拓展海外检测业务市场。感谢您的关注。</w:t>
            </w:r>
          </w:p>
          <w:p w14:paraId="60A9DAF3">
            <w:pPr>
              <w:ind w:firstLine="480" w:firstLineChars="200"/>
              <w:rPr>
                <w:rFonts w:hint="eastAsia" w:ascii="宋体" w:hAnsi="宋体" w:eastAsia="宋体"/>
                <w:sz w:val="24"/>
                <w:szCs w:val="24"/>
              </w:rPr>
            </w:pPr>
            <w:r>
              <w:rPr>
                <w:rFonts w:hint="eastAsia" w:ascii="宋体" w:hAnsi="宋体" w:eastAsia="宋体"/>
                <w:sz w:val="24"/>
                <w:szCs w:val="24"/>
              </w:rPr>
              <w:t>问题5：二季度毛利率有所下降，请问具体原因是什么？</w:t>
            </w:r>
          </w:p>
          <w:p w14:paraId="62D8B490">
            <w:pPr>
              <w:ind w:firstLine="480" w:firstLineChars="200"/>
              <w:rPr>
                <w:rFonts w:hint="eastAsia" w:ascii="宋体" w:hAnsi="宋体" w:eastAsia="宋体"/>
                <w:sz w:val="24"/>
                <w:szCs w:val="24"/>
              </w:rPr>
            </w:pPr>
            <w:r>
              <w:rPr>
                <w:rFonts w:hint="eastAsia" w:ascii="宋体" w:hAnsi="宋体" w:eastAsia="宋体"/>
                <w:sz w:val="24"/>
                <w:szCs w:val="24"/>
              </w:rPr>
              <w:t>答：</w:t>
            </w:r>
            <w:r>
              <w:rPr>
                <w:rFonts w:hint="eastAsia" w:ascii="宋体" w:hAnsi="宋体" w:eastAsia="宋体"/>
                <w:sz w:val="24"/>
                <w:szCs w:val="24"/>
                <w:lang w:val="en-US" w:eastAsia="zh-CN"/>
              </w:rPr>
              <w:t>尊</w:t>
            </w:r>
            <w:r>
              <w:rPr>
                <w:rFonts w:hint="eastAsia" w:ascii="宋体" w:hAnsi="宋体" w:eastAsia="宋体"/>
                <w:sz w:val="24"/>
                <w:szCs w:val="24"/>
              </w:rPr>
              <w:t>敬的投资者，您好。主要系本期内开展关键动力设备深度维保、试验室硬件系统性升级改造，形成阶段性集中投入，维修费用较往期上涨，带动营业成本上升所致。感谢您的关注。</w:t>
            </w:r>
          </w:p>
          <w:p w14:paraId="362AD8B0">
            <w:pPr>
              <w:ind w:firstLine="480" w:firstLineChars="200"/>
              <w:rPr>
                <w:rFonts w:hint="eastAsia" w:ascii="宋体" w:hAnsi="宋体" w:eastAsia="宋体"/>
                <w:sz w:val="24"/>
                <w:szCs w:val="24"/>
              </w:rPr>
            </w:pPr>
            <w:r>
              <w:rPr>
                <w:rFonts w:hint="eastAsia" w:ascii="宋体" w:hAnsi="宋体" w:eastAsia="宋体"/>
                <w:sz w:val="24"/>
                <w:szCs w:val="24"/>
              </w:rPr>
              <w:t>问题6：经营性现金流为什么高出净利润两倍之多？</w:t>
            </w:r>
          </w:p>
          <w:p w14:paraId="4E4F6065">
            <w:pPr>
              <w:ind w:firstLine="480" w:firstLineChars="200"/>
              <w:rPr>
                <w:rFonts w:hint="eastAsia" w:ascii="宋体" w:hAnsi="宋体" w:eastAsia="宋体"/>
                <w:sz w:val="24"/>
                <w:szCs w:val="24"/>
              </w:rPr>
            </w:pPr>
            <w:r>
              <w:rPr>
                <w:rFonts w:hint="eastAsia" w:ascii="宋体" w:hAnsi="宋体" w:eastAsia="宋体"/>
                <w:sz w:val="24"/>
                <w:szCs w:val="24"/>
              </w:rPr>
              <w:t>答：尊敬的投资者，您好。本期经营性现金流大幅高于净利润，主要系本期公司销售商品、提供劳务收到的现金较多，同时固定资产折旧、无形资产摊销等非付现成本金额较大，减少了净利润但不影响现金流，具体以定期报告现金流量表补充资料为准。感谢您的关注。</w:t>
            </w:r>
          </w:p>
          <w:p w14:paraId="283FF39B">
            <w:pPr>
              <w:ind w:firstLine="480" w:firstLineChars="200"/>
              <w:rPr>
                <w:rFonts w:hint="eastAsia" w:ascii="宋体" w:hAnsi="宋体" w:eastAsia="宋体"/>
                <w:sz w:val="24"/>
                <w:szCs w:val="24"/>
              </w:rPr>
            </w:pPr>
            <w:r>
              <w:rPr>
                <w:rFonts w:hint="eastAsia" w:ascii="宋体" w:hAnsi="宋体" w:eastAsia="宋体"/>
                <w:sz w:val="24"/>
                <w:szCs w:val="24"/>
              </w:rPr>
              <w:t>问题7：上半年合同负债4.17亿，财报显示是预收检测服务费，这个预收费用是怎么收的？公司具体有多少在手订单？</w:t>
            </w:r>
          </w:p>
          <w:p w14:paraId="1D260148">
            <w:pPr>
              <w:ind w:firstLine="480" w:firstLineChars="200"/>
              <w:rPr>
                <w:rFonts w:hint="eastAsia" w:ascii="宋体" w:hAnsi="宋体" w:eastAsia="宋体"/>
                <w:sz w:val="24"/>
                <w:szCs w:val="24"/>
              </w:rPr>
            </w:pPr>
            <w:r>
              <w:rPr>
                <w:rFonts w:hint="eastAsia" w:ascii="宋体" w:hAnsi="宋体" w:eastAsia="宋体"/>
                <w:sz w:val="24"/>
                <w:szCs w:val="24"/>
              </w:rPr>
              <w:t>答：尊敬的投资者，您好。公司采用预收款模式开展业务合作，在客户明确试验需求并完成委托手续后，按合同约定收取一定比例预付款项，不同检测订单的收取比例可能存在差异。目前公司在手订单充裕。感谢您的关注。</w:t>
            </w:r>
          </w:p>
          <w:p w14:paraId="6A2F97D5">
            <w:pPr>
              <w:ind w:firstLine="480" w:firstLineChars="200"/>
              <w:rPr>
                <w:rFonts w:hint="eastAsia" w:ascii="宋体" w:hAnsi="宋体" w:eastAsia="宋体"/>
                <w:sz w:val="24"/>
                <w:szCs w:val="24"/>
              </w:rPr>
            </w:pPr>
            <w:r>
              <w:rPr>
                <w:rFonts w:hint="eastAsia" w:ascii="宋体" w:hAnsi="宋体" w:eastAsia="宋体"/>
                <w:sz w:val="24"/>
                <w:szCs w:val="24"/>
              </w:rPr>
              <w:t>问题8：公司核心业务和国内电网招标节奏关联度较高，今年特高压设备招标规模同比明显提升，请问这部分订单转化为公司检测收入的周期大概多久？</w:t>
            </w:r>
          </w:p>
          <w:p w14:paraId="0F24C4E5">
            <w:pPr>
              <w:ind w:firstLine="480" w:firstLineChars="200"/>
              <w:rPr>
                <w:rFonts w:hint="eastAsia" w:ascii="宋体" w:hAnsi="宋体" w:eastAsia="宋体"/>
                <w:sz w:val="24"/>
                <w:szCs w:val="24"/>
              </w:rPr>
            </w:pPr>
            <w:r>
              <w:rPr>
                <w:rFonts w:hint="eastAsia" w:ascii="宋体" w:hAnsi="宋体" w:eastAsia="宋体"/>
                <w:sz w:val="24"/>
                <w:szCs w:val="24"/>
              </w:rPr>
              <w:t>答：尊敬的投资者，您好。公司输配电设备检测的交付周期主要受产品电压等级、试验复杂程度、技术难度等多方面因素的影响，中低压设备试验周期相对较短，而高电压等级的设备则因技术规格、安全标准及定制化需求增加，可能导致处理时间延长，例如特高压设备全套试验一般需要3-6个月的周期。相关收入将依据会计准则及各订单实际执行情况确认，具体进度与时点视项目落地情况而定。感谢您的关注。</w:t>
            </w:r>
          </w:p>
          <w:p w14:paraId="52FCE892">
            <w:pPr>
              <w:ind w:firstLine="480" w:firstLineChars="200"/>
              <w:rPr>
                <w:rFonts w:hint="eastAsia" w:ascii="宋体" w:hAnsi="宋体" w:eastAsia="宋体"/>
                <w:sz w:val="24"/>
                <w:szCs w:val="24"/>
              </w:rPr>
            </w:pPr>
            <w:r>
              <w:rPr>
                <w:rFonts w:hint="eastAsia" w:ascii="宋体" w:hAnsi="宋体" w:eastAsia="宋体"/>
                <w:sz w:val="24"/>
                <w:szCs w:val="24"/>
              </w:rPr>
              <w:t>问题9：麻烦请问公司未来的分红计划和派息政策？</w:t>
            </w:r>
          </w:p>
          <w:p w14:paraId="54BCBF6D">
            <w:pPr>
              <w:ind w:firstLine="480" w:firstLineChars="200"/>
              <w:rPr>
                <w:rFonts w:hint="eastAsia" w:ascii="宋体" w:hAnsi="宋体" w:eastAsia="宋体"/>
                <w:sz w:val="24"/>
                <w:szCs w:val="24"/>
              </w:rPr>
            </w:pPr>
            <w:r>
              <w:rPr>
                <w:rFonts w:hint="eastAsia" w:ascii="宋体" w:hAnsi="宋体" w:eastAsia="宋体"/>
                <w:sz w:val="24"/>
                <w:szCs w:val="24"/>
              </w:rPr>
              <w:t>答：尊敬的投资者，您好。公司重视对投资者的合理投资回报并兼顾公司的实际经营情况和可持续发展，坚持实施积极、持续、稳定的利润分配政策，公司会综合平衡当期分红和长期持续发展的关系，确定合理的股利分配比例。</w:t>
            </w:r>
          </w:p>
          <w:p w14:paraId="2C25C5E5">
            <w:pPr>
              <w:ind w:firstLine="480" w:firstLineChars="200"/>
              <w:rPr>
                <w:rFonts w:hint="eastAsia" w:ascii="宋体" w:hAnsi="宋体" w:eastAsia="宋体"/>
                <w:sz w:val="24"/>
                <w:szCs w:val="24"/>
              </w:rPr>
            </w:pPr>
            <w:r>
              <w:rPr>
                <w:rFonts w:hint="eastAsia" w:ascii="宋体" w:hAnsi="宋体" w:eastAsia="宋体"/>
                <w:sz w:val="24"/>
                <w:szCs w:val="24"/>
              </w:rPr>
              <w:t>问题10：请问贵公司未来盈利增长的主要驱动因素有哪些？谢谢。</w:t>
            </w:r>
          </w:p>
          <w:p w14:paraId="349CF51E">
            <w:pPr>
              <w:ind w:firstLine="480" w:firstLineChars="200"/>
              <w:rPr>
                <w:rFonts w:hint="eastAsia" w:ascii="宋体" w:hAnsi="宋体" w:eastAsia="宋体"/>
                <w:sz w:val="24"/>
                <w:szCs w:val="24"/>
              </w:rPr>
            </w:pPr>
            <w:r>
              <w:rPr>
                <w:rFonts w:hint="eastAsia" w:ascii="宋体" w:hAnsi="宋体" w:eastAsia="宋体"/>
                <w:sz w:val="24"/>
                <w:szCs w:val="24"/>
              </w:rPr>
              <w:t>答：尊敬的投资者，您好。公司致力于为电力行业的蓬勃发展提供优质检测和技术研究服务。近年来，公司一方面持续巩固传统检测业务、技术服务与咨询等核心优势，另一方面也在积极结合市场需求变化，稳步推进在新能源、海外业务等新兴领域的布局与拓展，努力推动公司经营业绩稳步提升。感谢您的关注。</w:t>
            </w:r>
          </w:p>
          <w:p w14:paraId="1FBDDFC0">
            <w:pPr>
              <w:ind w:firstLine="480" w:firstLineChars="200"/>
              <w:rPr>
                <w:rFonts w:hint="eastAsia" w:ascii="宋体" w:hAnsi="宋体" w:eastAsia="宋体"/>
                <w:sz w:val="24"/>
                <w:szCs w:val="24"/>
              </w:rPr>
            </w:pPr>
            <w:r>
              <w:rPr>
                <w:rFonts w:hint="eastAsia" w:ascii="宋体" w:hAnsi="宋体" w:eastAsia="宋体"/>
                <w:sz w:val="24"/>
                <w:szCs w:val="24"/>
              </w:rPr>
              <w:t>问题11：麻烦请问公司目前的股东人数？</w:t>
            </w:r>
          </w:p>
          <w:p w14:paraId="021FBB70">
            <w:pPr>
              <w:ind w:firstLine="480" w:firstLineChars="200"/>
              <w:rPr>
                <w:rFonts w:hint="eastAsia" w:ascii="宋体" w:hAnsi="宋体" w:eastAsia="宋体"/>
                <w:sz w:val="24"/>
                <w:szCs w:val="24"/>
              </w:rPr>
            </w:pPr>
            <w:r>
              <w:rPr>
                <w:rFonts w:hint="eastAsia" w:ascii="宋体" w:hAnsi="宋体" w:eastAsia="宋体"/>
                <w:sz w:val="24"/>
                <w:szCs w:val="24"/>
              </w:rPr>
              <w:t>答：尊敬的投资者，您好！截止2026年6月30日，公司股东人数为11,854人，感谢关注。</w:t>
            </w:r>
          </w:p>
        </w:tc>
      </w:tr>
      <w:tr w14:paraId="6B30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80" w:type="dxa"/>
            <w:vAlign w:val="center"/>
          </w:tcPr>
          <w:p w14:paraId="678B0404">
            <w:pPr>
              <w:jc w:val="center"/>
              <w:rPr>
                <w:rFonts w:ascii="宋体" w:hAnsi="宋体" w:eastAsia="宋体"/>
                <w:b/>
                <w:bCs/>
                <w:sz w:val="24"/>
                <w:szCs w:val="24"/>
              </w:rPr>
            </w:pPr>
            <w:r>
              <w:rPr>
                <w:rFonts w:hint="eastAsia" w:ascii="宋体" w:hAnsi="宋体" w:eastAsia="宋体"/>
                <w:b/>
                <w:bCs/>
                <w:sz w:val="24"/>
                <w:szCs w:val="24"/>
              </w:rPr>
              <w:t>附件清单</w:t>
            </w:r>
          </w:p>
          <w:p w14:paraId="040AA759">
            <w:pPr>
              <w:jc w:val="center"/>
              <w:rPr>
                <w:rFonts w:ascii="宋体" w:hAnsi="宋体" w:eastAsia="宋体"/>
                <w:b/>
                <w:bCs/>
                <w:sz w:val="24"/>
                <w:szCs w:val="24"/>
              </w:rPr>
            </w:pPr>
            <w:r>
              <w:rPr>
                <w:rFonts w:hint="eastAsia" w:ascii="宋体" w:hAnsi="宋体" w:eastAsia="宋体"/>
                <w:b/>
                <w:bCs/>
                <w:sz w:val="24"/>
                <w:szCs w:val="24"/>
              </w:rPr>
              <w:t>（如有）</w:t>
            </w:r>
          </w:p>
        </w:tc>
        <w:tc>
          <w:tcPr>
            <w:tcW w:w="6740" w:type="dxa"/>
            <w:vAlign w:val="center"/>
          </w:tcPr>
          <w:p w14:paraId="631144BB">
            <w:pPr>
              <w:rPr>
                <w:rFonts w:ascii="宋体" w:hAnsi="宋体" w:eastAsia="宋体"/>
                <w:sz w:val="24"/>
                <w:szCs w:val="24"/>
              </w:rPr>
            </w:pPr>
            <w:r>
              <w:rPr>
                <w:rFonts w:hint="eastAsia" w:ascii="宋体" w:hAnsi="宋体" w:eastAsia="宋体"/>
                <w:sz w:val="24"/>
                <w:szCs w:val="24"/>
              </w:rPr>
              <w:t>无</w:t>
            </w:r>
          </w:p>
        </w:tc>
      </w:tr>
      <w:tr w14:paraId="339A3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80" w:type="dxa"/>
            <w:vAlign w:val="center"/>
          </w:tcPr>
          <w:p w14:paraId="6508A29D">
            <w:pPr>
              <w:jc w:val="center"/>
              <w:rPr>
                <w:rFonts w:ascii="宋体" w:hAnsi="宋体" w:eastAsia="宋体"/>
                <w:b/>
                <w:bCs/>
                <w:sz w:val="24"/>
                <w:szCs w:val="24"/>
              </w:rPr>
            </w:pPr>
            <w:r>
              <w:rPr>
                <w:rFonts w:hint="eastAsia" w:ascii="宋体" w:hAnsi="宋体" w:eastAsia="宋体"/>
                <w:b/>
                <w:bCs/>
                <w:sz w:val="24"/>
                <w:szCs w:val="24"/>
              </w:rPr>
              <w:t>日期</w:t>
            </w:r>
          </w:p>
        </w:tc>
        <w:tc>
          <w:tcPr>
            <w:tcW w:w="6740" w:type="dxa"/>
            <w:vAlign w:val="center"/>
          </w:tcPr>
          <w:p w14:paraId="1BCEA60E">
            <w:pPr>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02</w:t>
            </w:r>
            <w:r>
              <w:rPr>
                <w:rFonts w:hint="eastAsia" w:ascii="宋体" w:hAnsi="宋体" w:eastAsia="宋体"/>
                <w:sz w:val="24"/>
                <w:szCs w:val="24"/>
                <w:lang w:val="en-US" w:eastAsia="zh-CN"/>
              </w:rPr>
              <w:t>6</w:t>
            </w:r>
            <w:r>
              <w:rPr>
                <w:rFonts w:hint="eastAsia" w:ascii="宋体" w:hAnsi="宋体" w:eastAsia="宋体"/>
                <w:sz w:val="24"/>
                <w:szCs w:val="24"/>
              </w:rPr>
              <w:t>年</w:t>
            </w:r>
            <w:r>
              <w:rPr>
                <w:rFonts w:hint="eastAsia" w:ascii="宋体" w:hAnsi="宋体" w:eastAsia="宋体"/>
                <w:sz w:val="24"/>
                <w:szCs w:val="24"/>
                <w:lang w:val="en-US" w:eastAsia="zh-CN"/>
              </w:rPr>
              <w:t>9</w:t>
            </w:r>
            <w:r>
              <w:rPr>
                <w:rFonts w:hint="eastAsia" w:ascii="宋体" w:hAnsi="宋体" w:eastAsia="宋体"/>
                <w:sz w:val="24"/>
                <w:szCs w:val="24"/>
              </w:rPr>
              <w:t>月</w:t>
            </w:r>
            <w:r>
              <w:rPr>
                <w:rFonts w:hint="eastAsia" w:ascii="宋体" w:hAnsi="宋体" w:eastAsia="宋体"/>
                <w:sz w:val="24"/>
                <w:szCs w:val="24"/>
                <w:lang w:val="en-US" w:eastAsia="zh-CN"/>
              </w:rPr>
              <w:t>28</w:t>
            </w:r>
            <w:r>
              <w:rPr>
                <w:rFonts w:hint="eastAsia" w:ascii="宋体" w:hAnsi="宋体" w:eastAsia="宋体"/>
                <w:sz w:val="24"/>
                <w:szCs w:val="24"/>
              </w:rPr>
              <w:t>日</w:t>
            </w:r>
          </w:p>
        </w:tc>
      </w:tr>
      <w:tr w14:paraId="17A4F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980" w:type="dxa"/>
            <w:vAlign w:val="center"/>
          </w:tcPr>
          <w:p w14:paraId="12979644">
            <w:pPr>
              <w:jc w:val="center"/>
              <w:rPr>
                <w:rFonts w:ascii="宋体" w:hAnsi="宋体" w:eastAsia="宋体"/>
                <w:b/>
                <w:bCs/>
                <w:sz w:val="24"/>
                <w:szCs w:val="24"/>
              </w:rPr>
            </w:pPr>
            <w:r>
              <w:rPr>
                <w:rFonts w:hint="eastAsia" w:ascii="宋体" w:hAnsi="宋体" w:eastAsia="宋体"/>
                <w:b/>
                <w:bCs/>
                <w:sz w:val="24"/>
                <w:szCs w:val="24"/>
              </w:rPr>
              <w:t>备注</w:t>
            </w:r>
          </w:p>
        </w:tc>
        <w:tc>
          <w:tcPr>
            <w:tcW w:w="6740" w:type="dxa"/>
            <w:vAlign w:val="center"/>
          </w:tcPr>
          <w:p w14:paraId="104902F4">
            <w:pPr>
              <w:ind w:firstLine="480" w:firstLineChars="200"/>
              <w:rPr>
                <w:rFonts w:ascii="宋体" w:hAnsi="宋体" w:eastAsia="宋体"/>
                <w:sz w:val="24"/>
                <w:szCs w:val="24"/>
              </w:rPr>
            </w:pPr>
            <w:r>
              <w:rPr>
                <w:rFonts w:hint="eastAsia" w:ascii="宋体" w:hAnsi="宋体" w:eastAsia="宋体"/>
                <w:sz w:val="24"/>
                <w:szCs w:val="24"/>
              </w:rPr>
              <w:t>公司与投资者进行了充分的交流与沟通，并严格按照公司《信息披露管理制度》等规定，保证信息披露的真实、准确、完善、及时、公平，没有出现未公开重大信息披露等情况。</w:t>
            </w:r>
          </w:p>
        </w:tc>
      </w:tr>
    </w:tbl>
    <w:p w14:paraId="10E4DFC7">
      <w:pPr>
        <w:rPr>
          <w:rFonts w:ascii="宋体" w:hAnsi="宋体" w:eastAsia="宋体"/>
          <w:sz w:val="28"/>
          <w:szCs w:val="28"/>
        </w:rPr>
      </w:pPr>
    </w:p>
    <w:sectPr>
      <w:pgSz w:w="11906" w:h="16838"/>
      <w:pgMar w:top="2098" w:right="1588"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Q0YWQzYWU0NDhkOWMzMTdkZDIyMWY3Mjk0ZWY2YjEifQ=="/>
  </w:docVars>
  <w:rsids>
    <w:rsidRoot w:val="00C270E3"/>
    <w:rsid w:val="000046C0"/>
    <w:rsid w:val="00040A4D"/>
    <w:rsid w:val="00040D33"/>
    <w:rsid w:val="0005356D"/>
    <w:rsid w:val="00056BF8"/>
    <w:rsid w:val="00114EC2"/>
    <w:rsid w:val="00166EFE"/>
    <w:rsid w:val="00177D31"/>
    <w:rsid w:val="001865C3"/>
    <w:rsid w:val="001D1473"/>
    <w:rsid w:val="00221C5F"/>
    <w:rsid w:val="002461AF"/>
    <w:rsid w:val="00283962"/>
    <w:rsid w:val="00285A86"/>
    <w:rsid w:val="002C6800"/>
    <w:rsid w:val="002D433F"/>
    <w:rsid w:val="003A4E0F"/>
    <w:rsid w:val="003A6336"/>
    <w:rsid w:val="003E2E81"/>
    <w:rsid w:val="0040719C"/>
    <w:rsid w:val="00416E60"/>
    <w:rsid w:val="004538E3"/>
    <w:rsid w:val="00472383"/>
    <w:rsid w:val="0048160F"/>
    <w:rsid w:val="004A5EAD"/>
    <w:rsid w:val="004E36FE"/>
    <w:rsid w:val="004F7731"/>
    <w:rsid w:val="0058556F"/>
    <w:rsid w:val="0059368B"/>
    <w:rsid w:val="005B3284"/>
    <w:rsid w:val="005B615A"/>
    <w:rsid w:val="005D62BE"/>
    <w:rsid w:val="00610C66"/>
    <w:rsid w:val="00610EB4"/>
    <w:rsid w:val="00643CD4"/>
    <w:rsid w:val="0065798B"/>
    <w:rsid w:val="0066380B"/>
    <w:rsid w:val="0067114C"/>
    <w:rsid w:val="00692FBB"/>
    <w:rsid w:val="006C7D12"/>
    <w:rsid w:val="006E6D82"/>
    <w:rsid w:val="00716F64"/>
    <w:rsid w:val="00732656"/>
    <w:rsid w:val="0073427C"/>
    <w:rsid w:val="00753105"/>
    <w:rsid w:val="007652EE"/>
    <w:rsid w:val="007A3408"/>
    <w:rsid w:val="007A74E8"/>
    <w:rsid w:val="007B0537"/>
    <w:rsid w:val="007B0FBC"/>
    <w:rsid w:val="007B236F"/>
    <w:rsid w:val="007C110E"/>
    <w:rsid w:val="007E730F"/>
    <w:rsid w:val="00800E21"/>
    <w:rsid w:val="008320C7"/>
    <w:rsid w:val="00835B13"/>
    <w:rsid w:val="008400C0"/>
    <w:rsid w:val="0088426E"/>
    <w:rsid w:val="008C6317"/>
    <w:rsid w:val="008D4151"/>
    <w:rsid w:val="008F2465"/>
    <w:rsid w:val="008F763B"/>
    <w:rsid w:val="009304C5"/>
    <w:rsid w:val="00932ED3"/>
    <w:rsid w:val="00940B96"/>
    <w:rsid w:val="0096674D"/>
    <w:rsid w:val="009E7502"/>
    <w:rsid w:val="00A6158B"/>
    <w:rsid w:val="00B06BDA"/>
    <w:rsid w:val="00B209CF"/>
    <w:rsid w:val="00B2783C"/>
    <w:rsid w:val="00BB60ED"/>
    <w:rsid w:val="00BC1298"/>
    <w:rsid w:val="00BC1380"/>
    <w:rsid w:val="00BE5149"/>
    <w:rsid w:val="00C270E3"/>
    <w:rsid w:val="00C31A71"/>
    <w:rsid w:val="00C37BBA"/>
    <w:rsid w:val="00C45A18"/>
    <w:rsid w:val="00C90ECD"/>
    <w:rsid w:val="00CC41C9"/>
    <w:rsid w:val="00CE3C96"/>
    <w:rsid w:val="00D30BFA"/>
    <w:rsid w:val="00D401B1"/>
    <w:rsid w:val="00D62015"/>
    <w:rsid w:val="00DC7531"/>
    <w:rsid w:val="00E02AC9"/>
    <w:rsid w:val="00E647F3"/>
    <w:rsid w:val="00E71C2B"/>
    <w:rsid w:val="00E83AEA"/>
    <w:rsid w:val="00E91488"/>
    <w:rsid w:val="00EC39B4"/>
    <w:rsid w:val="00F023D3"/>
    <w:rsid w:val="00F110D5"/>
    <w:rsid w:val="00F231C3"/>
    <w:rsid w:val="00F66890"/>
    <w:rsid w:val="00F819AB"/>
    <w:rsid w:val="00F875A3"/>
    <w:rsid w:val="00FC186B"/>
    <w:rsid w:val="00FC5F92"/>
    <w:rsid w:val="00FD65CA"/>
    <w:rsid w:val="00FE542C"/>
    <w:rsid w:val="09074EEF"/>
    <w:rsid w:val="098F1A9F"/>
    <w:rsid w:val="0DA47D15"/>
    <w:rsid w:val="0E71409B"/>
    <w:rsid w:val="16765AAA"/>
    <w:rsid w:val="17725910"/>
    <w:rsid w:val="1FBF7512"/>
    <w:rsid w:val="20FE0EC1"/>
    <w:rsid w:val="24156E1F"/>
    <w:rsid w:val="358C22FD"/>
    <w:rsid w:val="374B4FC3"/>
    <w:rsid w:val="3C4A2B9F"/>
    <w:rsid w:val="3EFF9D25"/>
    <w:rsid w:val="4264182A"/>
    <w:rsid w:val="429A1953"/>
    <w:rsid w:val="441A1CBF"/>
    <w:rsid w:val="44C85ABB"/>
    <w:rsid w:val="55DE8D5E"/>
    <w:rsid w:val="57081358"/>
    <w:rsid w:val="5D4F5738"/>
    <w:rsid w:val="65F8742B"/>
    <w:rsid w:val="756D4F59"/>
    <w:rsid w:val="7BFF13D8"/>
    <w:rsid w:val="7FE73418"/>
    <w:rsid w:val="7FFAAA3B"/>
    <w:rsid w:val="7FFF1BB6"/>
    <w:rsid w:val="DD9E8908"/>
    <w:rsid w:val="EB6B1842"/>
    <w:rsid w:val="F79E04D2"/>
    <w:rsid w:val="FF8F43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tabs>
        <w:tab w:val="center" w:pos="4153"/>
        <w:tab w:val="right" w:pos="8306"/>
      </w:tabs>
      <w:snapToGrid w:val="0"/>
      <w:jc w:val="center"/>
    </w:pPr>
    <w:rPr>
      <w:sz w:val="18"/>
      <w:szCs w:val="18"/>
    </w:rPr>
  </w:style>
  <w:style w:type="paragraph" w:styleId="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6">
    <w:name w:val="annotation subject"/>
    <w:basedOn w:val="2"/>
    <w:next w:val="2"/>
    <w:link w:val="16"/>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4"/>
    <w:qFormat/>
    <w:uiPriority w:val="99"/>
    <w:rPr>
      <w:sz w:val="18"/>
      <w:szCs w:val="18"/>
    </w:rPr>
  </w:style>
  <w:style w:type="character" w:customStyle="1" w:styleId="12">
    <w:name w:val="页脚 字符"/>
    <w:basedOn w:val="9"/>
    <w:link w:val="3"/>
    <w:qFormat/>
    <w:uiPriority w:val="99"/>
    <w:rPr>
      <w:sz w:val="18"/>
      <w:szCs w:val="18"/>
    </w:rPr>
  </w:style>
  <w:style w:type="table" w:customStyle="1" w:styleId="13">
    <w:name w:val="网格型13"/>
    <w:basedOn w:val="7"/>
    <w:qFormat/>
    <w:uiPriority w:val="39"/>
    <w:pPr>
      <w:widowControl w:val="0"/>
      <w:adjustRightInd w:val="0"/>
      <w:snapToGrid w:val="0"/>
      <w:contextualSpacing/>
      <w:jc w:val="center"/>
    </w:pPr>
    <w:rPr>
      <w:rFonts w:eastAsia="仿宋"/>
    </w:rPr>
    <w:tblPr>
      <w:jc w:val="center"/>
      <w:tblBorders>
        <w:top w:val="double" w:color="auto" w:sz="2" w:space="0"/>
        <w:bottom w:val="double" w:color="auto" w:sz="2" w:space="0"/>
        <w:insideH w:val="single" w:color="auto" w:sz="2" w:space="0"/>
        <w:insideV w:val="single" w:color="auto" w:sz="2" w:space="0"/>
      </w:tblBorders>
    </w:tblPr>
    <w:trPr>
      <w:jc w:val="center"/>
    </w:trPr>
    <w:tcPr>
      <w:vAlign w:val="center"/>
    </w:tcPr>
  </w:style>
  <w:style w:type="paragraph" w:customStyle="1" w:styleId="14">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5">
    <w:name w:val="批注文字 字符"/>
    <w:basedOn w:val="9"/>
    <w:link w:val="2"/>
    <w:semiHidden/>
    <w:qFormat/>
    <w:uiPriority w:val="99"/>
    <w:rPr>
      <w:rFonts w:asciiTheme="minorHAnsi" w:hAnsiTheme="minorHAnsi" w:eastAsiaTheme="minorEastAsia" w:cstheme="minorBidi"/>
      <w:kern w:val="2"/>
      <w:sz w:val="21"/>
      <w:szCs w:val="22"/>
    </w:rPr>
  </w:style>
  <w:style w:type="character" w:customStyle="1" w:styleId="16">
    <w:name w:val="批注主题 字符"/>
    <w:basedOn w:val="15"/>
    <w:link w:val="6"/>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2147</Words>
  <Characters>2261</Characters>
  <Lines>20</Lines>
  <Paragraphs>5</Paragraphs>
  <TotalTime>18</TotalTime>
  <ScaleCrop>false</ScaleCrop>
  <LinksUpToDate>false</LinksUpToDate>
  <CharactersWithSpaces>2371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2023-09-17T02:39:00Z</dcterms:created>
  <dc:creator>Li Fan</dc:creator>
  <cp:lastModifiedBy>涵burger</cp:lastModifiedBy>
  <dcterms:modified xsi:type="dcterms:W3CDTF">2026-09-28T09:11:21Z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7FF807D4DC0B47BEBF62F498FDABFA41_13</vt:lpwstr>
  </property>
  <property fmtid="{D5CDD505-2E9C-101B-9397-08002B2CF9AE}" pid="4" name="KSOTemplateDocerSaveRecord">
    <vt:lpwstr>eyJoZGlkIjoiZDBhYTgzM2Y3OGE5MzIyMzFmNzk3MmQxMTA2NTQzZTkiLCJ1c2VySWQiOiIyODI2MTgzNjAifQ==</vt:lpwstr>
  </property>
</Properties>
</file>