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EBCB28">
      <w:pPr>
        <w:rPr>
          <w:rFonts w:ascii="Times New Roman" w:hAnsi="Times New Roman" w:eastAsia="宋体"/>
          <w:b/>
          <w:bCs/>
          <w:iCs/>
          <w:color w:val="000000"/>
          <w:sz w:val="24"/>
        </w:rPr>
      </w:pPr>
      <w:r>
        <w:rPr>
          <w:rFonts w:ascii="Times New Roman" w:hAnsi="Times New Roman" w:eastAsia="宋体"/>
          <w:bCs/>
          <w:iCs/>
          <w:color w:val="000000"/>
          <w:sz w:val="24"/>
        </w:rPr>
        <w:t>证券代码：</w:t>
      </w:r>
      <w:r>
        <w:rPr>
          <w:rFonts w:ascii="Times New Roman" w:hAnsi="Times New Roman" w:eastAsia="宋体" w:cs="Times New Roman"/>
          <w:bCs/>
          <w:iCs/>
          <w:color w:val="000000"/>
          <w:sz w:val="24"/>
        </w:rPr>
        <w:t xml:space="preserve">688809 </w:t>
      </w:r>
      <w:r>
        <w:rPr>
          <w:rFonts w:ascii="Times New Roman" w:hAnsi="Times New Roman" w:eastAsia="宋体"/>
          <w:bCs/>
          <w:iCs/>
          <w:color w:val="000000"/>
          <w:sz w:val="24"/>
        </w:rPr>
        <w:t xml:space="preserve">                           </w:t>
      </w:r>
      <w:r>
        <w:rPr>
          <w:rFonts w:hint="eastAsia" w:ascii="Times New Roman" w:hAnsi="Times New Roman" w:eastAsia="宋体"/>
          <w:bCs/>
          <w:iCs/>
          <w:color w:val="000000"/>
          <w:sz w:val="24"/>
        </w:rPr>
        <w:t xml:space="preserve">       </w:t>
      </w:r>
      <w:r>
        <w:rPr>
          <w:rFonts w:ascii="Times New Roman" w:hAnsi="Times New Roman" w:eastAsia="宋体"/>
          <w:bCs/>
          <w:iCs/>
          <w:color w:val="000000"/>
          <w:sz w:val="24"/>
        </w:rPr>
        <w:t>证券简称：</w:t>
      </w:r>
      <w:r>
        <w:rPr>
          <w:rFonts w:hint="eastAsia" w:ascii="Times New Roman" w:hAnsi="Times New Roman" w:eastAsia="宋体"/>
          <w:bCs/>
          <w:iCs/>
          <w:color w:val="000000"/>
          <w:sz w:val="24"/>
        </w:rPr>
        <w:t>强一股份</w:t>
      </w:r>
    </w:p>
    <w:p w14:paraId="4D834DD9">
      <w:pPr>
        <w:ind w:firstLine="482"/>
        <w:jc w:val="center"/>
        <w:rPr>
          <w:rFonts w:ascii="Times New Roman" w:hAnsi="Times New Roman" w:eastAsia="宋体"/>
          <w:b/>
          <w:bCs/>
          <w:iCs/>
          <w:color w:val="000000"/>
          <w:sz w:val="24"/>
        </w:rPr>
      </w:pPr>
    </w:p>
    <w:p w14:paraId="16538838">
      <w:pPr>
        <w:spacing w:line="600" w:lineRule="exact"/>
        <w:jc w:val="center"/>
        <w:rPr>
          <w:rFonts w:hint="eastAsia" w:ascii="黑体" w:hAnsi="黑体" w:eastAsia="黑体" w:cs="黑体"/>
          <w:b/>
          <w:bCs/>
          <w:sz w:val="36"/>
          <w:szCs w:val="36"/>
        </w:rPr>
      </w:pPr>
      <w:r>
        <w:rPr>
          <w:rFonts w:hint="eastAsia" w:ascii="黑体" w:hAnsi="黑体" w:eastAsia="黑体" w:cs="黑体"/>
          <w:b/>
          <w:bCs/>
          <w:sz w:val="36"/>
          <w:szCs w:val="36"/>
        </w:rPr>
        <w:t>强一半导体（苏州）股份有限公司</w:t>
      </w:r>
    </w:p>
    <w:p w14:paraId="3D9EB5AC">
      <w:pPr>
        <w:jc w:val="center"/>
        <w:rPr>
          <w:rFonts w:hint="eastAsia" w:ascii="黑体" w:hAnsi="黑体" w:eastAsia="黑体" w:cs="黑体"/>
          <w:b/>
          <w:bCs/>
          <w:iCs/>
          <w:color w:val="000000"/>
          <w:sz w:val="36"/>
          <w:szCs w:val="36"/>
        </w:rPr>
      </w:pPr>
      <w:bookmarkStart w:id="0" w:name="OLE_LINK5"/>
      <w:r>
        <w:rPr>
          <w:rFonts w:hint="eastAsia" w:ascii="黑体" w:hAnsi="黑体" w:eastAsia="黑体" w:cs="黑体"/>
          <w:b/>
          <w:bCs/>
          <w:sz w:val="36"/>
          <w:szCs w:val="36"/>
        </w:rPr>
        <w:t>投资者关系活动</w:t>
      </w:r>
      <w:bookmarkEnd w:id="0"/>
      <w:r>
        <w:rPr>
          <w:rFonts w:hint="eastAsia" w:ascii="黑体" w:hAnsi="黑体" w:eastAsia="黑体" w:cs="黑体"/>
          <w:b/>
          <w:bCs/>
          <w:sz w:val="36"/>
          <w:szCs w:val="36"/>
        </w:rPr>
        <w:t>记录表</w:t>
      </w:r>
    </w:p>
    <w:p w14:paraId="1083EF61">
      <w:pPr>
        <w:spacing w:line="400" w:lineRule="exact"/>
        <w:ind w:firstLine="480"/>
        <w:rPr>
          <w:rFonts w:hint="eastAsia" w:ascii="Times New Roman" w:hAnsi="Times New Roman" w:eastAsia="宋体"/>
          <w:bCs/>
          <w:iCs/>
          <w:color w:val="000000"/>
          <w:sz w:val="24"/>
          <w:lang w:val="en-US" w:eastAsia="zh-CN"/>
        </w:rPr>
      </w:pPr>
      <w:r>
        <w:rPr>
          <w:rFonts w:hint="eastAsia" w:ascii="Times New Roman" w:hAnsi="Times New Roman" w:eastAsia="宋体"/>
          <w:bCs/>
          <w:iCs/>
          <w:color w:val="000000"/>
          <w:sz w:val="24"/>
        </w:rPr>
        <w:t xml:space="preserve">                                                   编号：</w:t>
      </w:r>
      <w:r>
        <w:rPr>
          <w:rFonts w:ascii="Times New Roman" w:hAnsi="Times New Roman" w:eastAsia="宋体" w:cs="Times New Roman"/>
          <w:bCs/>
          <w:iCs/>
          <w:color w:val="000000"/>
          <w:sz w:val="24"/>
        </w:rPr>
        <w:t>2026-00</w:t>
      </w:r>
      <w:r>
        <w:rPr>
          <w:rFonts w:hint="eastAsia" w:ascii="Times New Roman" w:hAnsi="Times New Roman" w:eastAsia="宋体" w:cs="Times New Roman"/>
          <w:bCs/>
          <w:iCs/>
          <w:color w:val="000000"/>
          <w:sz w:val="24"/>
          <w:lang w:val="en-US" w:eastAsia="zh-CN"/>
        </w:rPr>
        <w:t>5</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6614"/>
      </w:tblGrid>
      <w:tr w14:paraId="4840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908" w:type="dxa"/>
            <w:tcBorders>
              <w:top w:val="single" w:color="auto" w:sz="4" w:space="0"/>
              <w:left w:val="single" w:color="auto" w:sz="4" w:space="0"/>
              <w:bottom w:val="single" w:color="auto" w:sz="4" w:space="0"/>
              <w:right w:val="single" w:color="auto" w:sz="4" w:space="0"/>
            </w:tcBorders>
            <w:vAlign w:val="center"/>
          </w:tcPr>
          <w:p w14:paraId="2043191D">
            <w:pPr>
              <w:rPr>
                <w:rFonts w:ascii="Times New Roman" w:hAnsi="Times New Roman" w:eastAsia="宋体"/>
                <w:bCs/>
                <w:iCs/>
                <w:color w:val="000000"/>
                <w:sz w:val="24"/>
              </w:rPr>
            </w:pPr>
            <w:r>
              <w:rPr>
                <w:rFonts w:hint="eastAsia" w:ascii="Times New Roman" w:hAnsi="Times New Roman" w:eastAsia="宋体"/>
                <w:bCs/>
                <w:iCs/>
                <w:color w:val="000000"/>
                <w:sz w:val="24"/>
              </w:rPr>
              <w:t>投资者关系活动类别</w:t>
            </w:r>
          </w:p>
        </w:tc>
        <w:tc>
          <w:tcPr>
            <w:tcW w:w="6614" w:type="dxa"/>
            <w:tcBorders>
              <w:top w:val="single" w:color="auto" w:sz="4" w:space="0"/>
              <w:left w:val="single" w:color="auto" w:sz="4" w:space="0"/>
              <w:bottom w:val="single" w:color="auto" w:sz="4" w:space="0"/>
              <w:right w:val="single" w:color="auto" w:sz="4" w:space="0"/>
            </w:tcBorders>
            <w:vAlign w:val="center"/>
          </w:tcPr>
          <w:p w14:paraId="15AE863D">
            <w:pPr>
              <w:spacing w:line="480" w:lineRule="atLeast"/>
              <w:rPr>
                <w:rFonts w:ascii="Times New Roman" w:hAnsi="Times New Roman" w:eastAsia="宋体"/>
                <w:bCs/>
                <w:iCs/>
                <w:color w:val="000000"/>
                <w:sz w:val="24"/>
              </w:rPr>
            </w:pPr>
            <w:r>
              <w:rPr>
                <w:rFonts w:hint="eastAsia" w:ascii="Times New Roman" w:hAnsi="Times New Roman" w:eastAsia="宋体"/>
                <w:bCs/>
                <w:iCs/>
                <w:color w:val="000000"/>
                <w:sz w:val="24"/>
              </w:rPr>
              <w:t>☑</w:t>
            </w:r>
            <w:r>
              <w:rPr>
                <w:rFonts w:hint="eastAsia" w:ascii="Times New Roman" w:hAnsi="Times New Roman" w:eastAsia="宋体"/>
                <w:sz w:val="24"/>
              </w:rPr>
              <w:t xml:space="preserve">特定对象调研        </w:t>
            </w:r>
            <w:r>
              <w:rPr>
                <w:rFonts w:hint="eastAsia" w:ascii="Times New Roman" w:hAnsi="Times New Roman" w:eastAsia="宋体"/>
                <w:bCs/>
                <w:iCs/>
                <w:color w:val="000000"/>
                <w:sz w:val="24"/>
                <w:lang w:eastAsia="zh-CN"/>
              </w:rPr>
              <w:t>☑</w:t>
            </w:r>
            <w:r>
              <w:rPr>
                <w:rFonts w:hint="eastAsia" w:ascii="Times New Roman" w:hAnsi="Times New Roman" w:eastAsia="宋体"/>
                <w:sz w:val="24"/>
              </w:rPr>
              <w:t>分析师会议</w:t>
            </w:r>
          </w:p>
          <w:p w14:paraId="207D3D6C">
            <w:pPr>
              <w:spacing w:line="480" w:lineRule="atLeast"/>
              <w:rPr>
                <w:rFonts w:ascii="Times New Roman" w:hAnsi="Times New Roman" w:eastAsia="宋体"/>
                <w:bCs/>
                <w:iCs/>
                <w:color w:val="000000"/>
                <w:sz w:val="24"/>
              </w:rPr>
            </w:pPr>
            <w:r>
              <w:rPr>
                <w:rFonts w:hint="eastAsia" w:ascii="Times New Roman" w:hAnsi="Times New Roman" w:eastAsia="宋体"/>
                <w:bCs/>
                <w:iCs/>
                <w:color w:val="000000"/>
                <w:sz w:val="24"/>
              </w:rPr>
              <w:t>□</w:t>
            </w:r>
            <w:r>
              <w:rPr>
                <w:rFonts w:hint="eastAsia" w:ascii="Times New Roman" w:hAnsi="Times New Roman" w:eastAsia="宋体"/>
                <w:sz w:val="24"/>
              </w:rPr>
              <w:t xml:space="preserve">媒体采访            </w:t>
            </w:r>
            <w:r>
              <w:rPr>
                <w:rFonts w:hint="eastAsia" w:ascii="Times New Roman" w:hAnsi="Times New Roman" w:eastAsia="宋体"/>
                <w:bCs/>
                <w:iCs/>
                <w:color w:val="000000"/>
                <w:sz w:val="24"/>
              </w:rPr>
              <w:t>□</w:t>
            </w:r>
            <w:r>
              <w:rPr>
                <w:rFonts w:hint="eastAsia" w:ascii="Times New Roman" w:hAnsi="Times New Roman" w:eastAsia="宋体"/>
                <w:sz w:val="24"/>
              </w:rPr>
              <w:t>业绩说明会</w:t>
            </w:r>
          </w:p>
          <w:p w14:paraId="25C95A4B">
            <w:pPr>
              <w:spacing w:line="480" w:lineRule="atLeast"/>
              <w:rPr>
                <w:rFonts w:ascii="Times New Roman" w:hAnsi="Times New Roman" w:eastAsia="宋体"/>
                <w:bCs/>
                <w:iCs/>
                <w:color w:val="000000"/>
                <w:sz w:val="24"/>
              </w:rPr>
            </w:pPr>
            <w:r>
              <w:rPr>
                <w:rFonts w:hint="eastAsia" w:ascii="Times New Roman" w:hAnsi="Times New Roman" w:eastAsia="宋体"/>
                <w:bCs/>
                <w:iCs/>
                <w:color w:val="000000"/>
                <w:sz w:val="24"/>
              </w:rPr>
              <w:t>□</w:t>
            </w:r>
            <w:r>
              <w:rPr>
                <w:rFonts w:hint="eastAsia" w:ascii="Times New Roman" w:hAnsi="Times New Roman" w:eastAsia="宋体"/>
                <w:sz w:val="24"/>
              </w:rPr>
              <w:t xml:space="preserve">新闻发布会          </w:t>
            </w:r>
            <w:r>
              <w:rPr>
                <w:rFonts w:hint="eastAsia" w:ascii="Times New Roman" w:hAnsi="Times New Roman" w:eastAsia="宋体"/>
                <w:bCs/>
                <w:iCs/>
                <w:color w:val="000000"/>
                <w:sz w:val="24"/>
                <w:lang w:eastAsia="zh-CN"/>
              </w:rPr>
              <w:t>□</w:t>
            </w:r>
            <w:r>
              <w:rPr>
                <w:rFonts w:hint="eastAsia" w:ascii="Times New Roman" w:hAnsi="Times New Roman" w:eastAsia="宋体"/>
                <w:sz w:val="24"/>
              </w:rPr>
              <w:t>路演活动</w:t>
            </w:r>
          </w:p>
          <w:p w14:paraId="6568E05D">
            <w:pPr>
              <w:tabs>
                <w:tab w:val="left" w:pos="3045"/>
                <w:tab w:val="center" w:pos="3199"/>
              </w:tabs>
              <w:spacing w:line="480" w:lineRule="atLeast"/>
              <w:rPr>
                <w:rFonts w:ascii="Times New Roman" w:hAnsi="Times New Roman" w:eastAsia="宋体"/>
                <w:bCs/>
                <w:iCs/>
                <w:color w:val="000000"/>
                <w:sz w:val="24"/>
              </w:rPr>
            </w:pPr>
            <w:r>
              <w:rPr>
                <w:rFonts w:hint="eastAsia" w:ascii="Times New Roman" w:hAnsi="Times New Roman" w:eastAsia="宋体"/>
                <w:bCs/>
                <w:iCs/>
                <w:color w:val="000000"/>
                <w:sz w:val="24"/>
              </w:rPr>
              <w:t>□</w:t>
            </w:r>
            <w:r>
              <w:rPr>
                <w:rFonts w:hint="eastAsia" w:ascii="Times New Roman" w:hAnsi="Times New Roman" w:eastAsia="宋体"/>
                <w:sz w:val="24"/>
              </w:rPr>
              <w:t>现场参观</w:t>
            </w:r>
          </w:p>
          <w:p w14:paraId="160A3C39">
            <w:pPr>
              <w:tabs>
                <w:tab w:val="center" w:pos="3199"/>
              </w:tabs>
              <w:spacing w:line="480" w:lineRule="atLeast"/>
              <w:rPr>
                <w:rFonts w:ascii="Times New Roman" w:hAnsi="Times New Roman" w:eastAsia="宋体"/>
                <w:bCs/>
                <w:iCs/>
                <w:color w:val="000000"/>
                <w:sz w:val="24"/>
              </w:rPr>
            </w:pPr>
            <w:r>
              <w:rPr>
                <w:rFonts w:hint="eastAsia" w:ascii="Times New Roman" w:hAnsi="Times New Roman" w:eastAsia="宋体"/>
                <w:bCs/>
                <w:iCs/>
                <w:color w:val="000000"/>
                <w:sz w:val="24"/>
              </w:rPr>
              <w:t>□</w:t>
            </w:r>
            <w:r>
              <w:rPr>
                <w:rFonts w:hint="eastAsia" w:ascii="Times New Roman" w:hAnsi="Times New Roman" w:eastAsia="宋体"/>
                <w:sz w:val="24"/>
              </w:rPr>
              <w:t>其他 （</w:t>
            </w:r>
            <w:r>
              <w:rPr>
                <w:rFonts w:hint="eastAsia" w:ascii="Times New Roman" w:hAnsi="Times New Roman" w:eastAsia="宋体"/>
                <w:sz w:val="24"/>
                <w:u w:val="single"/>
              </w:rPr>
              <w:t>请文字说明其他活动内容）</w:t>
            </w:r>
          </w:p>
        </w:tc>
      </w:tr>
      <w:tr w14:paraId="4D358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tcBorders>
              <w:top w:val="single" w:color="auto" w:sz="4" w:space="0"/>
              <w:left w:val="single" w:color="auto" w:sz="4" w:space="0"/>
              <w:bottom w:val="single" w:color="auto" w:sz="4" w:space="0"/>
              <w:right w:val="single" w:color="auto" w:sz="4" w:space="0"/>
            </w:tcBorders>
            <w:vAlign w:val="center"/>
          </w:tcPr>
          <w:p w14:paraId="35382155">
            <w:pPr>
              <w:rPr>
                <w:rFonts w:ascii="Times New Roman" w:hAnsi="Times New Roman" w:eastAsia="宋体"/>
                <w:bCs/>
                <w:iCs/>
                <w:color w:val="000000"/>
                <w:sz w:val="24"/>
              </w:rPr>
            </w:pPr>
            <w:r>
              <w:rPr>
                <w:rFonts w:hint="eastAsia" w:ascii="Times New Roman" w:hAnsi="Times New Roman" w:eastAsia="宋体"/>
                <w:bCs/>
                <w:iCs/>
                <w:color w:val="000000"/>
                <w:sz w:val="24"/>
              </w:rPr>
              <w:t>参与单位名称（及人员姓名）</w:t>
            </w:r>
          </w:p>
        </w:tc>
        <w:tc>
          <w:tcPr>
            <w:tcW w:w="6614" w:type="dxa"/>
            <w:tcBorders>
              <w:top w:val="single" w:color="auto" w:sz="4" w:space="0"/>
              <w:left w:val="single" w:color="auto" w:sz="4" w:space="0"/>
              <w:bottom w:val="single" w:color="auto" w:sz="4" w:space="0"/>
              <w:right w:val="single" w:color="auto" w:sz="4" w:space="0"/>
            </w:tcBorders>
            <w:vAlign w:val="center"/>
          </w:tcPr>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0"/>
              <w:gridCol w:w="2089"/>
              <w:gridCol w:w="2019"/>
            </w:tblGrid>
            <w:tr w14:paraId="6B72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000" w:type="pct"/>
                  <w:gridSpan w:val="3"/>
                  <w:vAlign w:val="center"/>
                </w:tcPr>
                <w:p w14:paraId="50E4F130">
                  <w:pPr>
                    <w:widowControl/>
                    <w:jc w:val="center"/>
                    <w:rPr>
                      <w:rFonts w:ascii="Times New Roman" w:hAnsi="Times New Roman" w:eastAsia="宋体" w:cs="Times New Roman"/>
                      <w:b/>
                      <w:bCs/>
                      <w:szCs w:val="21"/>
                    </w:rPr>
                  </w:pPr>
                  <w:r>
                    <w:rPr>
                      <w:rFonts w:ascii="Times New Roman" w:hAnsi="Times New Roman" w:eastAsia="宋体" w:cs="Times New Roman"/>
                      <w:b/>
                      <w:bCs/>
                      <w:color w:val="000000"/>
                      <w:kern w:val="0"/>
                      <w:szCs w:val="21"/>
                    </w:rPr>
                    <w:t>公司名称</w:t>
                  </w:r>
                </w:p>
              </w:tc>
            </w:tr>
            <w:tr w14:paraId="532C5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noWrap/>
                  <w:vAlign w:val="center"/>
                </w:tcPr>
                <w:p w14:paraId="1BF2966E">
                  <w:pPr>
                    <w:keepNext w:val="0"/>
                    <w:keepLines w:val="0"/>
                    <w:widowControl/>
                    <w:suppressLineNumbers w:val="0"/>
                    <w:jc w:val="center"/>
                    <w:textAlignment w:val="center"/>
                    <w:rPr>
                      <w:rFonts w:hint="default" w:ascii="Times New Roman" w:hAnsi="Times New Roman" w:eastAsia="宋体" w:cs="Times New Roman"/>
                      <w:color w:val="000000"/>
                      <w:kern w:val="0"/>
                      <w:szCs w:val="21"/>
                      <w:lang w:val="en-US" w:eastAsia="zh-CN"/>
                    </w:rPr>
                  </w:pPr>
                  <w:r>
                    <w:rPr>
                      <w:rFonts w:hint="eastAsia" w:ascii="宋体" w:hAnsi="宋体" w:eastAsia="宋体" w:cs="宋体"/>
                      <w:i w:val="0"/>
                      <w:iCs w:val="0"/>
                      <w:color w:val="000000"/>
                      <w:kern w:val="0"/>
                      <w:sz w:val="22"/>
                      <w:szCs w:val="22"/>
                      <w:u w:val="none"/>
                      <w:lang w:val="en-US" w:eastAsia="zh-CN" w:bidi="ar"/>
                    </w:rPr>
                    <w:t>广发证券</w:t>
                  </w:r>
                </w:p>
              </w:tc>
              <w:tc>
                <w:tcPr>
                  <w:tcW w:w="1635" w:type="pct"/>
                  <w:vAlign w:val="center"/>
                </w:tcPr>
                <w:p w14:paraId="3D96F6FB">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eastAsia" w:ascii="宋体" w:hAnsi="宋体" w:eastAsia="宋体" w:cs="宋体"/>
                      <w:i w:val="0"/>
                      <w:iCs w:val="0"/>
                      <w:color w:val="000000"/>
                      <w:kern w:val="0"/>
                      <w:sz w:val="22"/>
                      <w:szCs w:val="22"/>
                      <w:u w:val="none"/>
                      <w:lang w:val="en-US" w:eastAsia="zh-CN" w:bidi="ar"/>
                    </w:rPr>
                    <w:t>国泰海通证券</w:t>
                  </w:r>
                </w:p>
              </w:tc>
              <w:tc>
                <w:tcPr>
                  <w:tcW w:w="1580" w:type="pct"/>
                  <w:vAlign w:val="center"/>
                </w:tcPr>
                <w:p w14:paraId="43C3CC8F">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eastAsia" w:ascii="宋体" w:hAnsi="宋体" w:eastAsia="宋体" w:cs="宋体"/>
                      <w:i w:val="0"/>
                      <w:iCs w:val="0"/>
                      <w:color w:val="000000"/>
                      <w:kern w:val="0"/>
                      <w:sz w:val="22"/>
                      <w:szCs w:val="22"/>
                      <w:u w:val="none"/>
                      <w:lang w:val="en-US" w:eastAsia="zh-CN" w:bidi="ar"/>
                    </w:rPr>
                    <w:t>中金公司</w:t>
                  </w:r>
                </w:p>
              </w:tc>
            </w:tr>
            <w:tr w14:paraId="3F491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noWrap/>
                  <w:vAlign w:val="center"/>
                </w:tcPr>
                <w:p w14:paraId="37AF19E4">
                  <w:pPr>
                    <w:keepNext w:val="0"/>
                    <w:keepLines w:val="0"/>
                    <w:widowControl/>
                    <w:suppressLineNumbers w:val="0"/>
                    <w:jc w:val="center"/>
                    <w:textAlignment w:val="center"/>
                    <w:rPr>
                      <w:rFonts w:hint="default" w:ascii="Times New Roman" w:hAnsi="Times New Roman" w:eastAsia="宋体" w:cs="Times New Roman"/>
                      <w:color w:val="000000"/>
                      <w:kern w:val="0"/>
                      <w:szCs w:val="21"/>
                      <w:lang w:val="en-US" w:eastAsia="zh-CN"/>
                    </w:rPr>
                  </w:pPr>
                  <w:r>
                    <w:rPr>
                      <w:rFonts w:hint="eastAsia" w:ascii="宋体" w:hAnsi="宋体" w:eastAsia="宋体" w:cs="宋体"/>
                      <w:i w:val="0"/>
                      <w:iCs w:val="0"/>
                      <w:color w:val="000000"/>
                      <w:kern w:val="0"/>
                      <w:sz w:val="22"/>
                      <w:szCs w:val="22"/>
                      <w:u w:val="none"/>
                      <w:lang w:val="en-US" w:eastAsia="zh-CN" w:bidi="ar"/>
                    </w:rPr>
                    <w:t>中信建投证券</w:t>
                  </w:r>
                </w:p>
              </w:tc>
              <w:tc>
                <w:tcPr>
                  <w:tcW w:w="1635" w:type="pct"/>
                  <w:vAlign w:val="center"/>
                </w:tcPr>
                <w:p w14:paraId="0DD6CA9E">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eastAsia" w:ascii="宋体" w:hAnsi="宋体" w:eastAsia="宋体" w:cs="宋体"/>
                      <w:i w:val="0"/>
                      <w:iCs w:val="0"/>
                      <w:color w:val="000000"/>
                      <w:kern w:val="0"/>
                      <w:sz w:val="22"/>
                      <w:szCs w:val="22"/>
                      <w:u w:val="none"/>
                      <w:lang w:val="en-US" w:eastAsia="zh-CN" w:bidi="ar"/>
                    </w:rPr>
                    <w:t>申万宏源证券</w:t>
                  </w:r>
                </w:p>
              </w:tc>
              <w:tc>
                <w:tcPr>
                  <w:tcW w:w="1580" w:type="pct"/>
                  <w:vAlign w:val="center"/>
                </w:tcPr>
                <w:p w14:paraId="424BE174">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eastAsia" w:ascii="宋体" w:hAnsi="宋体" w:eastAsia="宋体" w:cs="宋体"/>
                      <w:i w:val="0"/>
                      <w:iCs w:val="0"/>
                      <w:color w:val="000000"/>
                      <w:kern w:val="0"/>
                      <w:sz w:val="22"/>
                      <w:szCs w:val="22"/>
                      <w:u w:val="none"/>
                      <w:lang w:val="en-US" w:eastAsia="zh-CN" w:bidi="ar"/>
                    </w:rPr>
                    <w:t>华泰证券</w:t>
                  </w:r>
                </w:p>
              </w:tc>
            </w:tr>
            <w:tr w14:paraId="7AF15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noWrap/>
                  <w:vAlign w:val="center"/>
                </w:tcPr>
                <w:p w14:paraId="5AEEB021">
                  <w:pPr>
                    <w:keepNext w:val="0"/>
                    <w:keepLines w:val="0"/>
                    <w:widowControl/>
                    <w:suppressLineNumbers w:val="0"/>
                    <w:jc w:val="center"/>
                    <w:textAlignment w:val="center"/>
                    <w:rPr>
                      <w:rFonts w:hint="eastAsia" w:ascii="Times New Roman" w:hAnsi="Times New Roman" w:eastAsia="宋体" w:cs="Times New Roman"/>
                      <w:color w:val="000000"/>
                      <w:kern w:val="0"/>
                      <w:szCs w:val="21"/>
                      <w:lang w:val="en-US" w:eastAsia="zh-CN"/>
                    </w:rPr>
                  </w:pPr>
                  <w:r>
                    <w:rPr>
                      <w:rFonts w:hint="eastAsia" w:ascii="宋体" w:hAnsi="宋体" w:eastAsia="宋体" w:cs="宋体"/>
                      <w:i w:val="0"/>
                      <w:iCs w:val="0"/>
                      <w:color w:val="000000"/>
                      <w:kern w:val="0"/>
                      <w:sz w:val="22"/>
                      <w:szCs w:val="22"/>
                      <w:u w:val="none"/>
                      <w:lang w:val="en-US" w:eastAsia="zh-CN" w:bidi="ar"/>
                    </w:rPr>
                    <w:t>东吴证券</w:t>
                  </w:r>
                </w:p>
              </w:tc>
              <w:tc>
                <w:tcPr>
                  <w:tcW w:w="1635" w:type="pct"/>
                  <w:vAlign w:val="center"/>
                </w:tcPr>
                <w:p w14:paraId="23EA2C3B">
                  <w:pPr>
                    <w:keepNext w:val="0"/>
                    <w:keepLines w:val="0"/>
                    <w:widowControl/>
                    <w:suppressLineNumbers w:val="0"/>
                    <w:jc w:val="center"/>
                    <w:textAlignment w:val="center"/>
                    <w:rPr>
                      <w:rFonts w:ascii="Times New Roman" w:hAnsi="Times New Roman" w:eastAsia="宋体" w:cs="Times New Roman"/>
                      <w:color w:val="000000"/>
                      <w:szCs w:val="21"/>
                    </w:rPr>
                  </w:pPr>
                  <w:r>
                    <w:rPr>
                      <w:rFonts w:hint="eastAsia" w:ascii="宋体" w:hAnsi="宋体" w:eastAsia="宋体" w:cs="宋体"/>
                      <w:i w:val="0"/>
                      <w:iCs w:val="0"/>
                      <w:color w:val="000000"/>
                      <w:kern w:val="0"/>
                      <w:sz w:val="22"/>
                      <w:szCs w:val="22"/>
                      <w:u w:val="none"/>
                      <w:lang w:val="en-US" w:eastAsia="zh-CN" w:bidi="ar"/>
                    </w:rPr>
                    <w:t>东方证券</w:t>
                  </w:r>
                </w:p>
              </w:tc>
              <w:tc>
                <w:tcPr>
                  <w:tcW w:w="1580" w:type="pct"/>
                  <w:vAlign w:val="center"/>
                </w:tcPr>
                <w:p w14:paraId="5C048EC7">
                  <w:pPr>
                    <w:keepNext w:val="0"/>
                    <w:keepLines w:val="0"/>
                    <w:widowControl/>
                    <w:suppressLineNumbers w:val="0"/>
                    <w:jc w:val="center"/>
                    <w:textAlignment w:val="center"/>
                    <w:rPr>
                      <w:rFonts w:hint="eastAsia" w:ascii="Times New Roman" w:hAnsi="Times New Roman" w:eastAsia="宋体" w:cs="Times New Roman"/>
                      <w:color w:val="000000"/>
                      <w:szCs w:val="21"/>
                      <w:lang w:val="en-US" w:eastAsia="zh-CN"/>
                    </w:rPr>
                  </w:pPr>
                  <w:r>
                    <w:rPr>
                      <w:rFonts w:hint="eastAsia" w:ascii="宋体" w:hAnsi="宋体" w:eastAsia="宋体" w:cs="宋体"/>
                      <w:i w:val="0"/>
                      <w:iCs w:val="0"/>
                      <w:color w:val="000000"/>
                      <w:kern w:val="0"/>
                      <w:sz w:val="22"/>
                      <w:szCs w:val="22"/>
                      <w:u w:val="none"/>
                      <w:lang w:val="en-US" w:eastAsia="zh-CN" w:bidi="ar"/>
                    </w:rPr>
                    <w:t>华西证券</w:t>
                  </w:r>
                </w:p>
              </w:tc>
            </w:tr>
            <w:tr w14:paraId="1FB91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676368CD">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国金证券</w:t>
                  </w:r>
                </w:p>
              </w:tc>
              <w:tc>
                <w:tcPr>
                  <w:tcW w:w="1635" w:type="pct"/>
                  <w:shd w:val="clear" w:color="auto" w:fill="auto"/>
                  <w:vAlign w:val="center"/>
                </w:tcPr>
                <w:p w14:paraId="1E52F3DC">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华源证券</w:t>
                  </w:r>
                </w:p>
              </w:tc>
              <w:tc>
                <w:tcPr>
                  <w:tcW w:w="1580" w:type="pct"/>
                  <w:shd w:val="clear" w:color="auto" w:fill="auto"/>
                  <w:vAlign w:val="center"/>
                </w:tcPr>
                <w:p w14:paraId="04DEBE48">
                  <w:pPr>
                    <w:keepNext w:val="0"/>
                    <w:keepLines w:val="0"/>
                    <w:widowControl/>
                    <w:suppressLineNumbers w:val="0"/>
                    <w:jc w:val="center"/>
                    <w:textAlignment w:val="center"/>
                    <w:rPr>
                      <w:rFonts w:hint="default"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西部证券</w:t>
                  </w:r>
                </w:p>
              </w:tc>
            </w:tr>
            <w:tr w14:paraId="4FFF4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noWrap/>
                  <w:vAlign w:val="center"/>
                </w:tcPr>
                <w:p w14:paraId="1A7690F2">
                  <w:pPr>
                    <w:keepNext w:val="0"/>
                    <w:keepLines w:val="0"/>
                    <w:widowControl/>
                    <w:suppressLineNumbers w:val="0"/>
                    <w:jc w:val="center"/>
                    <w:textAlignment w:val="center"/>
                    <w:rPr>
                      <w:rFonts w:hint="default" w:ascii="Times New Roman" w:hAnsi="Times New Roman" w:eastAsia="宋体" w:cs="Times New Roman"/>
                      <w:color w:val="000000"/>
                      <w:kern w:val="0"/>
                      <w:szCs w:val="21"/>
                      <w:lang w:val="en-US" w:eastAsia="zh-CN"/>
                    </w:rPr>
                  </w:pPr>
                  <w:r>
                    <w:rPr>
                      <w:rFonts w:hint="eastAsia" w:ascii="宋体" w:hAnsi="宋体" w:eastAsia="宋体" w:cs="宋体"/>
                      <w:i w:val="0"/>
                      <w:iCs w:val="0"/>
                      <w:color w:val="000000"/>
                      <w:kern w:val="0"/>
                      <w:sz w:val="22"/>
                      <w:szCs w:val="22"/>
                      <w:u w:val="none"/>
                      <w:lang w:val="en-US" w:eastAsia="zh-CN" w:bidi="ar"/>
                    </w:rPr>
                    <w:t>财通证券</w:t>
                  </w:r>
                </w:p>
              </w:tc>
              <w:tc>
                <w:tcPr>
                  <w:tcW w:w="1635" w:type="pct"/>
                  <w:vAlign w:val="center"/>
                </w:tcPr>
                <w:p w14:paraId="01862707">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eastAsia" w:ascii="宋体" w:hAnsi="宋体" w:eastAsia="宋体" w:cs="宋体"/>
                      <w:i w:val="0"/>
                      <w:iCs w:val="0"/>
                      <w:color w:val="000000"/>
                      <w:kern w:val="0"/>
                      <w:sz w:val="22"/>
                      <w:szCs w:val="22"/>
                      <w:u w:val="none"/>
                      <w:lang w:val="en-US" w:eastAsia="zh-CN" w:bidi="ar"/>
                    </w:rPr>
                    <w:t>方正证券</w:t>
                  </w:r>
                </w:p>
              </w:tc>
              <w:tc>
                <w:tcPr>
                  <w:tcW w:w="1580" w:type="pct"/>
                  <w:vAlign w:val="center"/>
                </w:tcPr>
                <w:p w14:paraId="75B83748">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eastAsia" w:ascii="宋体" w:hAnsi="宋体" w:eastAsia="宋体" w:cs="宋体"/>
                      <w:i w:val="0"/>
                      <w:iCs w:val="0"/>
                      <w:color w:val="000000"/>
                      <w:kern w:val="0"/>
                      <w:sz w:val="22"/>
                      <w:szCs w:val="22"/>
                      <w:u w:val="none"/>
                      <w:lang w:val="en-US" w:eastAsia="zh-CN" w:bidi="ar"/>
                    </w:rPr>
                    <w:t>国盛证券</w:t>
                  </w:r>
                </w:p>
              </w:tc>
            </w:tr>
            <w:tr w14:paraId="2AA32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noWrap/>
                  <w:vAlign w:val="center"/>
                </w:tcPr>
                <w:p w14:paraId="7B9C45E6">
                  <w:pPr>
                    <w:keepNext w:val="0"/>
                    <w:keepLines w:val="0"/>
                    <w:widowControl/>
                    <w:suppressLineNumbers w:val="0"/>
                    <w:jc w:val="center"/>
                    <w:textAlignment w:val="center"/>
                    <w:rPr>
                      <w:rFonts w:hint="default" w:ascii="Times New Roman" w:hAnsi="Times New Roman" w:eastAsia="宋体" w:cs="Times New Roman"/>
                      <w:color w:val="000000"/>
                      <w:kern w:val="0"/>
                      <w:szCs w:val="21"/>
                      <w:lang w:val="en-US" w:eastAsia="zh-CN"/>
                    </w:rPr>
                  </w:pPr>
                  <w:r>
                    <w:rPr>
                      <w:rFonts w:hint="eastAsia" w:ascii="宋体" w:hAnsi="宋体" w:eastAsia="宋体" w:cs="宋体"/>
                      <w:i w:val="0"/>
                      <w:iCs w:val="0"/>
                      <w:color w:val="000000"/>
                      <w:kern w:val="0"/>
                      <w:sz w:val="22"/>
                      <w:szCs w:val="22"/>
                      <w:u w:val="none"/>
                      <w:lang w:val="en-US" w:eastAsia="zh-CN" w:bidi="ar"/>
                    </w:rPr>
                    <w:t>国海证券</w:t>
                  </w:r>
                </w:p>
              </w:tc>
              <w:tc>
                <w:tcPr>
                  <w:tcW w:w="1635" w:type="pct"/>
                  <w:vAlign w:val="center"/>
                </w:tcPr>
                <w:p w14:paraId="0E3F2B69">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eastAsia" w:ascii="宋体" w:hAnsi="宋体" w:eastAsia="宋体" w:cs="宋体"/>
                      <w:i w:val="0"/>
                      <w:iCs w:val="0"/>
                      <w:color w:val="000000"/>
                      <w:kern w:val="0"/>
                      <w:sz w:val="22"/>
                      <w:szCs w:val="22"/>
                      <w:u w:val="none"/>
                      <w:lang w:val="en-US" w:eastAsia="zh-CN" w:bidi="ar"/>
                    </w:rPr>
                    <w:t>东亚前海证券</w:t>
                  </w:r>
                </w:p>
              </w:tc>
              <w:tc>
                <w:tcPr>
                  <w:tcW w:w="1580" w:type="pct"/>
                  <w:vAlign w:val="center"/>
                </w:tcPr>
                <w:p w14:paraId="3B47F54E">
                  <w:pPr>
                    <w:keepNext w:val="0"/>
                    <w:keepLines w:val="0"/>
                    <w:widowControl/>
                    <w:suppressLineNumbers w:val="0"/>
                    <w:jc w:val="center"/>
                    <w:textAlignment w:val="center"/>
                    <w:rPr>
                      <w:rFonts w:ascii="Times New Roman" w:hAnsi="Times New Roman" w:eastAsia="宋体" w:cs="Times New Roman"/>
                      <w:color w:val="000000"/>
                      <w:szCs w:val="21"/>
                    </w:rPr>
                  </w:pPr>
                  <w:r>
                    <w:rPr>
                      <w:rFonts w:hint="eastAsia" w:ascii="宋体" w:hAnsi="宋体" w:eastAsia="宋体" w:cs="宋体"/>
                      <w:i w:val="0"/>
                      <w:iCs w:val="0"/>
                      <w:color w:val="000000"/>
                      <w:kern w:val="0"/>
                      <w:sz w:val="22"/>
                      <w:szCs w:val="22"/>
                      <w:u w:val="none"/>
                      <w:lang w:val="en-US" w:eastAsia="zh-CN" w:bidi="ar"/>
                    </w:rPr>
                    <w:t>江海证券</w:t>
                  </w:r>
                </w:p>
              </w:tc>
            </w:tr>
            <w:tr w14:paraId="0C0A9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noWrap/>
                  <w:vAlign w:val="center"/>
                </w:tcPr>
                <w:p w14:paraId="6111A063">
                  <w:pPr>
                    <w:keepNext w:val="0"/>
                    <w:keepLines w:val="0"/>
                    <w:widowControl/>
                    <w:suppressLineNumbers w:val="0"/>
                    <w:jc w:val="center"/>
                    <w:textAlignment w:val="center"/>
                    <w:rPr>
                      <w:rFonts w:hint="eastAsia" w:ascii="Times New Roman" w:hAnsi="Times New Roman" w:eastAsia="宋体" w:cs="Times New Roman"/>
                      <w:color w:val="000000"/>
                      <w:kern w:val="0"/>
                      <w:szCs w:val="21"/>
                      <w:lang w:val="en-US" w:eastAsia="zh-CN"/>
                    </w:rPr>
                  </w:pPr>
                  <w:r>
                    <w:rPr>
                      <w:rFonts w:hint="eastAsia" w:ascii="宋体" w:hAnsi="宋体" w:eastAsia="宋体" w:cs="宋体"/>
                      <w:i w:val="0"/>
                      <w:iCs w:val="0"/>
                      <w:color w:val="000000"/>
                      <w:kern w:val="0"/>
                      <w:sz w:val="22"/>
                      <w:szCs w:val="22"/>
                      <w:u w:val="none"/>
                      <w:lang w:val="en-US" w:eastAsia="zh-CN" w:bidi="ar"/>
                    </w:rPr>
                    <w:t>天风证券</w:t>
                  </w:r>
                </w:p>
              </w:tc>
              <w:tc>
                <w:tcPr>
                  <w:tcW w:w="1635" w:type="pct"/>
                  <w:vAlign w:val="center"/>
                </w:tcPr>
                <w:p w14:paraId="256BABAB">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eastAsia" w:ascii="宋体" w:hAnsi="宋体" w:eastAsia="宋体" w:cs="宋体"/>
                      <w:i w:val="0"/>
                      <w:iCs w:val="0"/>
                      <w:color w:val="000000"/>
                      <w:kern w:val="0"/>
                      <w:sz w:val="22"/>
                      <w:szCs w:val="22"/>
                      <w:u w:val="none"/>
                      <w:lang w:val="en-US" w:eastAsia="zh-CN" w:bidi="ar"/>
                    </w:rPr>
                    <w:t>华创证券</w:t>
                  </w:r>
                </w:p>
              </w:tc>
              <w:tc>
                <w:tcPr>
                  <w:tcW w:w="1580" w:type="pct"/>
                  <w:vAlign w:val="center"/>
                </w:tcPr>
                <w:p w14:paraId="53A14522">
                  <w:pPr>
                    <w:keepNext w:val="0"/>
                    <w:keepLines w:val="0"/>
                    <w:widowControl/>
                    <w:suppressLineNumbers w:val="0"/>
                    <w:jc w:val="center"/>
                    <w:textAlignment w:val="center"/>
                    <w:rPr>
                      <w:rFonts w:hint="default" w:ascii="Times New Roman" w:hAnsi="Times New Roman" w:eastAsia="宋体" w:cs="Times New Roman"/>
                      <w:color w:val="000000"/>
                      <w:szCs w:val="21"/>
                      <w:lang w:val="en-US" w:eastAsia="zh-CN"/>
                    </w:rPr>
                  </w:pPr>
                  <w:r>
                    <w:rPr>
                      <w:rFonts w:hint="eastAsia" w:ascii="宋体" w:hAnsi="宋体" w:eastAsia="宋体" w:cs="宋体"/>
                      <w:i w:val="0"/>
                      <w:iCs w:val="0"/>
                      <w:color w:val="000000"/>
                      <w:kern w:val="0"/>
                      <w:sz w:val="22"/>
                      <w:szCs w:val="22"/>
                      <w:u w:val="none"/>
                      <w:lang w:val="en-US" w:eastAsia="zh-CN" w:bidi="ar"/>
                    </w:rPr>
                    <w:t>华福证券</w:t>
                  </w:r>
                </w:p>
              </w:tc>
            </w:tr>
            <w:tr w14:paraId="67E2A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7EEEB554">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Times New Roman" w:hAnsi="Times New Roman" w:eastAsia="宋体" w:cs="Times New Roman"/>
                      <w:color w:val="000000"/>
                      <w:kern w:val="0"/>
                      <w:sz w:val="21"/>
                      <w:szCs w:val="21"/>
                      <w:lang w:val="en-US" w:eastAsia="zh-CN" w:bidi="ar-SA"/>
                    </w:rPr>
                    <w:t>国信证券</w:t>
                  </w:r>
                </w:p>
              </w:tc>
              <w:tc>
                <w:tcPr>
                  <w:tcW w:w="1635" w:type="pct"/>
                  <w:shd w:val="clear" w:color="auto" w:fill="auto"/>
                  <w:vAlign w:val="center"/>
                </w:tcPr>
                <w:p w14:paraId="586ABFFF">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光大证券</w:t>
                  </w:r>
                </w:p>
              </w:tc>
              <w:tc>
                <w:tcPr>
                  <w:tcW w:w="1580" w:type="pct"/>
                  <w:shd w:val="clear" w:color="auto" w:fill="auto"/>
                  <w:vAlign w:val="center"/>
                </w:tcPr>
                <w:p w14:paraId="1C26485A">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美银证券</w:t>
                  </w:r>
                </w:p>
              </w:tc>
            </w:tr>
            <w:tr w14:paraId="37C05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023374C2">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中邮证券</w:t>
                  </w:r>
                </w:p>
              </w:tc>
              <w:tc>
                <w:tcPr>
                  <w:tcW w:w="1635" w:type="pct"/>
                  <w:shd w:val="clear" w:color="auto" w:fill="auto"/>
                  <w:vAlign w:val="center"/>
                </w:tcPr>
                <w:p w14:paraId="1952483A">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广发基金</w:t>
                  </w:r>
                </w:p>
              </w:tc>
              <w:tc>
                <w:tcPr>
                  <w:tcW w:w="1580" w:type="pct"/>
                  <w:shd w:val="clear" w:color="auto" w:fill="auto"/>
                  <w:vAlign w:val="center"/>
                </w:tcPr>
                <w:p w14:paraId="5B0D8C80">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易方达基金</w:t>
                  </w:r>
                </w:p>
              </w:tc>
            </w:tr>
            <w:tr w14:paraId="4224C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17181EA1">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瑞银证券</w:t>
                  </w:r>
                </w:p>
              </w:tc>
              <w:tc>
                <w:tcPr>
                  <w:tcW w:w="1635" w:type="pct"/>
                  <w:shd w:val="clear" w:color="auto" w:fill="auto"/>
                  <w:vAlign w:val="center"/>
                </w:tcPr>
                <w:p w14:paraId="47B12D6C">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南方基金</w:t>
                  </w:r>
                </w:p>
              </w:tc>
              <w:tc>
                <w:tcPr>
                  <w:tcW w:w="1580" w:type="pct"/>
                  <w:shd w:val="clear" w:color="auto" w:fill="auto"/>
                  <w:vAlign w:val="center"/>
                </w:tcPr>
                <w:p w14:paraId="3D11DA9E">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博时基金</w:t>
                  </w:r>
                </w:p>
              </w:tc>
            </w:tr>
            <w:tr w14:paraId="11AF3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6BF80557">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富国基金</w:t>
                  </w:r>
                </w:p>
              </w:tc>
              <w:tc>
                <w:tcPr>
                  <w:tcW w:w="1635" w:type="pct"/>
                  <w:shd w:val="clear" w:color="auto" w:fill="auto"/>
                  <w:vAlign w:val="center"/>
                </w:tcPr>
                <w:p w14:paraId="521FB7AD">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工银瑞信</w:t>
                  </w:r>
                </w:p>
              </w:tc>
              <w:tc>
                <w:tcPr>
                  <w:tcW w:w="1580" w:type="pct"/>
                  <w:shd w:val="clear" w:color="auto" w:fill="auto"/>
                  <w:vAlign w:val="center"/>
                </w:tcPr>
                <w:p w14:paraId="7A5270E2">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招商基金</w:t>
                  </w:r>
                </w:p>
              </w:tc>
            </w:tr>
            <w:tr w14:paraId="02B09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7BBD1800">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鹏华基金</w:t>
                  </w:r>
                </w:p>
              </w:tc>
              <w:tc>
                <w:tcPr>
                  <w:tcW w:w="1635" w:type="pct"/>
                  <w:shd w:val="clear" w:color="auto" w:fill="auto"/>
                  <w:vAlign w:val="center"/>
                </w:tcPr>
                <w:p w14:paraId="353036AE">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汇添富基金</w:t>
                  </w:r>
                </w:p>
              </w:tc>
              <w:tc>
                <w:tcPr>
                  <w:tcW w:w="1580" w:type="pct"/>
                  <w:shd w:val="clear" w:color="auto" w:fill="auto"/>
                  <w:vAlign w:val="center"/>
                </w:tcPr>
                <w:p w14:paraId="606BBE62">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景顺长城</w:t>
                  </w:r>
                </w:p>
              </w:tc>
            </w:tr>
            <w:tr w14:paraId="0903F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39D99794">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国泰基金</w:t>
                  </w:r>
                </w:p>
              </w:tc>
              <w:tc>
                <w:tcPr>
                  <w:tcW w:w="1635" w:type="pct"/>
                  <w:shd w:val="clear" w:color="auto" w:fill="auto"/>
                  <w:vAlign w:val="center"/>
                </w:tcPr>
                <w:p w14:paraId="26493D7F">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汇安基金</w:t>
                  </w:r>
                </w:p>
              </w:tc>
              <w:tc>
                <w:tcPr>
                  <w:tcW w:w="1580" w:type="pct"/>
                  <w:shd w:val="clear" w:color="auto" w:fill="auto"/>
                  <w:vAlign w:val="center"/>
                </w:tcPr>
                <w:p w14:paraId="1ABD67B8">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交银基金</w:t>
                  </w:r>
                </w:p>
              </w:tc>
            </w:tr>
            <w:tr w14:paraId="5D853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02922C5A">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华泰柏瑞</w:t>
                  </w:r>
                </w:p>
              </w:tc>
              <w:tc>
                <w:tcPr>
                  <w:tcW w:w="1635" w:type="pct"/>
                  <w:shd w:val="clear" w:color="auto" w:fill="auto"/>
                  <w:vAlign w:val="center"/>
                </w:tcPr>
                <w:p w14:paraId="2825A3A5">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中银基金</w:t>
                  </w:r>
                </w:p>
              </w:tc>
              <w:tc>
                <w:tcPr>
                  <w:tcW w:w="1580" w:type="pct"/>
                  <w:shd w:val="clear" w:color="auto" w:fill="auto"/>
                  <w:vAlign w:val="center"/>
                </w:tcPr>
                <w:p w14:paraId="526C3302">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国寿安保</w:t>
                  </w:r>
                </w:p>
              </w:tc>
            </w:tr>
            <w:tr w14:paraId="5B28C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47D5BBA2">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银华基金</w:t>
                  </w:r>
                </w:p>
              </w:tc>
              <w:tc>
                <w:tcPr>
                  <w:tcW w:w="1635" w:type="pct"/>
                  <w:shd w:val="clear" w:color="auto" w:fill="auto"/>
                  <w:vAlign w:val="center"/>
                </w:tcPr>
                <w:p w14:paraId="30E47766">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华商基金</w:t>
                  </w:r>
                </w:p>
              </w:tc>
              <w:tc>
                <w:tcPr>
                  <w:tcW w:w="1580" w:type="pct"/>
                  <w:shd w:val="clear" w:color="auto" w:fill="auto"/>
                  <w:vAlign w:val="center"/>
                </w:tcPr>
                <w:p w14:paraId="0B88B6B2">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东方红资管</w:t>
                  </w:r>
                </w:p>
              </w:tc>
            </w:tr>
            <w:tr w14:paraId="32462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6B8E313D">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大成基金</w:t>
                  </w:r>
                </w:p>
              </w:tc>
              <w:tc>
                <w:tcPr>
                  <w:tcW w:w="1635" w:type="pct"/>
                  <w:shd w:val="clear" w:color="auto" w:fill="auto"/>
                  <w:vAlign w:val="center"/>
                </w:tcPr>
                <w:p w14:paraId="25639350">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国投瑞银</w:t>
                  </w:r>
                </w:p>
              </w:tc>
              <w:tc>
                <w:tcPr>
                  <w:tcW w:w="1580" w:type="pct"/>
                  <w:shd w:val="clear" w:color="auto" w:fill="auto"/>
                  <w:vAlign w:val="center"/>
                </w:tcPr>
                <w:p w14:paraId="50F41536">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信达澳亚</w:t>
                  </w:r>
                </w:p>
              </w:tc>
            </w:tr>
            <w:tr w14:paraId="4ADB4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6CB28C0B">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长城基金</w:t>
                  </w:r>
                </w:p>
              </w:tc>
              <w:tc>
                <w:tcPr>
                  <w:tcW w:w="1635" w:type="pct"/>
                  <w:shd w:val="clear" w:color="auto" w:fill="auto"/>
                  <w:vAlign w:val="center"/>
                </w:tcPr>
                <w:p w14:paraId="60CCF551">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西部利得</w:t>
                  </w:r>
                </w:p>
              </w:tc>
              <w:tc>
                <w:tcPr>
                  <w:tcW w:w="1580" w:type="pct"/>
                  <w:shd w:val="clear" w:color="auto" w:fill="auto"/>
                  <w:vAlign w:val="center"/>
                </w:tcPr>
                <w:p w14:paraId="6904B3A4">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汇丰晋信</w:t>
                  </w:r>
                </w:p>
              </w:tc>
            </w:tr>
            <w:tr w14:paraId="38C57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714B36A5">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财通基金</w:t>
                  </w:r>
                </w:p>
              </w:tc>
              <w:tc>
                <w:tcPr>
                  <w:tcW w:w="1635" w:type="pct"/>
                  <w:shd w:val="clear" w:color="auto" w:fill="auto"/>
                  <w:vAlign w:val="center"/>
                </w:tcPr>
                <w:p w14:paraId="264DF8B1">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国联安基金</w:t>
                  </w:r>
                </w:p>
              </w:tc>
              <w:tc>
                <w:tcPr>
                  <w:tcW w:w="1580" w:type="pct"/>
                  <w:shd w:val="clear" w:color="auto" w:fill="auto"/>
                  <w:vAlign w:val="center"/>
                </w:tcPr>
                <w:p w14:paraId="5BE02098">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长信基金</w:t>
                  </w:r>
                </w:p>
              </w:tc>
            </w:tr>
            <w:tr w14:paraId="0AA6C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59E1E6A1">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农银汇理</w:t>
                  </w:r>
                </w:p>
              </w:tc>
              <w:tc>
                <w:tcPr>
                  <w:tcW w:w="1635" w:type="pct"/>
                  <w:shd w:val="clear" w:color="auto" w:fill="auto"/>
                  <w:vAlign w:val="center"/>
                </w:tcPr>
                <w:p w14:paraId="4F8920B6">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诺安基金</w:t>
                  </w:r>
                </w:p>
              </w:tc>
              <w:tc>
                <w:tcPr>
                  <w:tcW w:w="1580" w:type="pct"/>
                  <w:shd w:val="clear" w:color="auto" w:fill="auto"/>
                  <w:vAlign w:val="center"/>
                </w:tcPr>
                <w:p w14:paraId="5FE9FD0F">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申万菱信</w:t>
                  </w:r>
                </w:p>
              </w:tc>
            </w:tr>
            <w:tr w14:paraId="4320E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2E42585B">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中庚基金</w:t>
                  </w:r>
                </w:p>
              </w:tc>
              <w:tc>
                <w:tcPr>
                  <w:tcW w:w="1635" w:type="pct"/>
                  <w:shd w:val="clear" w:color="auto" w:fill="auto"/>
                  <w:vAlign w:val="center"/>
                </w:tcPr>
                <w:p w14:paraId="3B0F7BD3">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华西基金</w:t>
                  </w:r>
                </w:p>
              </w:tc>
              <w:tc>
                <w:tcPr>
                  <w:tcW w:w="1580" w:type="pct"/>
                  <w:shd w:val="clear" w:color="auto" w:fill="auto"/>
                  <w:vAlign w:val="center"/>
                </w:tcPr>
                <w:p w14:paraId="3050247D">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安信基金</w:t>
                  </w:r>
                </w:p>
              </w:tc>
            </w:tr>
            <w:tr w14:paraId="2744B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4B2DC12F">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华富基金</w:t>
                  </w:r>
                </w:p>
              </w:tc>
              <w:tc>
                <w:tcPr>
                  <w:tcW w:w="1635" w:type="pct"/>
                  <w:shd w:val="clear" w:color="auto" w:fill="auto"/>
                  <w:vAlign w:val="center"/>
                </w:tcPr>
                <w:p w14:paraId="64C44997">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太平养老</w:t>
                  </w:r>
                </w:p>
              </w:tc>
              <w:tc>
                <w:tcPr>
                  <w:tcW w:w="1580" w:type="pct"/>
                  <w:shd w:val="clear" w:color="auto" w:fill="auto"/>
                  <w:vAlign w:val="center"/>
                </w:tcPr>
                <w:p w14:paraId="5A2B50CD">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平安资产</w:t>
                  </w:r>
                </w:p>
              </w:tc>
            </w:tr>
            <w:tr w14:paraId="21459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1BAAC18D">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宝盈基金</w:t>
                  </w:r>
                </w:p>
              </w:tc>
              <w:tc>
                <w:tcPr>
                  <w:tcW w:w="1635" w:type="pct"/>
                  <w:shd w:val="clear" w:color="auto" w:fill="auto"/>
                  <w:vAlign w:val="center"/>
                </w:tcPr>
                <w:p w14:paraId="7A65BF63">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华泰保险</w:t>
                  </w:r>
                </w:p>
              </w:tc>
              <w:tc>
                <w:tcPr>
                  <w:tcW w:w="1580" w:type="pct"/>
                  <w:shd w:val="clear" w:color="auto" w:fill="auto"/>
                  <w:vAlign w:val="center"/>
                </w:tcPr>
                <w:p w14:paraId="574B890E">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百年人寿</w:t>
                  </w:r>
                </w:p>
              </w:tc>
            </w:tr>
            <w:tr w14:paraId="2FD06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3B394ECA">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泰康资产</w:t>
                  </w:r>
                </w:p>
              </w:tc>
              <w:tc>
                <w:tcPr>
                  <w:tcW w:w="1635" w:type="pct"/>
                  <w:shd w:val="clear" w:color="auto" w:fill="auto"/>
                  <w:vAlign w:val="center"/>
                </w:tcPr>
                <w:p w14:paraId="474C5596">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中英人寿</w:t>
                  </w:r>
                </w:p>
              </w:tc>
              <w:tc>
                <w:tcPr>
                  <w:tcW w:w="1580" w:type="pct"/>
                  <w:shd w:val="clear" w:color="auto" w:fill="auto"/>
                  <w:vAlign w:val="center"/>
                </w:tcPr>
                <w:p w14:paraId="5A343618">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工银安盛</w:t>
                  </w:r>
                </w:p>
              </w:tc>
            </w:tr>
            <w:tr w14:paraId="2E333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47601D78">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人保资产</w:t>
                  </w:r>
                </w:p>
              </w:tc>
              <w:tc>
                <w:tcPr>
                  <w:tcW w:w="1635" w:type="pct"/>
                  <w:shd w:val="clear" w:color="auto" w:fill="auto"/>
                  <w:vAlign w:val="center"/>
                </w:tcPr>
                <w:p w14:paraId="5D9DA1A4">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国泰海通资管</w:t>
                  </w:r>
                </w:p>
              </w:tc>
              <w:tc>
                <w:tcPr>
                  <w:tcW w:w="1580" w:type="pct"/>
                  <w:shd w:val="clear" w:color="auto" w:fill="auto"/>
                  <w:vAlign w:val="center"/>
                </w:tcPr>
                <w:p w14:paraId="5D83E5DB">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民生通惠</w:t>
                  </w:r>
                </w:p>
              </w:tc>
            </w:tr>
            <w:tr w14:paraId="6000D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4F52CD41">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大家资产</w:t>
                  </w:r>
                </w:p>
              </w:tc>
              <w:tc>
                <w:tcPr>
                  <w:tcW w:w="1635" w:type="pct"/>
                  <w:shd w:val="clear" w:color="auto" w:fill="auto"/>
                  <w:vAlign w:val="center"/>
                </w:tcPr>
                <w:p w14:paraId="6834F9A6">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景林资产</w:t>
                  </w:r>
                </w:p>
              </w:tc>
              <w:tc>
                <w:tcPr>
                  <w:tcW w:w="1580" w:type="pct"/>
                  <w:shd w:val="clear" w:color="auto" w:fill="auto"/>
                  <w:vAlign w:val="center"/>
                </w:tcPr>
                <w:p w14:paraId="25BD1B79">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上海利幄</w:t>
                  </w:r>
                </w:p>
              </w:tc>
            </w:tr>
            <w:tr w14:paraId="53583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08026381">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招银理财</w:t>
                  </w:r>
                </w:p>
              </w:tc>
              <w:tc>
                <w:tcPr>
                  <w:tcW w:w="1635" w:type="pct"/>
                  <w:shd w:val="clear" w:color="auto" w:fill="auto"/>
                  <w:vAlign w:val="center"/>
                </w:tcPr>
                <w:p w14:paraId="57A3CBB4">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汐泰投资</w:t>
                  </w:r>
                </w:p>
              </w:tc>
              <w:tc>
                <w:tcPr>
                  <w:tcW w:w="1580" w:type="pct"/>
                  <w:shd w:val="clear" w:color="auto" w:fill="auto"/>
                  <w:vAlign w:val="center"/>
                </w:tcPr>
                <w:p w14:paraId="7CC73BF0">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和沣资产</w:t>
                  </w:r>
                </w:p>
              </w:tc>
            </w:tr>
            <w:tr w14:paraId="28219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66DF6020">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宁银理财</w:t>
                  </w:r>
                </w:p>
              </w:tc>
              <w:tc>
                <w:tcPr>
                  <w:tcW w:w="1635" w:type="pct"/>
                  <w:shd w:val="clear" w:color="auto" w:fill="auto"/>
                  <w:vAlign w:val="center"/>
                </w:tcPr>
                <w:p w14:paraId="49B97E1B">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玖鹏资产</w:t>
                  </w:r>
                </w:p>
              </w:tc>
              <w:tc>
                <w:tcPr>
                  <w:tcW w:w="1580" w:type="pct"/>
                  <w:shd w:val="clear" w:color="auto" w:fill="auto"/>
                  <w:vAlign w:val="center"/>
                </w:tcPr>
                <w:p w14:paraId="577C12C4">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远信投资</w:t>
                  </w:r>
                </w:p>
              </w:tc>
            </w:tr>
            <w:tr w14:paraId="625D4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14F58578">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中信资管</w:t>
                  </w:r>
                </w:p>
              </w:tc>
              <w:tc>
                <w:tcPr>
                  <w:tcW w:w="1635" w:type="pct"/>
                  <w:shd w:val="clear" w:color="auto" w:fill="auto"/>
                  <w:vAlign w:val="center"/>
                </w:tcPr>
                <w:p w14:paraId="792A834B">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盛宇投资</w:t>
                  </w:r>
                </w:p>
              </w:tc>
              <w:tc>
                <w:tcPr>
                  <w:tcW w:w="1580" w:type="pct"/>
                  <w:shd w:val="clear" w:color="auto" w:fill="auto"/>
                  <w:vAlign w:val="center"/>
                </w:tcPr>
                <w:p w14:paraId="11399DBF">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远海私募</w:t>
                  </w:r>
                </w:p>
              </w:tc>
            </w:tr>
            <w:tr w14:paraId="298A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2C2E522F">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上海保银</w:t>
                  </w:r>
                </w:p>
              </w:tc>
              <w:tc>
                <w:tcPr>
                  <w:tcW w:w="1635" w:type="pct"/>
                  <w:shd w:val="clear" w:color="auto" w:fill="auto"/>
                  <w:vAlign w:val="center"/>
                </w:tcPr>
                <w:p w14:paraId="15E368DA">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财通资管</w:t>
                  </w:r>
                </w:p>
              </w:tc>
              <w:tc>
                <w:tcPr>
                  <w:tcW w:w="1580" w:type="pct"/>
                  <w:shd w:val="clear" w:color="auto" w:fill="auto"/>
                  <w:vAlign w:val="center"/>
                </w:tcPr>
                <w:p w14:paraId="204C0805">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海南周期私募</w:t>
                  </w:r>
                </w:p>
              </w:tc>
            </w:tr>
            <w:tr w14:paraId="29FD3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5C4F436C">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高维基金</w:t>
                  </w:r>
                </w:p>
              </w:tc>
              <w:tc>
                <w:tcPr>
                  <w:tcW w:w="1635" w:type="pct"/>
                  <w:shd w:val="clear" w:color="auto" w:fill="auto"/>
                  <w:vAlign w:val="center"/>
                </w:tcPr>
                <w:p w14:paraId="45C6D5A0">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杭银理财</w:t>
                  </w:r>
                </w:p>
              </w:tc>
              <w:tc>
                <w:tcPr>
                  <w:tcW w:w="1580" w:type="pct"/>
                  <w:shd w:val="clear" w:color="auto" w:fill="auto"/>
                  <w:vAlign w:val="center"/>
                </w:tcPr>
                <w:p w14:paraId="5560EAF1">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东方软银</w:t>
                  </w:r>
                </w:p>
              </w:tc>
            </w:tr>
            <w:tr w14:paraId="2065B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578CBE47">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厚学基金</w:t>
                  </w:r>
                </w:p>
              </w:tc>
              <w:tc>
                <w:tcPr>
                  <w:tcW w:w="1635" w:type="pct"/>
                  <w:shd w:val="clear" w:color="auto" w:fill="auto"/>
                  <w:vAlign w:val="center"/>
                </w:tcPr>
                <w:p w14:paraId="75CE72AB">
                  <w:pPr>
                    <w:keepNext w:val="0"/>
                    <w:keepLines w:val="0"/>
                    <w:widowControl/>
                    <w:suppressLineNumbers w:val="0"/>
                    <w:jc w:val="center"/>
                    <w:textAlignment w:val="center"/>
                    <w:rPr>
                      <w:rFonts w:hint="eastAsia"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弘洛基金</w:t>
                  </w:r>
                </w:p>
              </w:tc>
              <w:tc>
                <w:tcPr>
                  <w:tcW w:w="1580" w:type="pct"/>
                  <w:shd w:val="clear" w:color="auto" w:fill="auto"/>
                  <w:vAlign w:val="center"/>
                </w:tcPr>
                <w:p w14:paraId="5ABB4DC1">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誉辉资本</w:t>
                  </w:r>
                </w:p>
              </w:tc>
            </w:tr>
            <w:tr w14:paraId="1C6AF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05DD81D6">
                  <w:pPr>
                    <w:keepNext w:val="0"/>
                    <w:keepLines w:val="0"/>
                    <w:widowControl/>
                    <w:suppressLineNumbers w:val="0"/>
                    <w:jc w:val="center"/>
                    <w:textAlignment w:val="center"/>
                    <w:rPr>
                      <w:rFonts w:hint="default"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漫奇投资</w:t>
                  </w:r>
                </w:p>
              </w:tc>
              <w:tc>
                <w:tcPr>
                  <w:tcW w:w="1635" w:type="pct"/>
                  <w:shd w:val="clear" w:color="auto" w:fill="auto"/>
                  <w:vAlign w:val="center"/>
                </w:tcPr>
                <w:p w14:paraId="014EF2CB">
                  <w:pPr>
                    <w:keepNext w:val="0"/>
                    <w:keepLines w:val="0"/>
                    <w:widowControl/>
                    <w:suppressLineNumbers w:val="0"/>
                    <w:jc w:val="center"/>
                    <w:textAlignment w:val="center"/>
                    <w:rPr>
                      <w:rFonts w:hint="eastAsia" w:ascii="Times New Roman" w:hAnsi="Times New Roman" w:eastAsia="宋体" w:cs="Times New Roman"/>
                      <w:color w:val="000000"/>
                      <w:kern w:val="0"/>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磐厚资产</w:t>
                  </w:r>
                </w:p>
              </w:tc>
              <w:tc>
                <w:tcPr>
                  <w:tcW w:w="1580" w:type="pct"/>
                  <w:shd w:val="clear" w:color="auto" w:fill="auto"/>
                  <w:vAlign w:val="center"/>
                </w:tcPr>
                <w:p w14:paraId="2FB10884">
                  <w:pPr>
                    <w:keepNext w:val="0"/>
                    <w:keepLines w:val="0"/>
                    <w:widowControl/>
                    <w:suppressLineNumbers w:val="0"/>
                    <w:jc w:val="center"/>
                    <w:textAlignment w:val="center"/>
                    <w:rPr>
                      <w:rFonts w:hint="eastAsia" w:ascii="Times New Roman" w:hAnsi="Times New Roman" w:eastAsia="宋体" w:cs="Times New Roman"/>
                      <w:color w:val="000000"/>
                      <w:kern w:val="2"/>
                      <w:sz w:val="21"/>
                      <w:szCs w:val="21"/>
                      <w:lang w:val="en-US" w:eastAsia="zh-CN" w:bidi="ar-SA"/>
                    </w:rPr>
                  </w:pPr>
                  <w:r>
                    <w:rPr>
                      <w:rFonts w:hint="eastAsia" w:ascii="宋体" w:hAnsi="宋体" w:eastAsia="宋体" w:cs="宋体"/>
                      <w:i w:val="0"/>
                      <w:iCs w:val="0"/>
                      <w:color w:val="000000"/>
                      <w:kern w:val="0"/>
                      <w:sz w:val="22"/>
                      <w:szCs w:val="22"/>
                      <w:u w:val="none"/>
                      <w:lang w:val="en-US" w:eastAsia="zh-CN" w:bidi="ar"/>
                    </w:rPr>
                    <w:t>GIC</w:t>
                  </w:r>
                </w:p>
              </w:tc>
            </w:tr>
            <w:tr w14:paraId="38CB4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7F145F5F">
                  <w:pPr>
                    <w:keepNext w:val="0"/>
                    <w:keepLines w:val="0"/>
                    <w:widowControl/>
                    <w:suppressLineNumbers w:val="0"/>
                    <w:jc w:val="center"/>
                    <w:textAlignment w:val="center"/>
                    <w:rPr>
                      <w:rFonts w:hint="default" w:ascii="Times New Roman" w:hAnsi="Times New Roman" w:eastAsia="宋体" w:cs="Times New Roman"/>
                      <w:color w:val="000000"/>
                      <w:kern w:val="0"/>
                      <w:sz w:val="22"/>
                      <w:szCs w:val="22"/>
                      <w:lang w:val="en-US" w:eastAsia="zh-CN" w:bidi="ar-SA"/>
                    </w:rPr>
                  </w:pPr>
                  <w:bookmarkStart w:id="1" w:name="_GoBack" w:colFirst="0" w:colLast="2"/>
                  <w:r>
                    <w:rPr>
                      <w:rFonts w:hint="default" w:ascii="Times New Roman" w:hAnsi="Times New Roman" w:eastAsia="宋体" w:cs="Times New Roman"/>
                      <w:i w:val="0"/>
                      <w:iCs w:val="0"/>
                      <w:color w:val="000000"/>
                      <w:kern w:val="0"/>
                      <w:sz w:val="22"/>
                      <w:szCs w:val="22"/>
                      <w:u w:val="none"/>
                      <w:lang w:val="en-US" w:eastAsia="zh-CN" w:bidi="ar"/>
                    </w:rPr>
                    <w:t>Stoneylake Asset Mgmt (HK) Ltd</w:t>
                  </w:r>
                </w:p>
              </w:tc>
              <w:tc>
                <w:tcPr>
                  <w:tcW w:w="1635" w:type="pct"/>
                  <w:shd w:val="clear" w:color="auto" w:fill="auto"/>
                  <w:vAlign w:val="center"/>
                </w:tcPr>
                <w:p w14:paraId="6F0F388E">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Franklin Templeton</w:t>
                  </w:r>
                </w:p>
              </w:tc>
              <w:tc>
                <w:tcPr>
                  <w:tcW w:w="1580" w:type="pct"/>
                  <w:shd w:val="clear" w:color="auto" w:fill="auto"/>
                  <w:vAlign w:val="center"/>
                </w:tcPr>
                <w:p w14:paraId="49055DA8">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Allianz GI</w:t>
                  </w:r>
                </w:p>
              </w:tc>
            </w:tr>
            <w:tr w14:paraId="4C3A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6145BC7B">
                  <w:pPr>
                    <w:keepNext w:val="0"/>
                    <w:keepLines w:val="0"/>
                    <w:widowControl/>
                    <w:suppressLineNumbers w:val="0"/>
                    <w:jc w:val="center"/>
                    <w:textAlignment w:val="center"/>
                    <w:rPr>
                      <w:rFonts w:hint="default" w:ascii="Times New Roman" w:hAnsi="Times New Roman" w:eastAsia="宋体" w:cs="Times New Roman"/>
                      <w:color w:val="000000"/>
                      <w:kern w:val="0"/>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JPMorgan</w:t>
                  </w:r>
                </w:p>
              </w:tc>
              <w:tc>
                <w:tcPr>
                  <w:tcW w:w="1635" w:type="pct"/>
                  <w:shd w:val="clear" w:color="auto" w:fill="auto"/>
                  <w:vAlign w:val="center"/>
                </w:tcPr>
                <w:p w14:paraId="44A7B43C">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Millennium</w:t>
                  </w:r>
                </w:p>
              </w:tc>
              <w:tc>
                <w:tcPr>
                  <w:tcW w:w="1580" w:type="pct"/>
                  <w:shd w:val="clear" w:color="auto" w:fill="auto"/>
                  <w:vAlign w:val="center"/>
                </w:tcPr>
                <w:p w14:paraId="4D56978E">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Aegon AM</w:t>
                  </w:r>
                </w:p>
              </w:tc>
            </w:tr>
            <w:tr w14:paraId="40A04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2B8E6CCA">
                  <w:pPr>
                    <w:keepNext w:val="0"/>
                    <w:keepLines w:val="0"/>
                    <w:widowControl/>
                    <w:suppressLineNumbers w:val="0"/>
                    <w:jc w:val="center"/>
                    <w:textAlignment w:val="center"/>
                    <w:rPr>
                      <w:rFonts w:hint="default" w:ascii="Times New Roman" w:hAnsi="Times New Roman" w:eastAsia="宋体" w:cs="Times New Roman"/>
                      <w:color w:val="000000"/>
                      <w:kern w:val="0"/>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UBS AM</w:t>
                  </w:r>
                </w:p>
              </w:tc>
              <w:tc>
                <w:tcPr>
                  <w:tcW w:w="1635" w:type="pct"/>
                  <w:shd w:val="clear" w:color="auto" w:fill="auto"/>
                  <w:vAlign w:val="center"/>
                </w:tcPr>
                <w:p w14:paraId="3EDC8911">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Point72</w:t>
                  </w:r>
                </w:p>
              </w:tc>
              <w:tc>
                <w:tcPr>
                  <w:tcW w:w="1580" w:type="pct"/>
                  <w:shd w:val="clear" w:color="auto" w:fill="auto"/>
                  <w:vAlign w:val="center"/>
                </w:tcPr>
                <w:p w14:paraId="585C4256">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Invesco Global</w:t>
                  </w:r>
                </w:p>
              </w:tc>
            </w:tr>
            <w:tr w14:paraId="170A0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24959F0E">
                  <w:pPr>
                    <w:keepNext w:val="0"/>
                    <w:keepLines w:val="0"/>
                    <w:widowControl/>
                    <w:suppressLineNumbers w:val="0"/>
                    <w:jc w:val="center"/>
                    <w:textAlignment w:val="center"/>
                    <w:rPr>
                      <w:rFonts w:hint="default" w:ascii="Times New Roman" w:hAnsi="Times New Roman" w:eastAsia="宋体" w:cs="Times New Roman"/>
                      <w:color w:val="000000"/>
                      <w:kern w:val="0"/>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Pictet AM</w:t>
                  </w:r>
                </w:p>
              </w:tc>
              <w:tc>
                <w:tcPr>
                  <w:tcW w:w="1635" w:type="pct"/>
                  <w:shd w:val="clear" w:color="auto" w:fill="auto"/>
                  <w:vAlign w:val="center"/>
                </w:tcPr>
                <w:p w14:paraId="15337794">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Swedbank Robur</w:t>
                  </w:r>
                </w:p>
              </w:tc>
              <w:tc>
                <w:tcPr>
                  <w:tcW w:w="1580" w:type="pct"/>
                  <w:shd w:val="clear" w:color="auto" w:fill="auto"/>
                  <w:vAlign w:val="center"/>
                </w:tcPr>
                <w:p w14:paraId="5E3E16A3">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Grand Alliance</w:t>
                  </w:r>
                </w:p>
              </w:tc>
            </w:tr>
            <w:tr w14:paraId="07F9B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13D6B8B2">
                  <w:pPr>
                    <w:keepNext w:val="0"/>
                    <w:keepLines w:val="0"/>
                    <w:widowControl/>
                    <w:suppressLineNumbers w:val="0"/>
                    <w:jc w:val="center"/>
                    <w:textAlignment w:val="center"/>
                    <w:rPr>
                      <w:rFonts w:hint="default" w:ascii="Times New Roman" w:hAnsi="Times New Roman" w:eastAsia="宋体" w:cs="Times New Roman"/>
                      <w:color w:val="000000"/>
                      <w:kern w:val="0"/>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 WorldWide Asset Management</w:t>
                  </w:r>
                </w:p>
              </w:tc>
              <w:tc>
                <w:tcPr>
                  <w:tcW w:w="1635" w:type="pct"/>
                  <w:shd w:val="clear" w:color="auto" w:fill="auto"/>
                  <w:vAlign w:val="center"/>
                </w:tcPr>
                <w:p w14:paraId="15BB941C">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Greenwoods HK</w:t>
                  </w:r>
                </w:p>
              </w:tc>
              <w:tc>
                <w:tcPr>
                  <w:tcW w:w="1580" w:type="pct"/>
                  <w:shd w:val="clear" w:color="auto" w:fill="auto"/>
                  <w:vAlign w:val="center"/>
                </w:tcPr>
                <w:p w14:paraId="5B31B670">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CloudAlpha Capital</w:t>
                  </w:r>
                </w:p>
              </w:tc>
            </w:tr>
            <w:tr w14:paraId="7468F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6F814000">
                  <w:pPr>
                    <w:keepNext w:val="0"/>
                    <w:keepLines w:val="0"/>
                    <w:widowControl/>
                    <w:suppressLineNumbers w:val="0"/>
                    <w:jc w:val="center"/>
                    <w:textAlignment w:val="center"/>
                    <w:rPr>
                      <w:rFonts w:hint="default" w:ascii="Times New Roman" w:hAnsi="Times New Roman" w:eastAsia="宋体" w:cs="Times New Roman"/>
                      <w:color w:val="000000"/>
                      <w:kern w:val="0"/>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Jain Global</w:t>
                  </w:r>
                </w:p>
              </w:tc>
              <w:tc>
                <w:tcPr>
                  <w:tcW w:w="1635" w:type="pct"/>
                  <w:shd w:val="clear" w:color="auto" w:fill="auto"/>
                  <w:vAlign w:val="center"/>
                </w:tcPr>
                <w:p w14:paraId="02D7878F">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Polymer</w:t>
                  </w:r>
                </w:p>
              </w:tc>
              <w:tc>
                <w:tcPr>
                  <w:tcW w:w="1580" w:type="pct"/>
                  <w:shd w:val="clear" w:color="auto" w:fill="auto"/>
                  <w:vAlign w:val="center"/>
                </w:tcPr>
                <w:p w14:paraId="1E768F85">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Longrising (Tibet)</w:t>
                  </w:r>
                </w:p>
              </w:tc>
            </w:tr>
            <w:tr w14:paraId="4F3FA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784" w:type="pct"/>
                  <w:shd w:val="clear" w:color="auto" w:fill="auto"/>
                  <w:noWrap/>
                  <w:vAlign w:val="center"/>
                </w:tcPr>
                <w:p w14:paraId="213104E4">
                  <w:pPr>
                    <w:keepNext w:val="0"/>
                    <w:keepLines w:val="0"/>
                    <w:widowControl/>
                    <w:suppressLineNumbers w:val="0"/>
                    <w:jc w:val="center"/>
                    <w:textAlignment w:val="center"/>
                    <w:rPr>
                      <w:rFonts w:hint="default" w:ascii="Times New Roman" w:hAnsi="Times New Roman" w:eastAsia="宋体" w:cs="Times New Roman"/>
                      <w:color w:val="000000"/>
                      <w:kern w:val="0"/>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Jyske Invest</w:t>
                  </w:r>
                </w:p>
              </w:tc>
              <w:tc>
                <w:tcPr>
                  <w:tcW w:w="1635" w:type="pct"/>
                  <w:shd w:val="clear" w:color="auto" w:fill="auto"/>
                  <w:vAlign w:val="center"/>
                </w:tcPr>
                <w:p w14:paraId="47733F95">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r>
                    <w:rPr>
                      <w:rFonts w:hint="default" w:ascii="Times New Roman" w:hAnsi="Times New Roman" w:eastAsia="宋体" w:cs="Times New Roman"/>
                      <w:i w:val="0"/>
                      <w:iCs w:val="0"/>
                      <w:color w:val="000000"/>
                      <w:kern w:val="0"/>
                      <w:sz w:val="22"/>
                      <w:szCs w:val="22"/>
                      <w:u w:val="none"/>
                      <w:lang w:val="en-US" w:eastAsia="zh-CN" w:bidi="ar"/>
                    </w:rPr>
                    <w:t>Grandeur Peak</w:t>
                  </w:r>
                </w:p>
              </w:tc>
              <w:tc>
                <w:tcPr>
                  <w:tcW w:w="1580" w:type="pct"/>
                  <w:shd w:val="clear" w:color="auto" w:fill="auto"/>
                  <w:vAlign w:val="center"/>
                </w:tcPr>
                <w:p w14:paraId="5410FAAE">
                  <w:pPr>
                    <w:keepNext w:val="0"/>
                    <w:keepLines w:val="0"/>
                    <w:widowControl/>
                    <w:suppressLineNumbers w:val="0"/>
                    <w:jc w:val="center"/>
                    <w:textAlignment w:val="center"/>
                    <w:rPr>
                      <w:rFonts w:hint="default" w:ascii="Times New Roman" w:hAnsi="Times New Roman" w:eastAsia="宋体" w:cs="Times New Roman"/>
                      <w:color w:val="000000"/>
                      <w:kern w:val="2"/>
                      <w:sz w:val="22"/>
                      <w:szCs w:val="22"/>
                      <w:lang w:val="en-US" w:eastAsia="zh-CN" w:bidi="ar-SA"/>
                    </w:rPr>
                  </w:pPr>
                </w:p>
              </w:tc>
            </w:tr>
            <w:bookmarkEnd w:id="1"/>
          </w:tbl>
          <w:p w14:paraId="0767507A">
            <w:pPr>
              <w:rPr>
                <w:rFonts w:ascii="Times New Roman" w:hAnsi="Times New Roman" w:eastAsia="宋体"/>
                <w:bCs/>
                <w:iCs/>
                <w:color w:val="000000"/>
                <w:sz w:val="24"/>
              </w:rPr>
            </w:pPr>
            <w:r>
              <w:rPr>
                <w:rFonts w:hint="eastAsia" w:ascii="Times New Roman" w:hAnsi="Times New Roman" w:eastAsia="宋体" w:cs="Times New Roman"/>
                <w:sz w:val="24"/>
              </w:rPr>
              <w:t>共</w:t>
            </w:r>
            <w:r>
              <w:rPr>
                <w:rFonts w:hint="eastAsia" w:ascii="Times New Roman" w:hAnsi="Times New Roman" w:eastAsia="宋体" w:cs="Times New Roman"/>
                <w:sz w:val="24"/>
                <w:lang w:val="en-US" w:eastAsia="zh-CN"/>
              </w:rPr>
              <w:t>116</w:t>
            </w:r>
            <w:r>
              <w:rPr>
                <w:rFonts w:hint="eastAsia" w:ascii="Times New Roman" w:hAnsi="Times New Roman" w:eastAsia="宋体" w:cs="Times New Roman"/>
                <w:sz w:val="24"/>
              </w:rPr>
              <w:t>家机构及其相关人员参与交流。</w:t>
            </w:r>
          </w:p>
        </w:tc>
      </w:tr>
      <w:tr w14:paraId="2A523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908" w:type="dxa"/>
            <w:tcBorders>
              <w:top w:val="single" w:color="auto" w:sz="4" w:space="0"/>
              <w:left w:val="single" w:color="auto" w:sz="4" w:space="0"/>
              <w:bottom w:val="single" w:color="auto" w:sz="4" w:space="0"/>
              <w:right w:val="single" w:color="auto" w:sz="4" w:space="0"/>
            </w:tcBorders>
            <w:vAlign w:val="center"/>
          </w:tcPr>
          <w:p w14:paraId="6DB5D07C">
            <w:pPr>
              <w:rPr>
                <w:rFonts w:ascii="Times New Roman" w:hAnsi="Times New Roman" w:eastAsia="宋体"/>
                <w:bCs/>
                <w:iCs/>
                <w:color w:val="000000"/>
                <w:sz w:val="24"/>
              </w:rPr>
            </w:pPr>
            <w:r>
              <w:rPr>
                <w:rFonts w:hint="eastAsia" w:ascii="Times New Roman" w:hAnsi="Times New Roman" w:eastAsia="宋体"/>
                <w:bCs/>
                <w:iCs/>
                <w:color w:val="000000"/>
                <w:sz w:val="24"/>
              </w:rPr>
              <w:t>时间</w:t>
            </w:r>
          </w:p>
        </w:tc>
        <w:tc>
          <w:tcPr>
            <w:tcW w:w="6614" w:type="dxa"/>
            <w:tcBorders>
              <w:top w:val="single" w:color="auto" w:sz="4" w:space="0"/>
              <w:left w:val="single" w:color="auto" w:sz="4" w:space="0"/>
              <w:bottom w:val="single" w:color="auto" w:sz="4" w:space="0"/>
              <w:right w:val="single" w:color="auto" w:sz="4" w:space="0"/>
            </w:tcBorders>
            <w:vAlign w:val="center"/>
          </w:tcPr>
          <w:p w14:paraId="73A5365A">
            <w:pPr>
              <w:rPr>
                <w:rFonts w:hint="default" w:ascii="Times New Roman" w:hAnsi="Times New Roman" w:eastAsia="宋体"/>
                <w:bCs/>
                <w:iCs/>
                <w:color w:val="000000"/>
                <w:sz w:val="24"/>
                <w:lang w:val="en-US"/>
              </w:rPr>
            </w:pPr>
            <w:r>
              <w:rPr>
                <w:rFonts w:hint="eastAsia" w:ascii="Times New Roman" w:hAnsi="Times New Roman" w:eastAsia="宋体"/>
                <w:bCs/>
                <w:iCs/>
                <w:color w:val="000000"/>
                <w:sz w:val="24"/>
              </w:rPr>
              <w:t>2026年</w:t>
            </w:r>
            <w:r>
              <w:rPr>
                <w:rFonts w:hint="eastAsia" w:ascii="Times New Roman" w:hAnsi="Times New Roman" w:eastAsia="宋体"/>
                <w:bCs/>
                <w:iCs/>
                <w:color w:val="000000"/>
                <w:sz w:val="24"/>
                <w:lang w:val="en-US" w:eastAsia="zh-CN"/>
              </w:rPr>
              <w:t>9月</w:t>
            </w:r>
          </w:p>
        </w:tc>
      </w:tr>
      <w:tr w14:paraId="5AA9B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908" w:type="dxa"/>
            <w:tcBorders>
              <w:top w:val="single" w:color="auto" w:sz="4" w:space="0"/>
              <w:left w:val="single" w:color="auto" w:sz="4" w:space="0"/>
              <w:bottom w:val="single" w:color="auto" w:sz="4" w:space="0"/>
              <w:right w:val="single" w:color="auto" w:sz="4" w:space="0"/>
            </w:tcBorders>
            <w:vAlign w:val="center"/>
          </w:tcPr>
          <w:p w14:paraId="310B6E67">
            <w:pPr>
              <w:rPr>
                <w:rFonts w:ascii="Times New Roman" w:hAnsi="Times New Roman" w:eastAsia="宋体"/>
                <w:bCs/>
                <w:iCs/>
                <w:color w:val="000000"/>
                <w:sz w:val="24"/>
              </w:rPr>
            </w:pPr>
            <w:r>
              <w:rPr>
                <w:rFonts w:hint="eastAsia" w:ascii="Times New Roman" w:hAnsi="Times New Roman" w:eastAsia="宋体"/>
                <w:bCs/>
                <w:iCs/>
                <w:color w:val="000000"/>
                <w:sz w:val="24"/>
              </w:rPr>
              <w:t>地点</w:t>
            </w:r>
          </w:p>
        </w:tc>
        <w:tc>
          <w:tcPr>
            <w:tcW w:w="6614" w:type="dxa"/>
            <w:tcBorders>
              <w:top w:val="single" w:color="auto" w:sz="4" w:space="0"/>
              <w:left w:val="single" w:color="auto" w:sz="4" w:space="0"/>
              <w:bottom w:val="single" w:color="auto" w:sz="4" w:space="0"/>
              <w:right w:val="single" w:color="auto" w:sz="4" w:space="0"/>
            </w:tcBorders>
            <w:vAlign w:val="center"/>
          </w:tcPr>
          <w:p w14:paraId="627156EF">
            <w:pPr>
              <w:rPr>
                <w:rFonts w:hint="eastAsia" w:ascii="Times New Roman" w:hAnsi="Times New Roman" w:eastAsia="宋体"/>
                <w:bCs/>
                <w:iCs/>
                <w:color w:val="000000"/>
                <w:sz w:val="24"/>
                <w:lang w:val="en-US" w:eastAsia="zh-CN"/>
              </w:rPr>
            </w:pPr>
            <w:r>
              <w:rPr>
                <w:rFonts w:hint="eastAsia" w:ascii="Times New Roman" w:hAnsi="Times New Roman" w:eastAsia="宋体"/>
                <w:bCs/>
                <w:iCs/>
                <w:color w:val="000000"/>
                <w:sz w:val="24"/>
              </w:rPr>
              <w:t>苏州、</w:t>
            </w:r>
            <w:r>
              <w:rPr>
                <w:rFonts w:hint="eastAsia" w:ascii="Times New Roman" w:hAnsi="Times New Roman" w:eastAsia="宋体"/>
                <w:bCs/>
                <w:iCs/>
                <w:color w:val="000000"/>
                <w:sz w:val="24"/>
                <w:lang w:val="en-US" w:eastAsia="zh-CN"/>
              </w:rPr>
              <w:t>上海、深圳</w:t>
            </w:r>
          </w:p>
        </w:tc>
      </w:tr>
      <w:tr w14:paraId="66BF3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tcBorders>
              <w:top w:val="single" w:color="auto" w:sz="4" w:space="0"/>
              <w:left w:val="single" w:color="auto" w:sz="4" w:space="0"/>
              <w:bottom w:val="single" w:color="auto" w:sz="4" w:space="0"/>
              <w:right w:val="single" w:color="auto" w:sz="4" w:space="0"/>
            </w:tcBorders>
            <w:vAlign w:val="center"/>
          </w:tcPr>
          <w:p w14:paraId="62BB7129">
            <w:pPr>
              <w:rPr>
                <w:rFonts w:ascii="Times New Roman" w:hAnsi="Times New Roman" w:eastAsia="宋体"/>
                <w:bCs/>
                <w:iCs/>
                <w:color w:val="000000"/>
                <w:sz w:val="24"/>
              </w:rPr>
            </w:pPr>
            <w:r>
              <w:rPr>
                <w:rFonts w:hint="eastAsia" w:ascii="Times New Roman" w:hAnsi="Times New Roman" w:eastAsia="宋体"/>
                <w:bCs/>
                <w:iCs/>
                <w:color w:val="000000"/>
                <w:sz w:val="24"/>
              </w:rPr>
              <w:t>上市公司接待人员姓名</w:t>
            </w:r>
          </w:p>
        </w:tc>
        <w:tc>
          <w:tcPr>
            <w:tcW w:w="6614" w:type="dxa"/>
            <w:tcBorders>
              <w:top w:val="single" w:color="auto" w:sz="4" w:space="0"/>
              <w:left w:val="single" w:color="auto" w:sz="4" w:space="0"/>
              <w:bottom w:val="single" w:color="auto" w:sz="4" w:space="0"/>
              <w:right w:val="single" w:color="auto" w:sz="4" w:space="0"/>
            </w:tcBorders>
            <w:vAlign w:val="center"/>
          </w:tcPr>
          <w:p w14:paraId="71BAB53F">
            <w:pPr>
              <w:rPr>
                <w:rFonts w:hint="eastAsia" w:ascii="Times New Roman" w:hAnsi="Times New Roman" w:eastAsia="宋体"/>
                <w:bCs/>
                <w:iCs/>
                <w:color w:val="000000"/>
                <w:sz w:val="24"/>
                <w:lang w:val="en-US" w:eastAsia="zh-CN"/>
              </w:rPr>
            </w:pPr>
            <w:r>
              <w:rPr>
                <w:rFonts w:hint="eastAsia" w:ascii="Times New Roman" w:hAnsi="Times New Roman" w:eastAsia="宋体"/>
                <w:bCs/>
                <w:iCs/>
                <w:color w:val="000000"/>
                <w:sz w:val="24"/>
              </w:rPr>
              <w:t>董事会秘书 张子涵</w:t>
            </w:r>
            <w:r>
              <w:rPr>
                <w:rFonts w:hint="eastAsia" w:ascii="Times New Roman" w:hAnsi="Times New Roman" w:eastAsia="宋体"/>
                <w:bCs/>
                <w:iCs/>
                <w:color w:val="000000"/>
                <w:sz w:val="24"/>
                <w:lang w:val="en-US" w:eastAsia="zh-CN"/>
              </w:rPr>
              <w:t>女士</w:t>
            </w:r>
          </w:p>
          <w:p w14:paraId="416003D0">
            <w:pPr>
              <w:rPr>
                <w:rFonts w:hint="eastAsia" w:ascii="Times New Roman" w:hAnsi="Times New Roman" w:eastAsia="宋体"/>
                <w:bCs/>
                <w:iCs/>
                <w:color w:val="000000"/>
                <w:sz w:val="24"/>
                <w:lang w:val="en-US" w:eastAsia="zh-CN"/>
              </w:rPr>
            </w:pPr>
            <w:r>
              <w:rPr>
                <w:rFonts w:hint="eastAsia" w:ascii="Times New Roman" w:hAnsi="Times New Roman" w:eastAsia="宋体"/>
                <w:bCs/>
                <w:iCs/>
                <w:color w:val="000000"/>
                <w:sz w:val="24"/>
              </w:rPr>
              <w:t>投资者关系经理 任缘</w:t>
            </w:r>
            <w:r>
              <w:rPr>
                <w:rFonts w:hint="eastAsia" w:ascii="Times New Roman" w:hAnsi="Times New Roman" w:eastAsia="宋体"/>
                <w:bCs/>
                <w:iCs/>
                <w:color w:val="000000"/>
                <w:sz w:val="24"/>
                <w:lang w:val="en-US" w:eastAsia="zh-CN"/>
              </w:rPr>
              <w:t>女士</w:t>
            </w:r>
          </w:p>
        </w:tc>
      </w:tr>
      <w:tr w14:paraId="0422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jc w:val="center"/>
        </w:trPr>
        <w:tc>
          <w:tcPr>
            <w:tcW w:w="1908" w:type="dxa"/>
            <w:tcBorders>
              <w:top w:val="single" w:color="auto" w:sz="4" w:space="0"/>
              <w:left w:val="single" w:color="auto" w:sz="4" w:space="0"/>
              <w:bottom w:val="single" w:color="auto" w:sz="4" w:space="0"/>
              <w:right w:val="single" w:color="auto" w:sz="4" w:space="0"/>
            </w:tcBorders>
            <w:vAlign w:val="center"/>
          </w:tcPr>
          <w:p w14:paraId="1ED1FE47">
            <w:pPr>
              <w:rPr>
                <w:rFonts w:ascii="Times New Roman" w:hAnsi="Times New Roman" w:eastAsia="宋体"/>
                <w:bCs/>
                <w:iCs/>
                <w:color w:val="000000"/>
                <w:sz w:val="24"/>
              </w:rPr>
            </w:pPr>
            <w:r>
              <w:rPr>
                <w:rFonts w:hint="eastAsia" w:ascii="Times New Roman" w:hAnsi="Times New Roman" w:eastAsia="宋体"/>
                <w:bCs/>
                <w:iCs/>
                <w:color w:val="000000"/>
                <w:sz w:val="24"/>
              </w:rPr>
              <w:t>投资者关系活动主要内容介绍</w:t>
            </w:r>
          </w:p>
        </w:tc>
        <w:tc>
          <w:tcPr>
            <w:tcW w:w="6614" w:type="dxa"/>
            <w:tcBorders>
              <w:top w:val="single" w:color="auto" w:sz="4" w:space="0"/>
              <w:left w:val="single" w:color="auto" w:sz="4" w:space="0"/>
              <w:bottom w:val="single" w:color="auto" w:sz="4" w:space="0"/>
              <w:right w:val="single" w:color="auto" w:sz="4" w:space="0"/>
            </w:tcBorders>
            <w:vAlign w:val="center"/>
          </w:tcPr>
          <w:p w14:paraId="6B98BC84">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eastAsia="宋体" w:cs="宋体"/>
                <w:b/>
                <w:iCs/>
                <w:color w:val="000000"/>
                <w:sz w:val="24"/>
                <w:lang w:val="en-US" w:eastAsia="zh-CN"/>
              </w:rPr>
            </w:pPr>
            <w:r>
              <w:rPr>
                <w:rFonts w:hint="default" w:ascii="Times New Roman" w:hAnsi="Times New Roman" w:eastAsia="宋体" w:cs="宋体"/>
                <w:b/>
                <w:iCs/>
                <w:color w:val="000000"/>
                <w:sz w:val="24"/>
                <w:lang w:val="en-US" w:eastAsia="zh-CN"/>
              </w:rPr>
              <w:t>Q：公司在探针卡市场的竞争地位如何？</w:t>
            </w:r>
          </w:p>
          <w:p w14:paraId="6A7888C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宋体"/>
                <w:b w:val="0"/>
                <w:bCs/>
                <w:iCs/>
                <w:color w:val="000000"/>
                <w:sz w:val="24"/>
                <w:lang w:val="en-US" w:eastAsia="zh-CN"/>
              </w:rPr>
            </w:pPr>
            <w:r>
              <w:rPr>
                <w:rFonts w:hint="default" w:ascii="Times New Roman" w:hAnsi="Times New Roman" w:eastAsia="宋体" w:cs="宋体"/>
                <w:b w:val="0"/>
                <w:bCs/>
                <w:iCs/>
                <w:color w:val="000000"/>
                <w:sz w:val="24"/>
                <w:lang w:val="en-US" w:eastAsia="zh-CN"/>
              </w:rPr>
              <w:t>A：根据QYResearch数据估算，2025年公司占全球半导体探针卡</w:t>
            </w:r>
            <w:r>
              <w:rPr>
                <w:rFonts w:hint="eastAsia" w:ascii="Times New Roman" w:hAnsi="Times New Roman" w:eastAsia="宋体" w:cs="宋体"/>
                <w:b w:val="0"/>
                <w:bCs/>
                <w:iCs/>
                <w:color w:val="000000"/>
                <w:sz w:val="24"/>
                <w:lang w:val="en-US" w:eastAsia="zh-CN"/>
              </w:rPr>
              <w:t>收入</w:t>
            </w:r>
            <w:r>
              <w:rPr>
                <w:rFonts w:hint="default" w:ascii="Times New Roman" w:hAnsi="Times New Roman" w:eastAsia="宋体" w:cs="宋体"/>
                <w:b w:val="0"/>
                <w:bCs/>
                <w:iCs/>
                <w:color w:val="000000"/>
                <w:sz w:val="24"/>
                <w:lang w:val="en-US" w:eastAsia="zh-CN"/>
              </w:rPr>
              <w:t>市场份额</w:t>
            </w:r>
            <w:r>
              <w:rPr>
                <w:rFonts w:hint="eastAsia" w:ascii="Times New Roman" w:hAnsi="Times New Roman" w:eastAsia="宋体" w:cs="宋体"/>
                <w:b w:val="0"/>
                <w:bCs/>
                <w:iCs/>
                <w:color w:val="000000"/>
                <w:sz w:val="24"/>
                <w:lang w:val="en-US" w:eastAsia="zh-CN"/>
              </w:rPr>
              <w:t>达</w:t>
            </w:r>
            <w:r>
              <w:rPr>
                <w:rFonts w:hint="default" w:ascii="Times New Roman" w:hAnsi="Times New Roman" w:eastAsia="宋体" w:cs="宋体"/>
                <w:b w:val="0"/>
                <w:bCs/>
                <w:iCs/>
                <w:color w:val="000000"/>
                <w:sz w:val="24"/>
                <w:lang w:val="en-US" w:eastAsia="zh-CN"/>
              </w:rPr>
              <w:t>3.87%，在全球半导体探针卡厂商中排名第6位，在全球MEMS探针卡厂商中排名第5位，是近年来唯一跻身全球半导体探针卡行业前十大厂商的中国大陆企业。2025年</w:t>
            </w:r>
            <w:r>
              <w:rPr>
                <w:rFonts w:hint="eastAsia" w:ascii="Times New Roman" w:hAnsi="Times New Roman" w:eastAsia="宋体" w:cs="宋体"/>
                <w:b w:val="0"/>
                <w:bCs/>
                <w:iCs/>
                <w:color w:val="000000"/>
                <w:sz w:val="24"/>
                <w:lang w:val="en-US" w:eastAsia="zh-CN"/>
              </w:rPr>
              <w:t>国产</w:t>
            </w:r>
            <w:r>
              <w:rPr>
                <w:rFonts w:hint="default" w:ascii="Times New Roman" w:hAnsi="Times New Roman" w:eastAsia="宋体" w:cs="宋体"/>
                <w:b w:val="0"/>
                <w:bCs/>
                <w:iCs/>
                <w:color w:val="000000"/>
                <w:sz w:val="24"/>
                <w:lang w:val="en-US" w:eastAsia="zh-CN"/>
              </w:rPr>
              <w:t>探针卡厂商合计占全球市场份额约6.12%，公司是国内探针卡国产化主力厂商。</w:t>
            </w:r>
          </w:p>
          <w:p w14:paraId="36CF043B">
            <w:pPr>
              <w:keepNext w:val="0"/>
              <w:keepLines w:val="0"/>
              <w:pageBreakBefore w:val="0"/>
              <w:kinsoku/>
              <w:wordWrap/>
              <w:overflowPunct/>
              <w:topLinePunct w:val="0"/>
              <w:autoSpaceDE/>
              <w:autoSpaceDN/>
              <w:bidi w:val="0"/>
              <w:adjustRightInd/>
              <w:snapToGrid/>
              <w:ind w:firstLine="0" w:firstLineChars="0"/>
              <w:textAlignment w:val="auto"/>
              <w:rPr>
                <w:rFonts w:hint="default" w:ascii="楷体" w:hAnsi="楷体" w:eastAsia="楷体" w:cs="楷体"/>
                <w:color w:val="auto"/>
                <w:sz w:val="21"/>
                <w:szCs w:val="21"/>
                <w:lang w:val="en-US" w:eastAsia="zh-CN"/>
              </w:rPr>
            </w:pPr>
          </w:p>
          <w:p w14:paraId="749A9CC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eastAsia="宋体" w:cs="宋体"/>
                <w:b/>
                <w:iCs/>
                <w:color w:val="000000"/>
                <w:sz w:val="24"/>
                <w:lang w:val="en-US" w:eastAsia="zh-CN"/>
              </w:rPr>
            </w:pPr>
            <w:r>
              <w:rPr>
                <w:rFonts w:hint="default" w:ascii="Times New Roman" w:hAnsi="Times New Roman" w:eastAsia="宋体" w:cs="宋体"/>
                <w:b/>
                <w:iCs/>
                <w:color w:val="000000"/>
                <w:sz w:val="24"/>
                <w:lang w:val="en-US" w:eastAsia="zh-CN"/>
              </w:rPr>
              <w:t>Q：公司在国内的竞争优势体现在哪里？</w:t>
            </w:r>
          </w:p>
          <w:p w14:paraId="174EB04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宋体"/>
                <w:b w:val="0"/>
                <w:bCs/>
                <w:iCs/>
                <w:color w:val="000000"/>
                <w:sz w:val="24"/>
                <w:lang w:val="en-US" w:eastAsia="zh-CN"/>
              </w:rPr>
            </w:pPr>
            <w:r>
              <w:rPr>
                <w:rFonts w:hint="default" w:ascii="Times New Roman" w:hAnsi="Times New Roman" w:eastAsia="宋体" w:cs="宋体"/>
                <w:b w:val="0"/>
                <w:bCs/>
                <w:iCs/>
                <w:color w:val="000000"/>
                <w:sz w:val="24"/>
                <w:lang w:val="en-US" w:eastAsia="zh-CN"/>
              </w:rPr>
              <w:t>A：公司具备MEMS探针自主制造能力</w:t>
            </w:r>
            <w:r>
              <w:rPr>
                <w:rFonts w:hint="eastAsia" w:ascii="Times New Roman" w:hAnsi="Times New Roman" w:eastAsia="宋体" w:cs="宋体"/>
                <w:b w:val="0"/>
                <w:bCs/>
                <w:iCs/>
                <w:color w:val="000000"/>
                <w:sz w:val="24"/>
                <w:lang w:val="en-US" w:eastAsia="zh-CN"/>
              </w:rPr>
              <w:t>，</w:t>
            </w:r>
            <w:r>
              <w:rPr>
                <w:rFonts w:hint="default" w:ascii="Times New Roman" w:hAnsi="Times New Roman" w:eastAsia="宋体" w:cs="宋体"/>
                <w:b w:val="0"/>
                <w:bCs/>
                <w:iCs/>
                <w:color w:val="000000"/>
                <w:sz w:val="24"/>
                <w:lang w:val="en-US" w:eastAsia="zh-CN"/>
              </w:rPr>
              <w:t>核心部件自主可控程度较高。公司在成本可控性、国产化认可度、交付响应和客户协同方面具备优势，客户粘性较强。</w:t>
            </w:r>
          </w:p>
          <w:p w14:paraId="037DC47A">
            <w:pPr>
              <w:keepNext w:val="0"/>
              <w:keepLines w:val="0"/>
              <w:pageBreakBefore w:val="0"/>
              <w:kinsoku/>
              <w:wordWrap/>
              <w:overflowPunct/>
              <w:topLinePunct w:val="0"/>
              <w:autoSpaceDE/>
              <w:autoSpaceDN/>
              <w:bidi w:val="0"/>
              <w:adjustRightInd/>
              <w:snapToGrid/>
              <w:ind w:firstLine="0" w:firstLineChars="0"/>
              <w:textAlignment w:val="auto"/>
              <w:rPr>
                <w:rFonts w:hint="default" w:ascii="楷体" w:hAnsi="楷体" w:eastAsia="楷体" w:cs="楷体"/>
                <w:color w:val="auto"/>
                <w:sz w:val="21"/>
                <w:szCs w:val="21"/>
                <w:lang w:val="en-US" w:eastAsia="zh-CN"/>
              </w:rPr>
            </w:pPr>
          </w:p>
          <w:p w14:paraId="5AD9AD2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eastAsia="宋体" w:cs="宋体"/>
                <w:b/>
                <w:iCs/>
                <w:color w:val="000000"/>
                <w:sz w:val="24"/>
                <w:lang w:val="en-US" w:eastAsia="zh-CN"/>
              </w:rPr>
            </w:pPr>
            <w:r>
              <w:rPr>
                <w:rFonts w:hint="default" w:ascii="Times New Roman" w:hAnsi="Times New Roman" w:eastAsia="宋体" w:cs="宋体"/>
                <w:b/>
                <w:iCs/>
                <w:color w:val="000000"/>
                <w:sz w:val="24"/>
                <w:lang w:val="en-US" w:eastAsia="zh-CN"/>
              </w:rPr>
              <w:t>Q：公司订单结构和未来增长点如何？</w:t>
            </w:r>
          </w:p>
          <w:p w14:paraId="68CFCF0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宋体"/>
                <w:b w:val="0"/>
                <w:bCs/>
                <w:iCs/>
                <w:color w:val="000000"/>
                <w:sz w:val="24"/>
                <w:lang w:val="en-US" w:eastAsia="zh-CN"/>
              </w:rPr>
            </w:pPr>
            <w:r>
              <w:rPr>
                <w:rFonts w:hint="default" w:ascii="Times New Roman" w:hAnsi="Times New Roman" w:eastAsia="宋体" w:cs="宋体"/>
                <w:b w:val="0"/>
                <w:bCs/>
                <w:iCs/>
                <w:color w:val="000000"/>
                <w:sz w:val="24"/>
                <w:lang w:val="en-US" w:eastAsia="zh-CN"/>
              </w:rPr>
              <w:t>A：探针卡具有较强定制属性，重复订单占比较高，规模效应有望带动毛利率改善。手机相关测试需求是</w:t>
            </w:r>
            <w:r>
              <w:rPr>
                <w:rFonts w:hint="eastAsia" w:ascii="Times New Roman" w:hAnsi="Times New Roman" w:eastAsia="宋体" w:cs="宋体"/>
                <w:b w:val="0"/>
                <w:bCs/>
                <w:iCs/>
                <w:color w:val="000000"/>
                <w:sz w:val="24"/>
                <w:lang w:val="en-US" w:eastAsia="zh-CN"/>
              </w:rPr>
              <w:t>公司</w:t>
            </w:r>
            <w:r>
              <w:rPr>
                <w:rFonts w:hint="default" w:ascii="Times New Roman" w:hAnsi="Times New Roman" w:eastAsia="宋体" w:cs="宋体"/>
                <w:b w:val="0"/>
                <w:bCs/>
                <w:iCs/>
                <w:color w:val="000000"/>
                <w:sz w:val="24"/>
                <w:lang w:val="en-US" w:eastAsia="zh-CN"/>
              </w:rPr>
              <w:t>收入</w:t>
            </w:r>
            <w:r>
              <w:rPr>
                <w:rFonts w:hint="eastAsia" w:ascii="Times New Roman" w:hAnsi="Times New Roman" w:eastAsia="宋体" w:cs="宋体"/>
                <w:b w:val="0"/>
                <w:bCs/>
                <w:iCs/>
                <w:color w:val="000000"/>
                <w:sz w:val="24"/>
                <w:lang w:val="en-US" w:eastAsia="zh-CN"/>
              </w:rPr>
              <w:t>的</w:t>
            </w:r>
            <w:r>
              <w:rPr>
                <w:rFonts w:hint="default" w:ascii="Times New Roman" w:hAnsi="Times New Roman" w:eastAsia="宋体" w:cs="宋体"/>
                <w:b w:val="0"/>
                <w:bCs/>
                <w:iCs/>
                <w:color w:val="000000"/>
                <w:sz w:val="24"/>
                <w:lang w:val="en-US" w:eastAsia="zh-CN"/>
              </w:rPr>
              <w:t>基本盘，算力芯片、存储芯片等测试需求是主要增长方向。晶圆厂扩产、供应链安全背景下高端测试订单回流，以及先进制程芯片测试前置，有望带动探针卡需求提升。</w:t>
            </w:r>
          </w:p>
          <w:p w14:paraId="54AF0186">
            <w:pPr>
              <w:keepNext w:val="0"/>
              <w:keepLines w:val="0"/>
              <w:pageBreakBefore w:val="0"/>
              <w:kinsoku/>
              <w:wordWrap/>
              <w:overflowPunct/>
              <w:topLinePunct w:val="0"/>
              <w:autoSpaceDE/>
              <w:autoSpaceDN/>
              <w:bidi w:val="0"/>
              <w:adjustRightInd/>
              <w:snapToGrid/>
              <w:ind w:firstLine="0" w:firstLineChars="0"/>
              <w:textAlignment w:val="auto"/>
              <w:rPr>
                <w:rFonts w:hint="default" w:ascii="楷体" w:hAnsi="楷体" w:eastAsia="楷体" w:cs="楷体"/>
                <w:color w:val="auto"/>
                <w:sz w:val="21"/>
                <w:szCs w:val="21"/>
                <w:lang w:val="en-US" w:eastAsia="zh-CN"/>
              </w:rPr>
            </w:pPr>
          </w:p>
          <w:p w14:paraId="058364D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eastAsia="宋体" w:cs="宋体"/>
                <w:b/>
                <w:iCs/>
                <w:color w:val="000000"/>
                <w:sz w:val="24"/>
                <w:lang w:val="en-US" w:eastAsia="zh-CN"/>
              </w:rPr>
            </w:pPr>
            <w:r>
              <w:rPr>
                <w:rFonts w:hint="default" w:ascii="Times New Roman" w:hAnsi="Times New Roman" w:eastAsia="宋体" w:cs="宋体"/>
                <w:b/>
                <w:iCs/>
                <w:color w:val="000000"/>
                <w:sz w:val="24"/>
                <w:lang w:val="en-US" w:eastAsia="zh-CN"/>
              </w:rPr>
              <w:t>Q：公司的客户结构和合作模式？</w:t>
            </w:r>
          </w:p>
          <w:p w14:paraId="27F5D1E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宋体"/>
                <w:b w:val="0"/>
                <w:bCs/>
                <w:iCs/>
                <w:color w:val="000000"/>
                <w:sz w:val="24"/>
                <w:lang w:val="en-US" w:eastAsia="zh-CN"/>
              </w:rPr>
            </w:pPr>
            <w:r>
              <w:rPr>
                <w:rFonts w:hint="default" w:ascii="Times New Roman" w:hAnsi="Times New Roman" w:eastAsia="宋体" w:cs="宋体"/>
                <w:b w:val="0"/>
                <w:bCs/>
                <w:iCs/>
                <w:color w:val="000000"/>
                <w:sz w:val="24"/>
                <w:lang w:val="en-US" w:eastAsia="zh-CN"/>
              </w:rPr>
              <w:t>A：公司</w:t>
            </w:r>
            <w:r>
              <w:rPr>
                <w:rFonts w:hint="eastAsia" w:ascii="Times New Roman" w:hAnsi="Times New Roman" w:eastAsia="宋体" w:cs="宋体"/>
                <w:b w:val="0"/>
                <w:bCs/>
                <w:iCs/>
                <w:color w:val="000000"/>
                <w:sz w:val="24"/>
                <w:lang w:val="en-US" w:eastAsia="zh-CN"/>
              </w:rPr>
              <w:t>客户覆盖境内外芯片设计、晶圆代工、封装测试等产业链核心企业，累计服务客户超400家</w:t>
            </w:r>
            <w:r>
              <w:rPr>
                <w:rFonts w:hint="default" w:ascii="Times New Roman" w:hAnsi="Times New Roman" w:eastAsia="宋体" w:cs="宋体"/>
                <w:b w:val="0"/>
                <w:bCs/>
                <w:iCs/>
                <w:color w:val="000000"/>
                <w:sz w:val="24"/>
                <w:lang w:val="en-US" w:eastAsia="zh-CN"/>
              </w:rPr>
              <w:t>。芯片设计公司是</w:t>
            </w:r>
            <w:r>
              <w:rPr>
                <w:rFonts w:hint="eastAsia" w:ascii="Times New Roman" w:hAnsi="Times New Roman" w:eastAsia="宋体" w:cs="宋体"/>
                <w:b w:val="0"/>
                <w:bCs/>
                <w:iCs/>
                <w:color w:val="000000"/>
                <w:sz w:val="24"/>
                <w:lang w:val="en-US" w:eastAsia="zh-CN"/>
              </w:rPr>
              <w:t>公司的</w:t>
            </w:r>
            <w:r>
              <w:rPr>
                <w:rFonts w:hint="default" w:ascii="Times New Roman" w:hAnsi="Times New Roman" w:eastAsia="宋体" w:cs="宋体"/>
                <w:b w:val="0"/>
                <w:bCs/>
                <w:iCs/>
                <w:color w:val="000000"/>
                <w:sz w:val="24"/>
                <w:lang w:val="en-US" w:eastAsia="zh-CN"/>
              </w:rPr>
              <w:t>主要合作对接方，公司在芯片设计验证阶段即介入，与客户开展联合研发、同步开发和快速迭代。</w:t>
            </w:r>
          </w:p>
          <w:p w14:paraId="46594E82">
            <w:pPr>
              <w:keepNext w:val="0"/>
              <w:keepLines w:val="0"/>
              <w:pageBreakBefore w:val="0"/>
              <w:kinsoku/>
              <w:wordWrap/>
              <w:overflowPunct/>
              <w:topLinePunct w:val="0"/>
              <w:autoSpaceDE/>
              <w:autoSpaceDN/>
              <w:bidi w:val="0"/>
              <w:adjustRightInd/>
              <w:snapToGrid/>
              <w:ind w:firstLine="0" w:firstLineChars="0"/>
              <w:textAlignment w:val="auto"/>
              <w:rPr>
                <w:rFonts w:hint="default" w:ascii="楷体" w:hAnsi="楷体" w:eastAsia="楷体" w:cs="楷体"/>
                <w:color w:val="auto"/>
                <w:sz w:val="21"/>
                <w:szCs w:val="21"/>
                <w:lang w:val="en-US" w:eastAsia="zh-CN"/>
              </w:rPr>
            </w:pPr>
          </w:p>
          <w:p w14:paraId="4A98440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eastAsia="宋体" w:cs="宋体"/>
                <w:b/>
                <w:iCs/>
                <w:color w:val="000000"/>
                <w:sz w:val="24"/>
                <w:lang w:val="en-US" w:eastAsia="zh-CN"/>
              </w:rPr>
            </w:pPr>
            <w:r>
              <w:rPr>
                <w:rFonts w:hint="default" w:ascii="Times New Roman" w:hAnsi="Times New Roman" w:eastAsia="宋体" w:cs="宋体"/>
                <w:b/>
                <w:iCs/>
                <w:color w:val="000000"/>
                <w:sz w:val="24"/>
                <w:lang w:val="en-US" w:eastAsia="zh-CN"/>
              </w:rPr>
              <w:t>Q：公司生产设备采购</w:t>
            </w:r>
            <w:r>
              <w:rPr>
                <w:rFonts w:hint="eastAsia" w:ascii="Times New Roman" w:hAnsi="Times New Roman" w:eastAsia="宋体" w:cs="宋体"/>
                <w:b/>
                <w:iCs/>
                <w:color w:val="000000"/>
                <w:sz w:val="24"/>
                <w:lang w:val="en-US" w:eastAsia="zh-CN"/>
              </w:rPr>
              <w:t>情况</w:t>
            </w:r>
            <w:r>
              <w:rPr>
                <w:rFonts w:hint="default" w:ascii="Times New Roman" w:hAnsi="Times New Roman" w:eastAsia="宋体" w:cs="宋体"/>
                <w:b/>
                <w:iCs/>
                <w:color w:val="000000"/>
                <w:sz w:val="24"/>
                <w:lang w:val="en-US" w:eastAsia="zh-CN"/>
              </w:rPr>
              <w:t>？</w:t>
            </w:r>
          </w:p>
          <w:p w14:paraId="3833593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宋体" w:cs="宋体"/>
                <w:b w:val="0"/>
                <w:bCs/>
                <w:iCs/>
                <w:color w:val="000000"/>
                <w:sz w:val="24"/>
                <w:lang w:val="en-US" w:eastAsia="zh-CN"/>
              </w:rPr>
            </w:pPr>
            <w:r>
              <w:rPr>
                <w:rFonts w:hint="default" w:ascii="Times New Roman" w:hAnsi="Times New Roman" w:eastAsia="宋体" w:cs="宋体"/>
                <w:b w:val="0"/>
                <w:bCs/>
                <w:iCs/>
                <w:color w:val="000000"/>
                <w:sz w:val="24"/>
                <w:lang w:val="en-US" w:eastAsia="zh-CN"/>
              </w:rPr>
              <w:t>A：</w:t>
            </w:r>
            <w:r>
              <w:rPr>
                <w:rFonts w:hint="eastAsia" w:ascii="Times New Roman" w:hAnsi="Times New Roman" w:eastAsia="宋体" w:cs="宋体"/>
                <w:b w:val="0"/>
                <w:bCs/>
                <w:iCs/>
                <w:color w:val="000000"/>
                <w:sz w:val="24"/>
                <w:lang w:val="en-US" w:eastAsia="zh-CN"/>
              </w:rPr>
              <w:t>公司</w:t>
            </w:r>
            <w:r>
              <w:rPr>
                <w:rFonts w:hint="default" w:ascii="Times New Roman" w:hAnsi="Times New Roman" w:eastAsia="宋体" w:cs="宋体"/>
                <w:b w:val="0"/>
                <w:bCs/>
                <w:iCs/>
                <w:color w:val="000000"/>
                <w:sz w:val="24"/>
                <w:lang w:val="en-US" w:eastAsia="zh-CN"/>
              </w:rPr>
              <w:t>生产MEMS探针所需设备主要为微米级半导体工艺设备，包括刻蚀、沉积、电镀、研磨、激光等设备。目前国内外采购渠道均可覆盖，采购流程整体顺畅。</w:t>
            </w:r>
          </w:p>
          <w:p w14:paraId="0A9D1D95">
            <w:pPr>
              <w:keepNext w:val="0"/>
              <w:keepLines w:val="0"/>
              <w:pageBreakBefore w:val="0"/>
              <w:kinsoku/>
              <w:wordWrap/>
              <w:overflowPunct/>
              <w:topLinePunct w:val="0"/>
              <w:autoSpaceDE/>
              <w:autoSpaceDN/>
              <w:bidi w:val="0"/>
              <w:adjustRightInd/>
              <w:snapToGrid/>
              <w:ind w:firstLine="0" w:firstLineChars="0"/>
              <w:textAlignment w:val="auto"/>
              <w:rPr>
                <w:rFonts w:hint="default" w:ascii="楷体" w:hAnsi="楷体" w:eastAsia="楷体" w:cs="楷体"/>
                <w:color w:val="auto"/>
                <w:sz w:val="21"/>
                <w:szCs w:val="21"/>
                <w:lang w:val="en-US" w:eastAsia="zh-CN"/>
              </w:rPr>
            </w:pPr>
          </w:p>
          <w:p w14:paraId="7BA8C73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eastAsia="宋体" w:cs="宋体"/>
                <w:b/>
                <w:iCs/>
                <w:color w:val="000000"/>
                <w:sz w:val="24"/>
                <w:lang w:val="en-US" w:eastAsia="zh-CN"/>
              </w:rPr>
            </w:pPr>
            <w:r>
              <w:rPr>
                <w:rFonts w:hint="default" w:ascii="Times New Roman" w:hAnsi="Times New Roman" w:eastAsia="宋体" w:cs="宋体"/>
                <w:b/>
                <w:iCs/>
                <w:color w:val="000000"/>
                <w:sz w:val="24"/>
                <w:lang w:val="en-US" w:eastAsia="zh-CN"/>
              </w:rPr>
              <w:t>Q：探针卡行业的</w:t>
            </w:r>
            <w:r>
              <w:rPr>
                <w:rFonts w:hint="eastAsia" w:ascii="Times New Roman" w:hAnsi="Times New Roman" w:eastAsia="宋体" w:cs="宋体"/>
                <w:b/>
                <w:iCs/>
                <w:color w:val="000000"/>
                <w:sz w:val="24"/>
                <w:lang w:val="en-US" w:eastAsia="zh-CN"/>
              </w:rPr>
              <w:t>门槛高吗</w:t>
            </w:r>
            <w:r>
              <w:rPr>
                <w:rFonts w:hint="default" w:ascii="Times New Roman" w:hAnsi="Times New Roman" w:eastAsia="宋体" w:cs="宋体"/>
                <w:b/>
                <w:iCs/>
                <w:color w:val="000000"/>
                <w:sz w:val="24"/>
                <w:lang w:val="en-US" w:eastAsia="zh-CN"/>
              </w:rPr>
              <w:t>？</w:t>
            </w:r>
          </w:p>
          <w:p w14:paraId="460E6D9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宋体" w:cs="宋体"/>
                <w:bCs/>
                <w:iCs/>
                <w:color w:val="000000"/>
                <w:sz w:val="24"/>
              </w:rPr>
            </w:pPr>
            <w:r>
              <w:rPr>
                <w:rFonts w:hint="default" w:ascii="Times New Roman" w:hAnsi="Times New Roman" w:eastAsia="宋体" w:cs="宋体"/>
                <w:b w:val="0"/>
                <w:bCs/>
                <w:iCs/>
                <w:color w:val="000000"/>
                <w:sz w:val="24"/>
                <w:lang w:val="en-US" w:eastAsia="zh-CN"/>
              </w:rPr>
              <w:t>A：行业壁垒主要体现在三方面：一是资本投入较高，MEMS工艺需要光刻、刻蚀、电镀、研磨、激光等先进设备，前期投入大；二是技术壁垒较高，探针卡研发涉及材料、热、力、</w:t>
            </w:r>
            <w:r>
              <w:rPr>
                <w:rFonts w:hint="eastAsia" w:ascii="Times New Roman" w:hAnsi="Times New Roman" w:eastAsia="宋体" w:cs="宋体"/>
                <w:b w:val="0"/>
                <w:bCs/>
                <w:iCs/>
                <w:color w:val="000000"/>
                <w:sz w:val="24"/>
                <w:lang w:val="en-US" w:eastAsia="zh-CN"/>
              </w:rPr>
              <w:t>光、</w:t>
            </w:r>
            <w:r>
              <w:rPr>
                <w:rFonts w:hint="default" w:ascii="Times New Roman" w:hAnsi="Times New Roman" w:eastAsia="宋体" w:cs="宋体"/>
                <w:b w:val="0"/>
                <w:bCs/>
                <w:iCs/>
                <w:color w:val="000000"/>
                <w:sz w:val="24"/>
                <w:lang w:val="en-US" w:eastAsia="zh-CN"/>
              </w:rPr>
              <w:t>电、机械等多学科交叉，MEMS探针制造存在较多工艺诀窍，对复合型人才要求较高；三是客户壁垒较高，产品迭代需要龙头客户牵引和验证，探针卡厂商需与芯片设计公司紧密配合，验证周期较长，客户粘性较强。</w:t>
            </w:r>
          </w:p>
        </w:tc>
      </w:tr>
      <w:tr w14:paraId="5F0A0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08" w:type="dxa"/>
            <w:tcBorders>
              <w:top w:val="single" w:color="auto" w:sz="4" w:space="0"/>
              <w:left w:val="single" w:color="auto" w:sz="4" w:space="0"/>
              <w:bottom w:val="single" w:color="auto" w:sz="4" w:space="0"/>
              <w:right w:val="single" w:color="auto" w:sz="4" w:space="0"/>
            </w:tcBorders>
            <w:vAlign w:val="center"/>
          </w:tcPr>
          <w:p w14:paraId="6D952B6C">
            <w:pPr>
              <w:rPr>
                <w:rFonts w:ascii="Times New Roman" w:hAnsi="Times New Roman" w:eastAsia="宋体"/>
                <w:bCs/>
                <w:iCs/>
                <w:color w:val="000000"/>
                <w:sz w:val="24"/>
              </w:rPr>
            </w:pPr>
            <w:r>
              <w:rPr>
                <w:rFonts w:hint="eastAsia" w:ascii="Times New Roman" w:hAnsi="Times New Roman" w:eastAsia="宋体"/>
                <w:bCs/>
                <w:iCs/>
                <w:color w:val="000000"/>
                <w:sz w:val="24"/>
              </w:rPr>
              <w:t>关于本次活动是否涉及应当披露重大信息的说明</w:t>
            </w:r>
          </w:p>
        </w:tc>
        <w:tc>
          <w:tcPr>
            <w:tcW w:w="6614" w:type="dxa"/>
            <w:tcBorders>
              <w:top w:val="single" w:color="auto" w:sz="4" w:space="0"/>
              <w:left w:val="single" w:color="auto" w:sz="4" w:space="0"/>
              <w:bottom w:val="single" w:color="auto" w:sz="4" w:space="0"/>
              <w:right w:val="single" w:color="auto" w:sz="4" w:space="0"/>
            </w:tcBorders>
            <w:vAlign w:val="center"/>
          </w:tcPr>
          <w:p w14:paraId="496FD59C">
            <w:pPr>
              <w:rPr>
                <w:rFonts w:ascii="Times New Roman" w:hAnsi="Times New Roman" w:eastAsia="宋体"/>
                <w:bCs/>
                <w:iCs/>
                <w:color w:val="000000"/>
                <w:sz w:val="24"/>
              </w:rPr>
            </w:pPr>
            <w:r>
              <w:rPr>
                <w:rFonts w:hint="eastAsia" w:ascii="Times New Roman" w:hAnsi="Times New Roman" w:eastAsia="宋体"/>
                <w:bCs/>
                <w:iCs/>
                <w:color w:val="000000"/>
                <w:sz w:val="24"/>
              </w:rPr>
              <w:t>无</w:t>
            </w:r>
          </w:p>
        </w:tc>
      </w:tr>
      <w:tr w14:paraId="6F6D0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908" w:type="dxa"/>
            <w:tcBorders>
              <w:top w:val="single" w:color="auto" w:sz="4" w:space="0"/>
              <w:left w:val="single" w:color="auto" w:sz="4" w:space="0"/>
              <w:bottom w:val="single" w:color="auto" w:sz="4" w:space="0"/>
              <w:right w:val="single" w:color="auto" w:sz="4" w:space="0"/>
            </w:tcBorders>
            <w:vAlign w:val="center"/>
          </w:tcPr>
          <w:p w14:paraId="7FDBE1D1">
            <w:pPr>
              <w:rPr>
                <w:rFonts w:ascii="Times New Roman" w:hAnsi="Times New Roman" w:eastAsia="宋体"/>
                <w:bCs/>
                <w:iCs/>
                <w:color w:val="000000"/>
                <w:sz w:val="24"/>
              </w:rPr>
            </w:pPr>
            <w:r>
              <w:rPr>
                <w:rFonts w:hint="eastAsia" w:ascii="Times New Roman" w:hAnsi="Times New Roman" w:eastAsia="宋体"/>
                <w:bCs/>
                <w:iCs/>
                <w:color w:val="000000"/>
                <w:sz w:val="24"/>
              </w:rPr>
              <w:t>附件清单</w:t>
            </w:r>
          </w:p>
        </w:tc>
        <w:tc>
          <w:tcPr>
            <w:tcW w:w="6614" w:type="dxa"/>
            <w:tcBorders>
              <w:top w:val="single" w:color="auto" w:sz="4" w:space="0"/>
              <w:left w:val="single" w:color="auto" w:sz="4" w:space="0"/>
              <w:bottom w:val="single" w:color="auto" w:sz="4" w:space="0"/>
              <w:right w:val="single" w:color="auto" w:sz="4" w:space="0"/>
            </w:tcBorders>
            <w:vAlign w:val="center"/>
          </w:tcPr>
          <w:p w14:paraId="2D1AB61A">
            <w:pPr>
              <w:rPr>
                <w:rFonts w:ascii="Times New Roman" w:hAnsi="Times New Roman" w:eastAsia="宋体"/>
                <w:bCs/>
                <w:iCs/>
                <w:color w:val="000000"/>
                <w:sz w:val="24"/>
              </w:rPr>
            </w:pPr>
          </w:p>
        </w:tc>
      </w:tr>
      <w:tr w14:paraId="4FCDD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908" w:type="dxa"/>
            <w:tcBorders>
              <w:top w:val="single" w:color="auto" w:sz="4" w:space="0"/>
              <w:left w:val="single" w:color="auto" w:sz="4" w:space="0"/>
              <w:bottom w:val="single" w:color="auto" w:sz="4" w:space="0"/>
              <w:right w:val="single" w:color="auto" w:sz="4" w:space="0"/>
            </w:tcBorders>
            <w:vAlign w:val="center"/>
          </w:tcPr>
          <w:p w14:paraId="3ECD00FD">
            <w:pPr>
              <w:rPr>
                <w:rFonts w:ascii="Times New Roman" w:hAnsi="Times New Roman" w:eastAsia="宋体"/>
                <w:bCs/>
                <w:iCs/>
                <w:color w:val="000000"/>
                <w:sz w:val="24"/>
              </w:rPr>
            </w:pPr>
            <w:r>
              <w:rPr>
                <w:rFonts w:hint="eastAsia" w:ascii="Times New Roman" w:hAnsi="Times New Roman" w:eastAsia="宋体"/>
                <w:bCs/>
                <w:iCs/>
                <w:color w:val="000000"/>
                <w:sz w:val="24"/>
              </w:rPr>
              <w:t>日期</w:t>
            </w:r>
          </w:p>
        </w:tc>
        <w:tc>
          <w:tcPr>
            <w:tcW w:w="6614" w:type="dxa"/>
            <w:tcBorders>
              <w:top w:val="single" w:color="auto" w:sz="4" w:space="0"/>
              <w:left w:val="single" w:color="auto" w:sz="4" w:space="0"/>
              <w:bottom w:val="single" w:color="auto" w:sz="4" w:space="0"/>
              <w:right w:val="single" w:color="auto" w:sz="4" w:space="0"/>
            </w:tcBorders>
            <w:vAlign w:val="center"/>
          </w:tcPr>
          <w:p w14:paraId="4D1A9760">
            <w:pPr>
              <w:rPr>
                <w:rFonts w:hint="eastAsia" w:ascii="Times New Roman" w:hAnsi="Times New Roman" w:eastAsia="宋体"/>
                <w:bCs/>
                <w:iCs/>
                <w:color w:val="000000"/>
                <w:sz w:val="24"/>
                <w:lang w:eastAsia="zh-CN"/>
              </w:rPr>
            </w:pPr>
            <w:r>
              <w:rPr>
                <w:rFonts w:hint="eastAsia" w:ascii="Times New Roman" w:hAnsi="Times New Roman" w:eastAsia="宋体"/>
                <w:bCs/>
                <w:iCs/>
                <w:color w:val="000000"/>
                <w:sz w:val="24"/>
              </w:rPr>
              <w:t>2026</w:t>
            </w:r>
            <w:r>
              <w:rPr>
                <w:rFonts w:hint="eastAsia" w:ascii="Times New Roman" w:hAnsi="Times New Roman" w:eastAsia="宋体"/>
                <w:bCs/>
                <w:iCs/>
                <w:color w:val="000000"/>
                <w:sz w:val="24"/>
                <w:lang w:val="en-US" w:eastAsia="zh-CN"/>
              </w:rPr>
              <w:t>年09月</w:t>
            </w:r>
          </w:p>
        </w:tc>
      </w:tr>
    </w:tbl>
    <w:p w14:paraId="4F040738">
      <w:pPr>
        <w:rPr>
          <w:rFonts w:ascii="Times New Roman" w:hAnsi="Times New Roman" w:eastAsia="宋体"/>
        </w:rPr>
      </w:pPr>
    </w:p>
    <w:p w14:paraId="2620AA69">
      <w:pPr>
        <w:rPr>
          <w:rFonts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413919"/>
    <w:rsid w:val="000E5519"/>
    <w:rsid w:val="00295812"/>
    <w:rsid w:val="00343505"/>
    <w:rsid w:val="00556531"/>
    <w:rsid w:val="005C162E"/>
    <w:rsid w:val="006769D0"/>
    <w:rsid w:val="00681130"/>
    <w:rsid w:val="00776334"/>
    <w:rsid w:val="00793975"/>
    <w:rsid w:val="0085655F"/>
    <w:rsid w:val="00AD7A57"/>
    <w:rsid w:val="00C94BEA"/>
    <w:rsid w:val="00D93E26"/>
    <w:rsid w:val="00E902EA"/>
    <w:rsid w:val="02306473"/>
    <w:rsid w:val="04552A50"/>
    <w:rsid w:val="047712E6"/>
    <w:rsid w:val="05810D93"/>
    <w:rsid w:val="06062CC3"/>
    <w:rsid w:val="087A4C54"/>
    <w:rsid w:val="09185DB9"/>
    <w:rsid w:val="09A12779"/>
    <w:rsid w:val="09B554AF"/>
    <w:rsid w:val="0AE918B4"/>
    <w:rsid w:val="0BFC77E9"/>
    <w:rsid w:val="0CAE0BBD"/>
    <w:rsid w:val="0D413919"/>
    <w:rsid w:val="0DE16873"/>
    <w:rsid w:val="0E794CFD"/>
    <w:rsid w:val="10CD1330"/>
    <w:rsid w:val="118C0A0B"/>
    <w:rsid w:val="12D93FBD"/>
    <w:rsid w:val="13173D0A"/>
    <w:rsid w:val="139D148E"/>
    <w:rsid w:val="13D33102"/>
    <w:rsid w:val="1532203F"/>
    <w:rsid w:val="176C28C7"/>
    <w:rsid w:val="18B773FA"/>
    <w:rsid w:val="18C272A1"/>
    <w:rsid w:val="1ABC48F0"/>
    <w:rsid w:val="1B684130"/>
    <w:rsid w:val="1BC17613"/>
    <w:rsid w:val="1C56060B"/>
    <w:rsid w:val="1D181B85"/>
    <w:rsid w:val="21367CA5"/>
    <w:rsid w:val="22BB548D"/>
    <w:rsid w:val="22FE65ED"/>
    <w:rsid w:val="244A57A2"/>
    <w:rsid w:val="24D80E54"/>
    <w:rsid w:val="24E0567E"/>
    <w:rsid w:val="24F160DB"/>
    <w:rsid w:val="24F3632B"/>
    <w:rsid w:val="250E5D48"/>
    <w:rsid w:val="2591677E"/>
    <w:rsid w:val="264F6618"/>
    <w:rsid w:val="273C57F8"/>
    <w:rsid w:val="2743733E"/>
    <w:rsid w:val="28D84447"/>
    <w:rsid w:val="28DD19BF"/>
    <w:rsid w:val="294F3FFC"/>
    <w:rsid w:val="29533C3A"/>
    <w:rsid w:val="2A263B34"/>
    <w:rsid w:val="2A4333D7"/>
    <w:rsid w:val="2B936FA7"/>
    <w:rsid w:val="2BE011C8"/>
    <w:rsid w:val="2CE83322"/>
    <w:rsid w:val="2D0106D1"/>
    <w:rsid w:val="2F961084"/>
    <w:rsid w:val="2FF87DFC"/>
    <w:rsid w:val="31F84FD8"/>
    <w:rsid w:val="32265BE1"/>
    <w:rsid w:val="34232E92"/>
    <w:rsid w:val="36032F7B"/>
    <w:rsid w:val="36C070BE"/>
    <w:rsid w:val="38284F1B"/>
    <w:rsid w:val="38D9696E"/>
    <w:rsid w:val="394F7E03"/>
    <w:rsid w:val="3A7946EF"/>
    <w:rsid w:val="3BF22242"/>
    <w:rsid w:val="3C9708C1"/>
    <w:rsid w:val="3CBC3E83"/>
    <w:rsid w:val="3DCE20C0"/>
    <w:rsid w:val="3EC84D62"/>
    <w:rsid w:val="3FF83425"/>
    <w:rsid w:val="404415EC"/>
    <w:rsid w:val="41306BEE"/>
    <w:rsid w:val="41FF4BE4"/>
    <w:rsid w:val="430E077B"/>
    <w:rsid w:val="44B4700C"/>
    <w:rsid w:val="44DD55D1"/>
    <w:rsid w:val="45570BED"/>
    <w:rsid w:val="455C3F93"/>
    <w:rsid w:val="459736E0"/>
    <w:rsid w:val="45F452FB"/>
    <w:rsid w:val="46110B49"/>
    <w:rsid w:val="47A3011A"/>
    <w:rsid w:val="47B77544"/>
    <w:rsid w:val="49B741E9"/>
    <w:rsid w:val="49E22908"/>
    <w:rsid w:val="4A49401B"/>
    <w:rsid w:val="4B2E2C15"/>
    <w:rsid w:val="4C1A3E27"/>
    <w:rsid w:val="4C242BBD"/>
    <w:rsid w:val="4CA566E2"/>
    <w:rsid w:val="4E850579"/>
    <w:rsid w:val="4F39371F"/>
    <w:rsid w:val="4FF7491A"/>
    <w:rsid w:val="506F4C2B"/>
    <w:rsid w:val="5306639B"/>
    <w:rsid w:val="53394028"/>
    <w:rsid w:val="53D77AC9"/>
    <w:rsid w:val="54B80ED9"/>
    <w:rsid w:val="567457B2"/>
    <w:rsid w:val="56A8574D"/>
    <w:rsid w:val="578440A3"/>
    <w:rsid w:val="5AA25257"/>
    <w:rsid w:val="5C056982"/>
    <w:rsid w:val="5CDB3A5A"/>
    <w:rsid w:val="5DB20C5F"/>
    <w:rsid w:val="5E1105FB"/>
    <w:rsid w:val="60483AFC"/>
    <w:rsid w:val="60E34529"/>
    <w:rsid w:val="61E635CD"/>
    <w:rsid w:val="61ED495B"/>
    <w:rsid w:val="64095351"/>
    <w:rsid w:val="64AF2E65"/>
    <w:rsid w:val="661F0E5C"/>
    <w:rsid w:val="666C678B"/>
    <w:rsid w:val="68A37B22"/>
    <w:rsid w:val="6AA143D6"/>
    <w:rsid w:val="6AE306AA"/>
    <w:rsid w:val="6B7D28AC"/>
    <w:rsid w:val="6D154D66"/>
    <w:rsid w:val="6D526662"/>
    <w:rsid w:val="6E832DC4"/>
    <w:rsid w:val="6EA4236F"/>
    <w:rsid w:val="701D5CDC"/>
    <w:rsid w:val="71180999"/>
    <w:rsid w:val="71361A65"/>
    <w:rsid w:val="71D46F9E"/>
    <w:rsid w:val="720A6E02"/>
    <w:rsid w:val="73A93E62"/>
    <w:rsid w:val="73AC7AA8"/>
    <w:rsid w:val="73B9469D"/>
    <w:rsid w:val="74045CDC"/>
    <w:rsid w:val="74EF1262"/>
    <w:rsid w:val="774249AA"/>
    <w:rsid w:val="78113489"/>
    <w:rsid w:val="785C02A9"/>
    <w:rsid w:val="792151BF"/>
    <w:rsid w:val="79865022"/>
    <w:rsid w:val="7B3E36DA"/>
    <w:rsid w:val="7DBF4FA6"/>
    <w:rsid w:val="7E3B08D3"/>
    <w:rsid w:val="7E4E4A7B"/>
    <w:rsid w:val="7EC10E0D"/>
    <w:rsid w:val="7EE051D4"/>
    <w:rsid w:val="7F3918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0"/>
    <w:pPr>
      <w:jc w:val="left"/>
    </w:pPr>
  </w:style>
  <w:style w:type="paragraph" w:styleId="3">
    <w:name w:val="footer"/>
    <w:basedOn w:val="1"/>
    <w:link w:val="12"/>
    <w:qFormat/>
    <w:uiPriority w:val="0"/>
    <w:pPr>
      <w:tabs>
        <w:tab w:val="center" w:pos="4153"/>
        <w:tab w:val="right" w:pos="8306"/>
      </w:tabs>
      <w:snapToGrid w:val="0"/>
      <w:jc w:val="left"/>
    </w:pPr>
    <w:rPr>
      <w:sz w:val="18"/>
      <w:szCs w:val="18"/>
    </w:rPr>
  </w:style>
  <w:style w:type="paragraph" w:styleId="4">
    <w:name w:val="header"/>
    <w:basedOn w:val="1"/>
    <w:link w:val="11"/>
    <w:qFormat/>
    <w:uiPriority w:val="0"/>
    <w:pPr>
      <w:tabs>
        <w:tab w:val="center" w:pos="4153"/>
        <w:tab w:val="right" w:pos="8306"/>
      </w:tabs>
      <w:snapToGrid w:val="0"/>
      <w:jc w:val="center"/>
    </w:pPr>
    <w:rPr>
      <w:sz w:val="18"/>
      <w:szCs w:val="18"/>
    </w:rPr>
  </w:style>
  <w:style w:type="paragraph" w:styleId="5">
    <w:name w:val="annotation subject"/>
    <w:basedOn w:val="2"/>
    <w:next w:val="2"/>
    <w:link w:val="15"/>
    <w:qFormat/>
    <w:uiPriority w:val="0"/>
    <w:rPr>
      <w:b/>
      <w:bCs/>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26E5" w:themeColor="hyperlink"/>
      <w:u w:val="single"/>
      <w14:textFill>
        <w14:solidFill>
          <w14:schemeClr w14:val="hlink"/>
        </w14:solidFill>
      </w14:textFill>
    </w:rPr>
  </w:style>
  <w:style w:type="character" w:styleId="10">
    <w:name w:val="annotation reference"/>
    <w:basedOn w:val="8"/>
    <w:qFormat/>
    <w:uiPriority w:val="0"/>
    <w:rPr>
      <w:sz w:val="21"/>
      <w:szCs w:val="21"/>
    </w:rPr>
  </w:style>
  <w:style w:type="character" w:customStyle="1" w:styleId="11">
    <w:name w:val="页眉 字符"/>
    <w:basedOn w:val="8"/>
    <w:link w:val="4"/>
    <w:qFormat/>
    <w:uiPriority w:val="0"/>
    <w:rPr>
      <w:rFonts w:asciiTheme="minorHAnsi" w:hAnsiTheme="minorHAnsi" w:eastAsiaTheme="minorEastAsia" w:cstheme="minorBidi"/>
      <w:kern w:val="2"/>
      <w:sz w:val="18"/>
      <w:szCs w:val="18"/>
    </w:rPr>
  </w:style>
  <w:style w:type="character" w:customStyle="1" w:styleId="12">
    <w:name w:val="页脚 字符"/>
    <w:basedOn w:val="8"/>
    <w:link w:val="3"/>
    <w:qFormat/>
    <w:uiPriority w:val="0"/>
    <w:rPr>
      <w:rFonts w:asciiTheme="minorHAnsi" w:hAnsiTheme="minorHAnsi" w:eastAsiaTheme="minorEastAsia" w:cstheme="minorBidi"/>
      <w:kern w:val="2"/>
      <w:sz w:val="18"/>
      <w:szCs w:val="18"/>
    </w:rPr>
  </w:style>
  <w:style w:type="paragraph" w:customStyle="1" w:styleId="13">
    <w:name w:val="Revision"/>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14">
    <w:name w:val="批注文字 字符"/>
    <w:basedOn w:val="8"/>
    <w:link w:val="2"/>
    <w:qFormat/>
    <w:uiPriority w:val="0"/>
    <w:rPr>
      <w:rFonts w:asciiTheme="minorHAnsi" w:hAnsiTheme="minorHAnsi" w:eastAsiaTheme="minorEastAsia" w:cstheme="minorBidi"/>
      <w:kern w:val="2"/>
      <w:sz w:val="21"/>
      <w:szCs w:val="24"/>
    </w:rPr>
  </w:style>
  <w:style w:type="character" w:customStyle="1" w:styleId="15">
    <w:name w:val="批注主题 字符"/>
    <w:basedOn w:val="14"/>
    <w:link w:val="5"/>
    <w:qFormat/>
    <w:uiPriority w:val="0"/>
    <w:rPr>
      <w:rFonts w:asciiTheme="minorHAnsi" w:hAnsiTheme="minorHAnsi" w:eastAsiaTheme="minorEastAsia" w:cstheme="minorBidi"/>
      <w:b/>
      <w:bCs/>
      <w:kern w:val="2"/>
      <w:sz w:val="21"/>
      <w:szCs w:val="24"/>
    </w:rPr>
  </w:style>
  <w:style w:type="character" w:customStyle="1" w:styleId="16">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1433</Words>
  <Characters>1702</Characters>
  <Lines>19</Lines>
  <Paragraphs>5</Paragraphs>
  <TotalTime>3</TotalTime>
  <ScaleCrop>false</ScaleCrop>
  <LinksUpToDate>false</LinksUpToDate>
  <CharactersWithSpaces>1842</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2026-05-28T06:55:00Z</dcterms:created>
  <dc:creator>白话文</dc:creator>
  <cp:lastModifiedBy>BLY</cp:lastModifiedBy>
  <cp:lastPrinted>2026-02-12T00:56:00Z</cp:lastPrinted>
  <dcterms:modified xsi:type="dcterms:W3CDTF">2026-10-08T08:42:12Z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4B4859714F414507840D8CE515100116_13</vt:lpwstr>
  </property>
  <property fmtid="{D5CDD505-2E9C-101B-9397-08002B2CF9AE}" pid="4" name="KSOTemplateDocerSaveRecord">
    <vt:lpwstr>eyJoZGlkIjoiNGYxMDg5N2MyZGViZDRmYjY0MTUzYzUyMTBlOTdiYWEiLCJ1c2VySWQiOiIxMjYwNjE5MjExIn0=</vt:lpwstr>
  </property>
</Properties>
</file>