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711B4">
      <w:pPr>
        <w:ind w:firstLine="562" w:firstLineChars="200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烟台德邦科技股份有限公司</w:t>
      </w:r>
    </w:p>
    <w:p w14:paraId="213F088D">
      <w:pPr>
        <w:ind w:firstLine="562" w:firstLineChars="200"/>
        <w:jc w:val="center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投资者关系活动记录表</w:t>
      </w:r>
    </w:p>
    <w:p w14:paraId="0A37BAC1">
      <w:pPr>
        <w:ind w:firstLine="562" w:firstLineChars="200"/>
        <w:jc w:val="center"/>
        <w:rPr>
          <w:rFonts w:hint="eastAsia" w:ascii="宋体" w:hAnsi="宋体"/>
          <w:b/>
          <w:bCs/>
          <w:sz w:val="28"/>
          <w:szCs w:val="28"/>
        </w:rPr>
      </w:pPr>
    </w:p>
    <w:p w14:paraId="17043411">
      <w:pPr>
        <w:ind w:firstLine="482" w:firstLineChars="200"/>
        <w:rPr>
          <w:rFonts w:hint="eastAsia" w:ascii="宋体" w:hAnsi="宋体"/>
          <w:b/>
          <w:bCs/>
          <w:szCs w:val="24"/>
        </w:rPr>
      </w:pPr>
      <w:r>
        <w:rPr>
          <w:rFonts w:hint="eastAsia" w:ascii="宋体" w:hAnsi="宋体"/>
          <w:b/>
          <w:bCs/>
          <w:szCs w:val="24"/>
        </w:rPr>
        <w:t xml:space="preserve">证券简称：德邦科技 </w:t>
      </w:r>
      <w:r>
        <w:rPr>
          <w:rFonts w:ascii="宋体" w:hAnsi="宋体"/>
          <w:b/>
          <w:bCs/>
          <w:szCs w:val="24"/>
        </w:rPr>
        <w:t xml:space="preserve">        </w:t>
      </w:r>
      <w:r>
        <w:rPr>
          <w:rFonts w:hint="eastAsia" w:ascii="宋体" w:hAnsi="宋体"/>
          <w:b/>
          <w:bCs/>
          <w:szCs w:val="24"/>
        </w:rPr>
        <w:t xml:space="preserve">证券代码：688035 </w:t>
      </w:r>
      <w:r>
        <w:rPr>
          <w:rFonts w:ascii="宋体" w:hAnsi="宋体"/>
          <w:b/>
          <w:bCs/>
          <w:szCs w:val="24"/>
        </w:rPr>
        <w:t xml:space="preserve">       </w:t>
      </w:r>
      <w:r>
        <w:rPr>
          <w:rFonts w:hint="eastAsia" w:ascii="宋体" w:hAnsi="宋体"/>
          <w:b/>
          <w:bCs/>
          <w:szCs w:val="24"/>
        </w:rPr>
        <w:t>编号：2026</w:t>
      </w:r>
      <w:r>
        <w:rPr>
          <w:rFonts w:ascii="宋体" w:hAnsi="宋体"/>
          <w:b/>
          <w:bCs/>
          <w:szCs w:val="24"/>
        </w:rPr>
        <w:t>-00</w:t>
      </w:r>
      <w:r>
        <w:rPr>
          <w:rFonts w:hint="eastAsia" w:ascii="宋体" w:hAnsi="宋体"/>
          <w:b/>
          <w:bCs/>
          <w:szCs w:val="24"/>
        </w:rPr>
        <w:t>6</w:t>
      </w:r>
    </w:p>
    <w:tbl>
      <w:tblPr>
        <w:tblStyle w:val="12"/>
        <w:tblW w:w="84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6670"/>
      </w:tblGrid>
      <w:tr w14:paraId="48A65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dxa"/>
            <w:vAlign w:val="center"/>
          </w:tcPr>
          <w:p w14:paraId="174E1B43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投资者关系活动类别</w:t>
            </w:r>
          </w:p>
        </w:tc>
        <w:tc>
          <w:tcPr>
            <w:tcW w:w="6670" w:type="dxa"/>
            <w:vAlign w:val="center"/>
          </w:tcPr>
          <w:p w14:paraId="2A789DD3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Segoe UI Symbol" w:hAnsi="Segoe UI Symbol" w:cs="Segoe UI Symbol"/>
                <w:kern w:val="0"/>
                <w:szCs w:val="24"/>
              </w:rPr>
              <w:t>☑</w:t>
            </w:r>
            <w:r>
              <w:rPr>
                <w:rFonts w:ascii="宋体" w:hAnsi="宋体"/>
                <w:szCs w:val="24"/>
              </w:rPr>
              <w:t xml:space="preserve">特定对象调研       </w:t>
            </w:r>
            <w:r>
              <w:rPr>
                <w:rFonts w:ascii="宋体" w:hAnsi="宋体"/>
                <w:kern w:val="0"/>
                <w:szCs w:val="24"/>
              </w:rPr>
              <w:t>□</w:t>
            </w:r>
            <w:r>
              <w:rPr>
                <w:rFonts w:ascii="宋体" w:hAnsi="宋体"/>
                <w:szCs w:val="24"/>
              </w:rPr>
              <w:t>分析师会议</w:t>
            </w:r>
          </w:p>
          <w:p w14:paraId="704B823D">
            <w:pPr>
              <w:spacing w:line="360" w:lineRule="auto"/>
              <w:rPr>
                <w:rFonts w:hint="eastAsia" w:ascii="宋体" w:hAnsi="宋体"/>
                <w:kern w:val="0"/>
                <w:szCs w:val="24"/>
              </w:rPr>
            </w:pPr>
            <w:r>
              <w:rPr>
                <w:rFonts w:hint="eastAsia" w:ascii="宋体" w:hAnsi="宋体"/>
                <w:kern w:val="0"/>
                <w:szCs w:val="24"/>
              </w:rPr>
              <w:t>□</w:t>
            </w:r>
            <w:r>
              <w:rPr>
                <w:rFonts w:ascii="宋体" w:hAnsi="宋体"/>
                <w:kern w:val="0"/>
                <w:szCs w:val="24"/>
              </w:rPr>
              <w:t>媒体采访           □业绩说明会</w:t>
            </w:r>
          </w:p>
          <w:p w14:paraId="1BD04F28">
            <w:pPr>
              <w:spacing w:line="360" w:lineRule="auto"/>
              <w:rPr>
                <w:rFonts w:hint="eastAsia" w:ascii="宋体" w:hAnsi="宋体"/>
                <w:kern w:val="0"/>
                <w:szCs w:val="24"/>
              </w:rPr>
            </w:pPr>
            <w:r>
              <w:rPr>
                <w:rFonts w:hint="eastAsia" w:ascii="宋体" w:hAnsi="宋体"/>
                <w:kern w:val="0"/>
                <w:szCs w:val="24"/>
              </w:rPr>
              <w:t>□</w:t>
            </w:r>
            <w:r>
              <w:rPr>
                <w:rFonts w:ascii="宋体" w:hAnsi="宋体"/>
                <w:kern w:val="0"/>
                <w:szCs w:val="24"/>
              </w:rPr>
              <w:t>新闻发布会         □路演活动</w:t>
            </w:r>
          </w:p>
          <w:p w14:paraId="217961B6">
            <w:pPr>
              <w:spacing w:line="360" w:lineRule="auto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kern w:val="0"/>
                <w:szCs w:val="24"/>
              </w:rPr>
              <w:t>□</w:t>
            </w:r>
            <w:r>
              <w:rPr>
                <w:rFonts w:ascii="宋体" w:hAnsi="宋体"/>
                <w:kern w:val="0"/>
                <w:szCs w:val="24"/>
              </w:rPr>
              <w:t xml:space="preserve">现场参观           </w:t>
            </w:r>
            <w:r>
              <w:rPr>
                <w:rFonts w:hint="eastAsia" w:ascii="Segoe UI Symbol" w:hAnsi="Segoe UI Symbol" w:cs="Segoe UI Symbol"/>
                <w:kern w:val="0"/>
                <w:szCs w:val="24"/>
              </w:rPr>
              <w:t>□</w:t>
            </w:r>
            <w:r>
              <w:rPr>
                <w:rFonts w:ascii="宋体" w:hAnsi="宋体"/>
                <w:kern w:val="0"/>
                <w:szCs w:val="24"/>
              </w:rPr>
              <w:t>其他</w:t>
            </w:r>
          </w:p>
        </w:tc>
      </w:tr>
      <w:tr w14:paraId="38B4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1736" w:type="dxa"/>
            <w:vAlign w:val="center"/>
          </w:tcPr>
          <w:p w14:paraId="301B2242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参与单位名称</w:t>
            </w:r>
          </w:p>
          <w:p w14:paraId="1BFDFBB8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及人员姓名</w:t>
            </w:r>
          </w:p>
        </w:tc>
        <w:tc>
          <w:tcPr>
            <w:tcW w:w="6670" w:type="dxa"/>
            <w:vAlign w:val="center"/>
          </w:tcPr>
          <w:p w14:paraId="79AE8F17">
            <w:pPr>
              <w:spacing w:line="360" w:lineRule="auto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Cs w:val="24"/>
              </w:rPr>
              <w:t>汇添富基金、中信证券、新华基金、国金证券、华创证券、真科基金、立心基金等</w:t>
            </w:r>
          </w:p>
        </w:tc>
      </w:tr>
      <w:tr w14:paraId="70E44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1736" w:type="dxa"/>
            <w:vAlign w:val="center"/>
          </w:tcPr>
          <w:p w14:paraId="7D387ECB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时间</w:t>
            </w:r>
          </w:p>
        </w:tc>
        <w:tc>
          <w:tcPr>
            <w:tcW w:w="6670" w:type="dxa"/>
            <w:vAlign w:val="center"/>
          </w:tcPr>
          <w:p w14:paraId="7B651BB1">
            <w:pPr>
              <w:spacing w:line="360" w:lineRule="auto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2026年9月11日--2026年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Cs w:val="24"/>
              </w:rPr>
              <w:t>月</w:t>
            </w:r>
            <w:r>
              <w:rPr>
                <w:rFonts w:hint="eastAsia" w:ascii="宋体" w:hAnsi="宋体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/>
                <w:szCs w:val="24"/>
              </w:rPr>
              <w:t>日</w:t>
            </w:r>
          </w:p>
        </w:tc>
      </w:tr>
      <w:tr w14:paraId="5932E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6" w:type="dxa"/>
            <w:vAlign w:val="center"/>
          </w:tcPr>
          <w:p w14:paraId="01CB11F6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地点</w:t>
            </w:r>
          </w:p>
        </w:tc>
        <w:tc>
          <w:tcPr>
            <w:tcW w:w="6670" w:type="dxa"/>
            <w:vAlign w:val="center"/>
          </w:tcPr>
          <w:p w14:paraId="667CB4D9">
            <w:pPr>
              <w:spacing w:line="360" w:lineRule="auto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公司会议室</w:t>
            </w:r>
          </w:p>
        </w:tc>
      </w:tr>
      <w:tr w14:paraId="3FA7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736" w:type="dxa"/>
            <w:vAlign w:val="center"/>
          </w:tcPr>
          <w:p w14:paraId="11148798">
            <w:pPr>
              <w:jc w:val="center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上市公司接待人员姓名</w:t>
            </w:r>
          </w:p>
        </w:tc>
        <w:tc>
          <w:tcPr>
            <w:tcW w:w="6670" w:type="dxa"/>
            <w:vAlign w:val="center"/>
          </w:tcPr>
          <w:p w14:paraId="5BA290C8">
            <w:pPr>
              <w:spacing w:line="360" w:lineRule="auto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副总经理、财务总监：于杰</w:t>
            </w:r>
          </w:p>
          <w:p w14:paraId="06993C33">
            <w:pPr>
              <w:spacing w:line="360" w:lineRule="auto"/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>董事会办公室</w:t>
            </w:r>
            <w:r>
              <w:rPr>
                <w:rFonts w:ascii="宋体" w:hAnsi="宋体"/>
                <w:szCs w:val="24"/>
              </w:rPr>
              <w:t>总监：战世能</w:t>
            </w:r>
          </w:p>
        </w:tc>
      </w:tr>
      <w:tr w14:paraId="225A9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736" w:type="dxa"/>
            <w:vAlign w:val="center"/>
          </w:tcPr>
          <w:p w14:paraId="0AA14617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投资者关系</w:t>
            </w:r>
          </w:p>
          <w:p w14:paraId="680A95A1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活动主要</w:t>
            </w:r>
          </w:p>
          <w:p w14:paraId="791B20F2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内容介绍</w:t>
            </w:r>
          </w:p>
        </w:tc>
        <w:tc>
          <w:tcPr>
            <w:tcW w:w="6670" w:type="dxa"/>
            <w:vAlign w:val="center"/>
          </w:tcPr>
          <w:p w14:paraId="20CBCD7E">
            <w:pPr>
              <w:numPr>
                <w:ilvl w:val="0"/>
                <w:numId w:val="1"/>
              </w:numPr>
              <w:spacing w:line="360" w:lineRule="auto"/>
              <w:ind w:firstLine="440"/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  <w:t>公司目前的经营情况及各业务板块的构成？</w:t>
            </w:r>
          </w:p>
          <w:p w14:paraId="45970BB4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答：公司以集成电路封装材料技术为引领，聚焦集成电路封装、智能终端封装、新能源应用、高端装备应用四大应用领域。2026年上半年，公司各业务板块均实现增长：</w:t>
            </w:r>
            <w:r>
              <w:rPr>
                <w:rFonts w:hint="eastAsia" w:ascii="宋体" w:hAnsi="宋体" w:cs="宋体"/>
                <w:kern w:val="0"/>
                <w:szCs w:val="24"/>
              </w:rPr>
              <w:t>集成电路板块依旧呈现持续快速增长的趋势，板块业务占比明显提升</w:t>
            </w:r>
            <w:r>
              <w:rPr>
                <w:rFonts w:hint="eastAsia" w:ascii="宋体" w:hAnsi="宋体" w:cs="宋体"/>
                <w:szCs w:val="24"/>
              </w:rPr>
              <w:t>；</w:t>
            </w:r>
            <w:r>
              <w:rPr>
                <w:rFonts w:ascii="宋体" w:hAnsi="宋体" w:cs="宋体"/>
                <w:szCs w:val="24"/>
              </w:rPr>
              <w:t>智能终端封装材料毛利率水平较高，是公司利润的主要贡献板块</w:t>
            </w:r>
            <w:r>
              <w:rPr>
                <w:rFonts w:hint="eastAsia" w:ascii="宋体" w:hAnsi="宋体" w:cs="宋体"/>
                <w:szCs w:val="24"/>
              </w:rPr>
              <w:t>；</w:t>
            </w:r>
            <w:r>
              <w:rPr>
                <w:rFonts w:hint="eastAsia" w:ascii="宋体" w:hAnsi="宋体" w:cs="宋体"/>
                <w:kern w:val="0"/>
                <w:szCs w:val="24"/>
              </w:rPr>
              <w:t>新能源板块始终保持稳定的市场份额，随着行业趋势持续稳定增长</w:t>
            </w:r>
            <w:r>
              <w:rPr>
                <w:rFonts w:hint="eastAsia" w:ascii="宋体" w:hAnsi="宋体" w:cs="宋体"/>
                <w:szCs w:val="24"/>
              </w:rPr>
              <w:t>；高端装备应用材料保持平稳。</w:t>
            </w:r>
          </w:p>
          <w:p w14:paraId="4EA8C351">
            <w:pPr>
              <w:pStyle w:val="2"/>
              <w:widowControl/>
              <w:spacing w:before="0" w:beforeAutospacing="0" w:after="0" w:afterAutospacing="0" w:line="360" w:lineRule="auto"/>
              <w:ind w:firstLine="482" w:firstLineChars="200"/>
              <w:rPr>
                <w:color w:val="000000"/>
                <w:sz w:val="24"/>
                <w:szCs w:val="24"/>
              </w:rPr>
            </w:pPr>
            <w:r>
              <w:rPr>
                <w:rFonts w:cs="宋体"/>
                <w:color w:val="000000"/>
                <w:sz w:val="24"/>
                <w:szCs w:val="24"/>
              </w:rPr>
              <w:t>2、公司作为平台型新材料企业，对比专注导热的同行，公司核心竞争优势与材料协同体现在哪里？</w:t>
            </w:r>
          </w:p>
          <w:p w14:paraId="3B59ECD8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Style w:val="14"/>
                <w:rFonts w:hint="eastAsia" w:ascii="宋体" w:hAnsi="宋体" w:cs="宋体"/>
                <w:b w:val="0"/>
                <w:bCs/>
                <w:color w:val="000000"/>
                <w:kern w:val="0"/>
                <w:szCs w:val="24"/>
                <w:lang w:bidi="ar"/>
              </w:rPr>
              <w:t>答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4"/>
                <w:lang w:bidi="ar"/>
              </w:rPr>
              <w:t>：公司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作为高端电子封装材料研发与产业化的平台型高新技术企业，产品包括集成电路封装材料、智能终端封装材料、新能源应用材料、高端装备应用材料四大类别。平台化的业务结构有助于增强公司经营的稳定性，若某一应用领域景气度出现波动，其他板块的持续发展有望对公司整体经营形成支撑。</w:t>
            </w:r>
          </w:p>
          <w:p w14:paraId="03DFDBF6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在导热材料领域，公司在导热垫片、导热凝胶等高性能导热材料之外，同时布局液态金属等前沿新型导热材料，</w:t>
            </w:r>
            <w:r>
              <w:rPr>
                <w:rFonts w:hint="eastAsia" w:ascii="宋体" w:hAnsi="宋体" w:cs="宋体"/>
                <w:szCs w:val="24"/>
              </w:rPr>
              <w:t>能够更好应对AI产业发展过程中技术路线迭代带来的不确定性。各类材料在研发平台、工艺技术、客户资源等方面可形成协同效应。公司将依托现有材料技术平台持续拓展热管理领域相关产品品类，进一步发挥平台化协同价值。</w:t>
            </w:r>
          </w:p>
          <w:p w14:paraId="3E061667">
            <w:pPr>
              <w:spacing w:line="360" w:lineRule="auto"/>
              <w:ind w:firstLine="482" w:firstLineChars="200"/>
              <w:rPr>
                <w:rFonts w:hint="eastAsia" w:ascii="宋体" w:hAnsi="宋体" w:cs="宋体"/>
                <w:b/>
                <w:bCs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3、公司在半导体封装材料领域的战略布局是什么？</w:t>
            </w:r>
          </w:p>
          <w:p w14:paraId="0A964370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答：公司聚焦集成电路先进封装关键材料研发与产业化，</w:t>
            </w:r>
            <w:r>
              <w:rPr>
                <w:rFonts w:hint="eastAsia" w:ascii="宋体" w:hAnsi="宋体" w:cs="宋体"/>
                <w:szCs w:val="24"/>
                <w:lang w:bidi="ar"/>
              </w:rPr>
              <w:t>致力于为集成电路封装提供晶圆固定、切割、减薄、键合、导电、导热、保护及提高芯片使用可靠性的综合性产品解决方案。目前公司布局的多款核心产品可覆盖各类先进封装工艺，主要包括：UV膜（</w:t>
            </w:r>
            <w:r>
              <w:rPr>
                <w:rFonts w:hint="eastAsia" w:ascii="宋体" w:hAnsi="宋体" w:cs="宋体"/>
                <w:kern w:val="0"/>
                <w:szCs w:val="24"/>
              </w:rPr>
              <w:t>UV减薄膜、UV切割膜</w:t>
            </w:r>
            <w:r>
              <w:rPr>
                <w:rFonts w:hint="eastAsia" w:ascii="宋体" w:hAnsi="宋体" w:cs="宋体"/>
                <w:szCs w:val="24"/>
                <w:lang w:bidi="ar"/>
              </w:rPr>
              <w:t>）、</w:t>
            </w:r>
            <w:r>
              <w:rPr>
                <w:rFonts w:hint="eastAsia" w:ascii="宋体" w:hAnsi="宋体" w:cs="宋体"/>
                <w:kern w:val="0"/>
                <w:szCs w:val="24"/>
              </w:rPr>
              <w:t>临时键合胶、固晶膜（DAF/CDAF）、芯片级底部填充胶、Lid框胶、TIM1等产品</w:t>
            </w:r>
            <w:r>
              <w:rPr>
                <w:rFonts w:hint="eastAsia" w:ascii="宋体" w:hAnsi="宋体" w:cs="宋体"/>
                <w:szCs w:val="24"/>
              </w:rPr>
              <w:t>。</w:t>
            </w:r>
          </w:p>
          <w:p w14:paraId="41A5E73F">
            <w:pPr>
              <w:widowControl/>
              <w:spacing w:line="360" w:lineRule="auto"/>
              <w:ind w:firstLine="480" w:firstLineChars="200"/>
              <w:jc w:val="left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公司</w:t>
            </w:r>
            <w:r>
              <w:rPr>
                <w:rFonts w:hint="eastAsia" w:ascii="宋体" w:hAnsi="宋体" w:cs="Arial"/>
                <w:szCs w:val="24"/>
                <w:lang w:bidi="ar"/>
              </w:rPr>
              <w:t>紧抓半导体材料国产化的行业发展机遇，</w:t>
            </w:r>
            <w:r>
              <w:rPr>
                <w:rFonts w:hint="eastAsia" w:ascii="宋体" w:hAnsi="宋体" w:cs="宋体"/>
                <w:szCs w:val="24"/>
              </w:rPr>
              <w:t>持续完善产品线，为客户提供一站式封装材料解决方案，</w:t>
            </w:r>
            <w:r>
              <w:rPr>
                <w:rFonts w:hint="eastAsia" w:ascii="宋体" w:hAnsi="宋体" w:cs="Arial"/>
                <w:szCs w:val="24"/>
                <w:lang w:bidi="ar"/>
              </w:rPr>
              <w:t>全力推动高端封装材料的国产替代进程。</w:t>
            </w:r>
          </w:p>
          <w:p w14:paraId="14A52146">
            <w:pPr>
              <w:spacing w:line="360" w:lineRule="auto"/>
              <w:ind w:firstLine="482" w:firstLineChars="200"/>
              <w:rPr>
                <w:rFonts w:hint="eastAsia" w:ascii="宋体" w:hAnsi="宋体" w:cs="宋体"/>
                <w:color w:val="000000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4"/>
              </w:rPr>
              <w:t>4</w:t>
            </w:r>
            <w:r>
              <w:rPr>
                <w:rFonts w:hint="eastAsia" w:ascii="宋体" w:hAnsi="宋体" w:cs="宋体"/>
                <w:color w:val="000000"/>
                <w:szCs w:val="24"/>
              </w:rPr>
              <w:t>、</w:t>
            </w:r>
            <w:r>
              <w:rPr>
                <w:rFonts w:hint="eastAsia" w:ascii="宋体" w:hAnsi="宋体" w:cs="宋体"/>
                <w:b/>
                <w:bCs/>
                <w:szCs w:val="24"/>
              </w:rPr>
              <w:t>公司海外布局目前进展到哪一步？下一步规划是什么？</w:t>
            </w:r>
          </w:p>
          <w:p w14:paraId="1DFA358D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</w:pPr>
            <w:r>
              <w:rPr>
                <w:rStyle w:val="14"/>
                <w:rFonts w:hint="eastAsia" w:ascii="宋体" w:hAnsi="宋体" w:cs="宋体"/>
                <w:b w:val="0"/>
                <w:bCs/>
                <w:color w:val="000000"/>
                <w:kern w:val="0"/>
                <w:szCs w:val="24"/>
                <w:lang w:bidi="ar"/>
              </w:rPr>
              <w:t>答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Cs w:val="24"/>
                <w:lang w:bidi="ar"/>
              </w:rPr>
              <w:t>：</w:t>
            </w:r>
            <w:r>
              <w:rPr>
                <w:rFonts w:hint="eastAsia" w:ascii="宋体" w:hAnsi="宋体" w:cs="宋体"/>
                <w:color w:val="000000"/>
                <w:kern w:val="0"/>
                <w:szCs w:val="24"/>
                <w:lang w:bidi="ar"/>
              </w:rPr>
              <w:t>国际化布局方面，公司持续深化“客户跟随+本地深耕”双轮驱动战略，以东南亚为核心突破口，稳步推进全球研产销一体化体系建设。目前公司已在新加坡、越南、泰国完成本地化运营主体与技术服务网点布局，搭建起多维度的东南亚区域服务体系。</w:t>
            </w:r>
            <w:r>
              <w:rPr>
                <w:rFonts w:hint="eastAsia" w:ascii="宋体" w:hAnsi="宋体" w:cs="宋体"/>
                <w:szCs w:val="24"/>
              </w:rPr>
              <w:t>未来，公司将结合客户产能转移与本地化配套需求，稳步向欧洲、北美本土延伸，进一步完善全球化研产销体系。同时，公司将密切关注地缘政治、当地政策及客户投资节奏等因素变化，审慎把握海外业务推进节奏。</w:t>
            </w:r>
          </w:p>
          <w:p w14:paraId="22E521C4">
            <w:pPr>
              <w:spacing w:line="360" w:lineRule="auto"/>
              <w:ind w:firstLine="482" w:firstLineChars="200"/>
              <w:rPr>
                <w:rFonts w:hint="eastAsia" w:ascii="宋体" w:hAnsi="宋体" w:cs="宋体"/>
                <w:b/>
                <w:kern w:val="0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Cs w:val="24"/>
              </w:rPr>
              <w:t>5、请介绍一下公司应用于存储领域的产品情况？</w:t>
            </w:r>
          </w:p>
          <w:p w14:paraId="4B4D1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textAlignment w:val="auto"/>
              <w:rPr>
                <w:rFonts w:hint="eastAsia" w:ascii="宋体" w:hAnsi="宋体" w:cs="宋体"/>
                <w:color w:val="000000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Cs w:val="24"/>
              </w:rPr>
              <w:t>答：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公司固晶系列、UV膜系列、导热系列产品，以及芯片级底部填充胶（Underfill）、Lid 框粘接材料（AD胶）均可应用在存储芯片领域，其中部分产品在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存储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领域已实现批量供货，同时，公司还有其他系列的先进封装材料正测试验证中。</w:t>
            </w:r>
          </w:p>
          <w:p w14:paraId="668D55D0">
            <w:pPr>
              <w:spacing w:line="360" w:lineRule="auto"/>
              <w:ind w:firstLine="482" w:firstLineChars="20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Cs w:val="24"/>
              </w:rPr>
              <w:t>6、先进封装材料目前的竞争格局如何？公司的国产替代进展和差距在哪里？</w:t>
            </w:r>
          </w:p>
          <w:p w14:paraId="5721F0BE">
            <w:pPr>
              <w:spacing w:line="360" w:lineRule="auto"/>
              <w:ind w:firstLine="480" w:firstLineChars="200"/>
              <w:rPr>
                <w:rFonts w:hint="eastAsia" w:ascii="宋体" w:hAnsi="宋体" w:cs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答：先进封装材料市场长期由日韩、欧美厂商主导，国内核心材料仍依赖进口，国产替代空间广阔。公司经多年技术积累，在部分领域已形成成熟技术与丰富的验证数据、应用案例，并通过越来越多客户的验证与导入。</w:t>
            </w:r>
          </w:p>
          <w:p w14:paraId="4C1D7D3E">
            <w:pPr>
              <w:spacing w:line="360" w:lineRule="auto"/>
              <w:ind w:firstLine="480" w:firstLineChars="200"/>
              <w:rPr>
                <w:rFonts w:hint="eastAsia" w:ascii="宋体" w:hAnsi="宋体"/>
                <w:szCs w:val="24"/>
              </w:rPr>
            </w:pPr>
            <w:r>
              <w:rPr>
                <w:rFonts w:hint="eastAsia" w:ascii="宋体" w:hAnsi="宋体" w:cs="宋体"/>
                <w:szCs w:val="24"/>
              </w:rPr>
              <w:t>目前，公司底部填充胶、AD胶（Lid框胶）、固晶膜DAF/CDAF等品类已实现小批量交付，国产替代进程持续推进，</w:t>
            </w:r>
            <w:r>
              <w:rPr>
                <w:rFonts w:hint="eastAsia" w:ascii="宋体" w:hAnsi="宋体" w:cs="宋体"/>
                <w:kern w:val="0"/>
                <w:szCs w:val="24"/>
              </w:rPr>
              <w:t>TIM1已通过国内部分重要封测厂全套验证</w:t>
            </w:r>
            <w:r>
              <w:rPr>
                <w:rFonts w:hint="eastAsia" w:ascii="宋体" w:hAnsi="宋体" w:cs="宋体"/>
                <w:szCs w:val="24"/>
              </w:rPr>
              <w:t>。与国际竞争对手相比，公司目前的市场份额仍相对较低。作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4"/>
              </w:rPr>
              <w:t>为国内高端电子封装材料行业的先行企业，公司将持续推进关键材料的技术攻关与客户端渗透，不断提升参与国际竞争的能力。</w:t>
            </w:r>
          </w:p>
        </w:tc>
      </w:tr>
      <w:tr w14:paraId="5A08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736" w:type="dxa"/>
            <w:vAlign w:val="center"/>
          </w:tcPr>
          <w:p w14:paraId="07DF6F99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附件清单</w:t>
            </w:r>
          </w:p>
          <w:p w14:paraId="21C8F2B6">
            <w:pPr>
              <w:jc w:val="center"/>
              <w:rPr>
                <w:rFonts w:hint="eastAsia" w:ascii="宋体" w:hAnsi="宋体"/>
                <w:b/>
                <w:bCs/>
                <w:szCs w:val="24"/>
              </w:rPr>
            </w:pPr>
            <w:r>
              <w:rPr>
                <w:rFonts w:hint="eastAsia" w:ascii="宋体" w:hAnsi="宋体"/>
                <w:b/>
                <w:bCs/>
                <w:szCs w:val="24"/>
              </w:rPr>
              <w:t>（如有）</w:t>
            </w:r>
          </w:p>
        </w:tc>
        <w:tc>
          <w:tcPr>
            <w:tcW w:w="6670" w:type="dxa"/>
            <w:vAlign w:val="center"/>
          </w:tcPr>
          <w:p w14:paraId="3513F773">
            <w:pPr>
              <w:jc w:val="left"/>
              <w:rPr>
                <w:rFonts w:hint="eastAsia" w:ascii="宋体" w:hAnsi="宋体"/>
                <w:szCs w:val="24"/>
              </w:rPr>
            </w:pPr>
            <w:r>
              <w:rPr>
                <w:rFonts w:ascii="宋体" w:hAnsi="宋体"/>
                <w:szCs w:val="24"/>
              </w:rPr>
              <w:t>无</w:t>
            </w:r>
          </w:p>
        </w:tc>
      </w:tr>
    </w:tbl>
    <w:p w14:paraId="1EC5143F">
      <w:pPr>
        <w:widowControl/>
        <w:spacing w:line="400" w:lineRule="exact"/>
        <w:jc w:val="left"/>
        <w:rPr>
          <w:rFonts w:hint="eastAsia" w:ascii="宋体" w:hAnsi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932D26"/>
    <w:multiLevelType w:val="singleLevel"/>
    <w:tmpl w:val="5A932D26"/>
    <w:lvl w:ilvl="0" w:tentative="0">
      <w:start w:val="1"/>
      <w:numFmt w:val="decimal"/>
      <w:suff w:val="nothing"/>
      <w:lvlText w:val="%1、"/>
      <w:lvlJc w:val="left"/>
      <w:pPr>
        <w:ind w:left="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iZWRmYjIyZmVlODU4MjUwMmIyYmRjNTU0MjBlZGYifQ=="/>
  </w:docVars>
  <w:rsids>
    <w:rsidRoot w:val="00DC5E46"/>
    <w:rsid w:val="0000245C"/>
    <w:rsid w:val="00004B20"/>
    <w:rsid w:val="00011187"/>
    <w:rsid w:val="00017DD1"/>
    <w:rsid w:val="0002014A"/>
    <w:rsid w:val="00030DE9"/>
    <w:rsid w:val="0003154F"/>
    <w:rsid w:val="00032633"/>
    <w:rsid w:val="000415F4"/>
    <w:rsid w:val="00041C9D"/>
    <w:rsid w:val="0004467C"/>
    <w:rsid w:val="000459A9"/>
    <w:rsid w:val="00050C04"/>
    <w:rsid w:val="00056AB7"/>
    <w:rsid w:val="00067427"/>
    <w:rsid w:val="000704AF"/>
    <w:rsid w:val="00070D2B"/>
    <w:rsid w:val="00080818"/>
    <w:rsid w:val="00084870"/>
    <w:rsid w:val="00092107"/>
    <w:rsid w:val="000A12C5"/>
    <w:rsid w:val="000A2DB5"/>
    <w:rsid w:val="000A64A8"/>
    <w:rsid w:val="000B4324"/>
    <w:rsid w:val="000B61FC"/>
    <w:rsid w:val="000C53F3"/>
    <w:rsid w:val="000D2872"/>
    <w:rsid w:val="000E1009"/>
    <w:rsid w:val="000E4665"/>
    <w:rsid w:val="000E46ED"/>
    <w:rsid w:val="000F4C75"/>
    <w:rsid w:val="00100005"/>
    <w:rsid w:val="0010080C"/>
    <w:rsid w:val="00111ED8"/>
    <w:rsid w:val="0011359B"/>
    <w:rsid w:val="00115906"/>
    <w:rsid w:val="00117112"/>
    <w:rsid w:val="00122AAA"/>
    <w:rsid w:val="00122CA4"/>
    <w:rsid w:val="001259EE"/>
    <w:rsid w:val="001404DD"/>
    <w:rsid w:val="00140A1B"/>
    <w:rsid w:val="00146FB8"/>
    <w:rsid w:val="00157C01"/>
    <w:rsid w:val="001600CB"/>
    <w:rsid w:val="001609E9"/>
    <w:rsid w:val="00163CA5"/>
    <w:rsid w:val="00167014"/>
    <w:rsid w:val="00171B17"/>
    <w:rsid w:val="001743F1"/>
    <w:rsid w:val="001800F7"/>
    <w:rsid w:val="00180D5D"/>
    <w:rsid w:val="00183228"/>
    <w:rsid w:val="001837A2"/>
    <w:rsid w:val="001956C4"/>
    <w:rsid w:val="001A6640"/>
    <w:rsid w:val="001A774A"/>
    <w:rsid w:val="001C3AD2"/>
    <w:rsid w:val="001D04DD"/>
    <w:rsid w:val="001D2B9C"/>
    <w:rsid w:val="001D4053"/>
    <w:rsid w:val="001E1C23"/>
    <w:rsid w:val="001E1C6F"/>
    <w:rsid w:val="001E3B67"/>
    <w:rsid w:val="001E42FC"/>
    <w:rsid w:val="001E50AD"/>
    <w:rsid w:val="001F0F88"/>
    <w:rsid w:val="001F2EFC"/>
    <w:rsid w:val="001F4458"/>
    <w:rsid w:val="001F6EF2"/>
    <w:rsid w:val="0020500F"/>
    <w:rsid w:val="0020687B"/>
    <w:rsid w:val="002075CC"/>
    <w:rsid w:val="00212C27"/>
    <w:rsid w:val="002143C9"/>
    <w:rsid w:val="00221631"/>
    <w:rsid w:val="00236E2E"/>
    <w:rsid w:val="00246207"/>
    <w:rsid w:val="00246EE0"/>
    <w:rsid w:val="00247FB5"/>
    <w:rsid w:val="0025376E"/>
    <w:rsid w:val="00253A35"/>
    <w:rsid w:val="00254DA5"/>
    <w:rsid w:val="00264304"/>
    <w:rsid w:val="00275016"/>
    <w:rsid w:val="00277618"/>
    <w:rsid w:val="00277AD7"/>
    <w:rsid w:val="00280FC0"/>
    <w:rsid w:val="0028324C"/>
    <w:rsid w:val="00283447"/>
    <w:rsid w:val="002A021D"/>
    <w:rsid w:val="002A3326"/>
    <w:rsid w:val="002B0BDB"/>
    <w:rsid w:val="002B3841"/>
    <w:rsid w:val="002B42E0"/>
    <w:rsid w:val="002B4498"/>
    <w:rsid w:val="002B79CA"/>
    <w:rsid w:val="002C388F"/>
    <w:rsid w:val="002D72FA"/>
    <w:rsid w:val="002E5264"/>
    <w:rsid w:val="002E5293"/>
    <w:rsid w:val="002F5525"/>
    <w:rsid w:val="002F7163"/>
    <w:rsid w:val="003017AE"/>
    <w:rsid w:val="00311DBB"/>
    <w:rsid w:val="00314871"/>
    <w:rsid w:val="003206FD"/>
    <w:rsid w:val="00324C44"/>
    <w:rsid w:val="00326C79"/>
    <w:rsid w:val="00327BCE"/>
    <w:rsid w:val="00334055"/>
    <w:rsid w:val="0033761C"/>
    <w:rsid w:val="00337A19"/>
    <w:rsid w:val="003423B7"/>
    <w:rsid w:val="00362F55"/>
    <w:rsid w:val="0036572D"/>
    <w:rsid w:val="00372B09"/>
    <w:rsid w:val="00393F39"/>
    <w:rsid w:val="0039540B"/>
    <w:rsid w:val="003A0BD1"/>
    <w:rsid w:val="003A3A46"/>
    <w:rsid w:val="003A6113"/>
    <w:rsid w:val="003B5598"/>
    <w:rsid w:val="003B7978"/>
    <w:rsid w:val="003C3B4D"/>
    <w:rsid w:val="003C3F99"/>
    <w:rsid w:val="003C53DB"/>
    <w:rsid w:val="003D1463"/>
    <w:rsid w:val="003E53CF"/>
    <w:rsid w:val="003E5D9C"/>
    <w:rsid w:val="003E610A"/>
    <w:rsid w:val="003F11AD"/>
    <w:rsid w:val="003F12C8"/>
    <w:rsid w:val="003F1E65"/>
    <w:rsid w:val="003F3C92"/>
    <w:rsid w:val="003F489C"/>
    <w:rsid w:val="00400E77"/>
    <w:rsid w:val="00403E58"/>
    <w:rsid w:val="004046D1"/>
    <w:rsid w:val="0040596A"/>
    <w:rsid w:val="00407C94"/>
    <w:rsid w:val="00412655"/>
    <w:rsid w:val="00427D88"/>
    <w:rsid w:val="00430DCC"/>
    <w:rsid w:val="00431E4C"/>
    <w:rsid w:val="00442451"/>
    <w:rsid w:val="0044314E"/>
    <w:rsid w:val="00451E2F"/>
    <w:rsid w:val="004538F4"/>
    <w:rsid w:val="00457653"/>
    <w:rsid w:val="0045786E"/>
    <w:rsid w:val="004638AF"/>
    <w:rsid w:val="00466861"/>
    <w:rsid w:val="004732F9"/>
    <w:rsid w:val="004754E9"/>
    <w:rsid w:val="00483884"/>
    <w:rsid w:val="00495DFF"/>
    <w:rsid w:val="004978E4"/>
    <w:rsid w:val="004A29B3"/>
    <w:rsid w:val="004B2A3F"/>
    <w:rsid w:val="004B4383"/>
    <w:rsid w:val="004C2778"/>
    <w:rsid w:val="004C634C"/>
    <w:rsid w:val="004C6F80"/>
    <w:rsid w:val="004D665E"/>
    <w:rsid w:val="004D7345"/>
    <w:rsid w:val="004E408D"/>
    <w:rsid w:val="004E40CA"/>
    <w:rsid w:val="004E7C20"/>
    <w:rsid w:val="00501FA7"/>
    <w:rsid w:val="00510BB1"/>
    <w:rsid w:val="00511935"/>
    <w:rsid w:val="00513BB5"/>
    <w:rsid w:val="005146E3"/>
    <w:rsid w:val="00524BE4"/>
    <w:rsid w:val="00531E7B"/>
    <w:rsid w:val="00536442"/>
    <w:rsid w:val="005400CA"/>
    <w:rsid w:val="00541D8C"/>
    <w:rsid w:val="00543700"/>
    <w:rsid w:val="00555A3F"/>
    <w:rsid w:val="00557D76"/>
    <w:rsid w:val="005673FA"/>
    <w:rsid w:val="0057267D"/>
    <w:rsid w:val="00572766"/>
    <w:rsid w:val="005727E9"/>
    <w:rsid w:val="00590BA6"/>
    <w:rsid w:val="005A0DED"/>
    <w:rsid w:val="005A2448"/>
    <w:rsid w:val="005A4140"/>
    <w:rsid w:val="005A4181"/>
    <w:rsid w:val="005A6293"/>
    <w:rsid w:val="005A6B74"/>
    <w:rsid w:val="005B065D"/>
    <w:rsid w:val="005B3225"/>
    <w:rsid w:val="005C2212"/>
    <w:rsid w:val="005D05C3"/>
    <w:rsid w:val="005D117F"/>
    <w:rsid w:val="005D4012"/>
    <w:rsid w:val="005E2365"/>
    <w:rsid w:val="005F54BB"/>
    <w:rsid w:val="005F6B7E"/>
    <w:rsid w:val="006002AD"/>
    <w:rsid w:val="006043C4"/>
    <w:rsid w:val="0060633C"/>
    <w:rsid w:val="006076A7"/>
    <w:rsid w:val="00610BC3"/>
    <w:rsid w:val="006237F6"/>
    <w:rsid w:val="00630CCF"/>
    <w:rsid w:val="00650074"/>
    <w:rsid w:val="0065282C"/>
    <w:rsid w:val="0065311E"/>
    <w:rsid w:val="0065397E"/>
    <w:rsid w:val="0066055E"/>
    <w:rsid w:val="00672825"/>
    <w:rsid w:val="00680153"/>
    <w:rsid w:val="006806DF"/>
    <w:rsid w:val="00694B4A"/>
    <w:rsid w:val="006B1ED8"/>
    <w:rsid w:val="006B6D59"/>
    <w:rsid w:val="006D1F99"/>
    <w:rsid w:val="006D3624"/>
    <w:rsid w:val="006E5D09"/>
    <w:rsid w:val="006E62D9"/>
    <w:rsid w:val="006E7FC6"/>
    <w:rsid w:val="006F07B6"/>
    <w:rsid w:val="00700618"/>
    <w:rsid w:val="007050EB"/>
    <w:rsid w:val="00707CA5"/>
    <w:rsid w:val="0071704A"/>
    <w:rsid w:val="00720173"/>
    <w:rsid w:val="00723D9F"/>
    <w:rsid w:val="007338F3"/>
    <w:rsid w:val="00733DCD"/>
    <w:rsid w:val="00746099"/>
    <w:rsid w:val="00747DA6"/>
    <w:rsid w:val="00755204"/>
    <w:rsid w:val="00762A69"/>
    <w:rsid w:val="00765421"/>
    <w:rsid w:val="00773E29"/>
    <w:rsid w:val="007804CA"/>
    <w:rsid w:val="0078434B"/>
    <w:rsid w:val="007846B6"/>
    <w:rsid w:val="007856B2"/>
    <w:rsid w:val="00786B2D"/>
    <w:rsid w:val="007A05A2"/>
    <w:rsid w:val="007A50F1"/>
    <w:rsid w:val="007A5737"/>
    <w:rsid w:val="007B05B5"/>
    <w:rsid w:val="007B1298"/>
    <w:rsid w:val="007B369A"/>
    <w:rsid w:val="007B3D2A"/>
    <w:rsid w:val="007B710B"/>
    <w:rsid w:val="007C067E"/>
    <w:rsid w:val="007C4D3C"/>
    <w:rsid w:val="007C7562"/>
    <w:rsid w:val="007D04EE"/>
    <w:rsid w:val="007D6811"/>
    <w:rsid w:val="007D69ED"/>
    <w:rsid w:val="007F03D8"/>
    <w:rsid w:val="007F0F7C"/>
    <w:rsid w:val="007F2945"/>
    <w:rsid w:val="007F3B4C"/>
    <w:rsid w:val="007F6A1C"/>
    <w:rsid w:val="00803B60"/>
    <w:rsid w:val="00807C02"/>
    <w:rsid w:val="00810BF8"/>
    <w:rsid w:val="00816335"/>
    <w:rsid w:val="00816AF5"/>
    <w:rsid w:val="00821BFA"/>
    <w:rsid w:val="00833E29"/>
    <w:rsid w:val="00836733"/>
    <w:rsid w:val="00840D62"/>
    <w:rsid w:val="008429FC"/>
    <w:rsid w:val="0084424D"/>
    <w:rsid w:val="008479DD"/>
    <w:rsid w:val="00853EBC"/>
    <w:rsid w:val="008617EF"/>
    <w:rsid w:val="008764D9"/>
    <w:rsid w:val="00880942"/>
    <w:rsid w:val="0088594A"/>
    <w:rsid w:val="00885F37"/>
    <w:rsid w:val="00887109"/>
    <w:rsid w:val="00890DE9"/>
    <w:rsid w:val="00893D52"/>
    <w:rsid w:val="008A4E65"/>
    <w:rsid w:val="008A7FAA"/>
    <w:rsid w:val="008B5F75"/>
    <w:rsid w:val="008C3DFE"/>
    <w:rsid w:val="008C4831"/>
    <w:rsid w:val="008C76CF"/>
    <w:rsid w:val="008D0588"/>
    <w:rsid w:val="008D1E97"/>
    <w:rsid w:val="008E3D93"/>
    <w:rsid w:val="008E50D5"/>
    <w:rsid w:val="008E6760"/>
    <w:rsid w:val="008F3119"/>
    <w:rsid w:val="008F3E89"/>
    <w:rsid w:val="008F4C39"/>
    <w:rsid w:val="008F5F0B"/>
    <w:rsid w:val="0090553B"/>
    <w:rsid w:val="00905A85"/>
    <w:rsid w:val="009121C4"/>
    <w:rsid w:val="00915D33"/>
    <w:rsid w:val="0091640A"/>
    <w:rsid w:val="009178B8"/>
    <w:rsid w:val="00920B5D"/>
    <w:rsid w:val="00922283"/>
    <w:rsid w:val="00924C3F"/>
    <w:rsid w:val="0094154D"/>
    <w:rsid w:val="00943F9D"/>
    <w:rsid w:val="00944897"/>
    <w:rsid w:val="00951801"/>
    <w:rsid w:val="00961F4F"/>
    <w:rsid w:val="00970B27"/>
    <w:rsid w:val="00972096"/>
    <w:rsid w:val="00975C93"/>
    <w:rsid w:val="00976FA4"/>
    <w:rsid w:val="00980FB2"/>
    <w:rsid w:val="0098123D"/>
    <w:rsid w:val="00981263"/>
    <w:rsid w:val="009962D9"/>
    <w:rsid w:val="009A041B"/>
    <w:rsid w:val="009A5352"/>
    <w:rsid w:val="009B4447"/>
    <w:rsid w:val="009B51C4"/>
    <w:rsid w:val="009B7399"/>
    <w:rsid w:val="009C2F44"/>
    <w:rsid w:val="009D458C"/>
    <w:rsid w:val="009D6930"/>
    <w:rsid w:val="009D7279"/>
    <w:rsid w:val="009E68FD"/>
    <w:rsid w:val="009E6B11"/>
    <w:rsid w:val="009F4679"/>
    <w:rsid w:val="00A019D7"/>
    <w:rsid w:val="00A030B7"/>
    <w:rsid w:val="00A05635"/>
    <w:rsid w:val="00A25D3E"/>
    <w:rsid w:val="00A300B7"/>
    <w:rsid w:val="00A30C0D"/>
    <w:rsid w:val="00A341BA"/>
    <w:rsid w:val="00A346B4"/>
    <w:rsid w:val="00A37212"/>
    <w:rsid w:val="00A40315"/>
    <w:rsid w:val="00A47E1A"/>
    <w:rsid w:val="00A54A9D"/>
    <w:rsid w:val="00A61C4B"/>
    <w:rsid w:val="00A650D4"/>
    <w:rsid w:val="00A6696C"/>
    <w:rsid w:val="00A756C7"/>
    <w:rsid w:val="00A96E43"/>
    <w:rsid w:val="00A96FBF"/>
    <w:rsid w:val="00AA397C"/>
    <w:rsid w:val="00AB0F0A"/>
    <w:rsid w:val="00AB2F1C"/>
    <w:rsid w:val="00AB7F58"/>
    <w:rsid w:val="00AC30A9"/>
    <w:rsid w:val="00AC7BCF"/>
    <w:rsid w:val="00AD5AE6"/>
    <w:rsid w:val="00AE1F47"/>
    <w:rsid w:val="00AE55B7"/>
    <w:rsid w:val="00AF6290"/>
    <w:rsid w:val="00B048C0"/>
    <w:rsid w:val="00B06539"/>
    <w:rsid w:val="00B06729"/>
    <w:rsid w:val="00B1056C"/>
    <w:rsid w:val="00B11CAB"/>
    <w:rsid w:val="00B17112"/>
    <w:rsid w:val="00B3354B"/>
    <w:rsid w:val="00B37FBC"/>
    <w:rsid w:val="00B525B3"/>
    <w:rsid w:val="00B52BCB"/>
    <w:rsid w:val="00B538BF"/>
    <w:rsid w:val="00B53939"/>
    <w:rsid w:val="00B57F52"/>
    <w:rsid w:val="00B71EE6"/>
    <w:rsid w:val="00B726B4"/>
    <w:rsid w:val="00B7490A"/>
    <w:rsid w:val="00B85999"/>
    <w:rsid w:val="00B91897"/>
    <w:rsid w:val="00B92BAA"/>
    <w:rsid w:val="00B948CE"/>
    <w:rsid w:val="00B961B2"/>
    <w:rsid w:val="00BA17B7"/>
    <w:rsid w:val="00BA203C"/>
    <w:rsid w:val="00BA2215"/>
    <w:rsid w:val="00BA392A"/>
    <w:rsid w:val="00BA50A3"/>
    <w:rsid w:val="00BB0FFA"/>
    <w:rsid w:val="00BB5044"/>
    <w:rsid w:val="00BB6B73"/>
    <w:rsid w:val="00BC0C3C"/>
    <w:rsid w:val="00BD218F"/>
    <w:rsid w:val="00BD7448"/>
    <w:rsid w:val="00BE7616"/>
    <w:rsid w:val="00C00D3C"/>
    <w:rsid w:val="00C023C4"/>
    <w:rsid w:val="00C04CCE"/>
    <w:rsid w:val="00C11531"/>
    <w:rsid w:val="00C12BF8"/>
    <w:rsid w:val="00C12C69"/>
    <w:rsid w:val="00C16397"/>
    <w:rsid w:val="00C20410"/>
    <w:rsid w:val="00C365F3"/>
    <w:rsid w:val="00C44FD4"/>
    <w:rsid w:val="00C47246"/>
    <w:rsid w:val="00C74459"/>
    <w:rsid w:val="00C776DB"/>
    <w:rsid w:val="00C77D1C"/>
    <w:rsid w:val="00C836BA"/>
    <w:rsid w:val="00C86907"/>
    <w:rsid w:val="00CB0968"/>
    <w:rsid w:val="00CB77BD"/>
    <w:rsid w:val="00CC034E"/>
    <w:rsid w:val="00CD45D6"/>
    <w:rsid w:val="00CE7464"/>
    <w:rsid w:val="00CF1FC3"/>
    <w:rsid w:val="00CF36F6"/>
    <w:rsid w:val="00CF52F5"/>
    <w:rsid w:val="00CF630C"/>
    <w:rsid w:val="00D06643"/>
    <w:rsid w:val="00D06D92"/>
    <w:rsid w:val="00D0795C"/>
    <w:rsid w:val="00D1166B"/>
    <w:rsid w:val="00D160E9"/>
    <w:rsid w:val="00D22F4D"/>
    <w:rsid w:val="00D35013"/>
    <w:rsid w:val="00D45316"/>
    <w:rsid w:val="00D46D99"/>
    <w:rsid w:val="00D5719E"/>
    <w:rsid w:val="00D60FAC"/>
    <w:rsid w:val="00D62C6C"/>
    <w:rsid w:val="00D735A7"/>
    <w:rsid w:val="00D86718"/>
    <w:rsid w:val="00D92D8C"/>
    <w:rsid w:val="00D934FF"/>
    <w:rsid w:val="00D94377"/>
    <w:rsid w:val="00DA105B"/>
    <w:rsid w:val="00DA4BC3"/>
    <w:rsid w:val="00DB1118"/>
    <w:rsid w:val="00DB18E5"/>
    <w:rsid w:val="00DB1E4C"/>
    <w:rsid w:val="00DB75D6"/>
    <w:rsid w:val="00DC0644"/>
    <w:rsid w:val="00DC2492"/>
    <w:rsid w:val="00DC3D6F"/>
    <w:rsid w:val="00DC4F83"/>
    <w:rsid w:val="00DC5E46"/>
    <w:rsid w:val="00DC7554"/>
    <w:rsid w:val="00DD341F"/>
    <w:rsid w:val="00DD40ED"/>
    <w:rsid w:val="00DD6319"/>
    <w:rsid w:val="00DD6CF1"/>
    <w:rsid w:val="00DE03D2"/>
    <w:rsid w:val="00DE661B"/>
    <w:rsid w:val="00DE6D51"/>
    <w:rsid w:val="00E02B40"/>
    <w:rsid w:val="00E11069"/>
    <w:rsid w:val="00E15B56"/>
    <w:rsid w:val="00E2026D"/>
    <w:rsid w:val="00E21205"/>
    <w:rsid w:val="00E24839"/>
    <w:rsid w:val="00E4612B"/>
    <w:rsid w:val="00E50D30"/>
    <w:rsid w:val="00E52781"/>
    <w:rsid w:val="00E60EDC"/>
    <w:rsid w:val="00E62E4C"/>
    <w:rsid w:val="00E64F59"/>
    <w:rsid w:val="00E6658D"/>
    <w:rsid w:val="00E74D0A"/>
    <w:rsid w:val="00E87EFF"/>
    <w:rsid w:val="00E9000F"/>
    <w:rsid w:val="00E9322E"/>
    <w:rsid w:val="00E974BA"/>
    <w:rsid w:val="00E97BE6"/>
    <w:rsid w:val="00EA1995"/>
    <w:rsid w:val="00EB4E5E"/>
    <w:rsid w:val="00EC4054"/>
    <w:rsid w:val="00ED398C"/>
    <w:rsid w:val="00ED5004"/>
    <w:rsid w:val="00ED730A"/>
    <w:rsid w:val="00EE580C"/>
    <w:rsid w:val="00EF05D2"/>
    <w:rsid w:val="00EF1FB2"/>
    <w:rsid w:val="00F05EA7"/>
    <w:rsid w:val="00F065A0"/>
    <w:rsid w:val="00F069D4"/>
    <w:rsid w:val="00F175D5"/>
    <w:rsid w:val="00F21084"/>
    <w:rsid w:val="00F21DD1"/>
    <w:rsid w:val="00F30991"/>
    <w:rsid w:val="00F44795"/>
    <w:rsid w:val="00F50D2D"/>
    <w:rsid w:val="00F51164"/>
    <w:rsid w:val="00F52347"/>
    <w:rsid w:val="00F55F1C"/>
    <w:rsid w:val="00F56FC4"/>
    <w:rsid w:val="00F70319"/>
    <w:rsid w:val="00F70DF1"/>
    <w:rsid w:val="00F72331"/>
    <w:rsid w:val="00F72D1C"/>
    <w:rsid w:val="00F77606"/>
    <w:rsid w:val="00F9128E"/>
    <w:rsid w:val="00F97D3A"/>
    <w:rsid w:val="00FA254C"/>
    <w:rsid w:val="00FA3643"/>
    <w:rsid w:val="00FA5CD0"/>
    <w:rsid w:val="00FB5A55"/>
    <w:rsid w:val="00FC1F32"/>
    <w:rsid w:val="00FC7A5F"/>
    <w:rsid w:val="00FD0551"/>
    <w:rsid w:val="00FD107F"/>
    <w:rsid w:val="00FD6D21"/>
    <w:rsid w:val="00FF13E7"/>
    <w:rsid w:val="00FF2283"/>
    <w:rsid w:val="00FF4C3C"/>
    <w:rsid w:val="01FF2366"/>
    <w:rsid w:val="02720839"/>
    <w:rsid w:val="02B16311"/>
    <w:rsid w:val="02BD2C26"/>
    <w:rsid w:val="02C501B2"/>
    <w:rsid w:val="034D0485"/>
    <w:rsid w:val="03880939"/>
    <w:rsid w:val="03A241C9"/>
    <w:rsid w:val="0408775A"/>
    <w:rsid w:val="054E27FA"/>
    <w:rsid w:val="05F55414"/>
    <w:rsid w:val="07056611"/>
    <w:rsid w:val="08F1563F"/>
    <w:rsid w:val="0A413FA4"/>
    <w:rsid w:val="0A90012D"/>
    <w:rsid w:val="0B855115"/>
    <w:rsid w:val="0BD40F69"/>
    <w:rsid w:val="0C8E6B89"/>
    <w:rsid w:val="0E36656F"/>
    <w:rsid w:val="0E987FB3"/>
    <w:rsid w:val="0FF743C4"/>
    <w:rsid w:val="11997D58"/>
    <w:rsid w:val="11DC19C3"/>
    <w:rsid w:val="13D36B4D"/>
    <w:rsid w:val="1486576E"/>
    <w:rsid w:val="15AA0F54"/>
    <w:rsid w:val="15EB0834"/>
    <w:rsid w:val="16040CAD"/>
    <w:rsid w:val="1811285F"/>
    <w:rsid w:val="191A7CB6"/>
    <w:rsid w:val="19453EDB"/>
    <w:rsid w:val="19BC0A7B"/>
    <w:rsid w:val="1ABC0FC6"/>
    <w:rsid w:val="1C9E76A5"/>
    <w:rsid w:val="1D620BA0"/>
    <w:rsid w:val="1D6261D0"/>
    <w:rsid w:val="21463165"/>
    <w:rsid w:val="24635C52"/>
    <w:rsid w:val="27EA09D3"/>
    <w:rsid w:val="27FF6AC7"/>
    <w:rsid w:val="28470706"/>
    <w:rsid w:val="2A2C6AAC"/>
    <w:rsid w:val="2A846B58"/>
    <w:rsid w:val="2B920D55"/>
    <w:rsid w:val="2C872AE5"/>
    <w:rsid w:val="2EA414CB"/>
    <w:rsid w:val="2EE30245"/>
    <w:rsid w:val="30936935"/>
    <w:rsid w:val="319C3567"/>
    <w:rsid w:val="319F68C2"/>
    <w:rsid w:val="31E265E9"/>
    <w:rsid w:val="32EB1476"/>
    <w:rsid w:val="337E5A61"/>
    <w:rsid w:val="34E74CEA"/>
    <w:rsid w:val="358A766C"/>
    <w:rsid w:val="35900570"/>
    <w:rsid w:val="35E13004"/>
    <w:rsid w:val="36323E84"/>
    <w:rsid w:val="365337CF"/>
    <w:rsid w:val="369960B5"/>
    <w:rsid w:val="38A22607"/>
    <w:rsid w:val="395A76E6"/>
    <w:rsid w:val="3A695D27"/>
    <w:rsid w:val="3D5D4D3B"/>
    <w:rsid w:val="3E661EED"/>
    <w:rsid w:val="3FC80830"/>
    <w:rsid w:val="405344B3"/>
    <w:rsid w:val="40674EB6"/>
    <w:rsid w:val="40E85247"/>
    <w:rsid w:val="434A2E1C"/>
    <w:rsid w:val="44A9641B"/>
    <w:rsid w:val="45FE550D"/>
    <w:rsid w:val="46C11EA8"/>
    <w:rsid w:val="4722229F"/>
    <w:rsid w:val="473257E5"/>
    <w:rsid w:val="473D5CAD"/>
    <w:rsid w:val="47443427"/>
    <w:rsid w:val="479600C4"/>
    <w:rsid w:val="48662CAB"/>
    <w:rsid w:val="48CB3C89"/>
    <w:rsid w:val="49043898"/>
    <w:rsid w:val="49653F8A"/>
    <w:rsid w:val="4A7E7809"/>
    <w:rsid w:val="4B2934C1"/>
    <w:rsid w:val="4B2A1C61"/>
    <w:rsid w:val="4D401662"/>
    <w:rsid w:val="4D910B7E"/>
    <w:rsid w:val="4EAB2E20"/>
    <w:rsid w:val="4EFB61E1"/>
    <w:rsid w:val="4F894A27"/>
    <w:rsid w:val="500A7A3B"/>
    <w:rsid w:val="51415488"/>
    <w:rsid w:val="52391DA6"/>
    <w:rsid w:val="529E1F0D"/>
    <w:rsid w:val="534570F0"/>
    <w:rsid w:val="5485656A"/>
    <w:rsid w:val="56236027"/>
    <w:rsid w:val="572E1597"/>
    <w:rsid w:val="57971C04"/>
    <w:rsid w:val="594220AE"/>
    <w:rsid w:val="5AD276B0"/>
    <w:rsid w:val="5BE736F1"/>
    <w:rsid w:val="5C4727FD"/>
    <w:rsid w:val="5CAB5591"/>
    <w:rsid w:val="5D25156E"/>
    <w:rsid w:val="5D4F6922"/>
    <w:rsid w:val="5DE6331F"/>
    <w:rsid w:val="5E5023B7"/>
    <w:rsid w:val="609B00D0"/>
    <w:rsid w:val="61E443CA"/>
    <w:rsid w:val="61E661C0"/>
    <w:rsid w:val="61F03674"/>
    <w:rsid w:val="62647335"/>
    <w:rsid w:val="62853F5C"/>
    <w:rsid w:val="62B27774"/>
    <w:rsid w:val="63BF3A46"/>
    <w:rsid w:val="645F71E6"/>
    <w:rsid w:val="64A47615"/>
    <w:rsid w:val="64E46F3F"/>
    <w:rsid w:val="655D0DB5"/>
    <w:rsid w:val="661A54A1"/>
    <w:rsid w:val="66265140"/>
    <w:rsid w:val="66B57547"/>
    <w:rsid w:val="66CB4561"/>
    <w:rsid w:val="66E01703"/>
    <w:rsid w:val="670B4E2F"/>
    <w:rsid w:val="68451CF9"/>
    <w:rsid w:val="6BFE25C4"/>
    <w:rsid w:val="6D8B4CCE"/>
    <w:rsid w:val="6D9C3684"/>
    <w:rsid w:val="6F613D73"/>
    <w:rsid w:val="6FA519E2"/>
    <w:rsid w:val="6FFB6486"/>
    <w:rsid w:val="70DD0A8F"/>
    <w:rsid w:val="712242FB"/>
    <w:rsid w:val="72F60F1E"/>
    <w:rsid w:val="741D42D5"/>
    <w:rsid w:val="76A2279B"/>
    <w:rsid w:val="76AF683D"/>
    <w:rsid w:val="797804D9"/>
    <w:rsid w:val="7A942E7E"/>
    <w:rsid w:val="7C9B4CD8"/>
    <w:rsid w:val="7D4B6403"/>
    <w:rsid w:val="7F2D7B49"/>
    <w:rsid w:val="7F61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3"/>
    <w:unhideWhenUsed/>
    <w:qFormat/>
    <w:uiPriority w:val="99"/>
    <w:pPr>
      <w:jc w:val="left"/>
    </w:pPr>
  </w:style>
  <w:style w:type="paragraph" w:styleId="5">
    <w:name w:val="Body Text"/>
    <w:basedOn w:val="1"/>
    <w:qFormat/>
    <w:uiPriority w:val="0"/>
    <w:pPr>
      <w:spacing w:before="180" w:after="18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Cs w:val="24"/>
    </w:rPr>
  </w:style>
  <w:style w:type="paragraph" w:styleId="10">
    <w:name w:val="annotation subject"/>
    <w:basedOn w:val="4"/>
    <w:next w:val="4"/>
    <w:link w:val="24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6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7">
    <w:name w:val="批注框文本 字符"/>
    <w:basedOn w:val="13"/>
    <w:link w:val="6"/>
    <w:semiHidden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8">
    <w:name w:val="页眉 字符"/>
    <w:basedOn w:val="13"/>
    <w:link w:val="8"/>
    <w:qFormat/>
    <w:uiPriority w:val="99"/>
    <w:rPr>
      <w:rFonts w:ascii="Times New Roman" w:hAnsi="Times New Roman" w:eastAsia="宋体"/>
      <w:sz w:val="18"/>
      <w:szCs w:val="18"/>
    </w:rPr>
  </w:style>
  <w:style w:type="character" w:customStyle="1" w:styleId="19">
    <w:name w:val="页脚 字符"/>
    <w:basedOn w:val="13"/>
    <w:link w:val="7"/>
    <w:qFormat/>
    <w:uiPriority w:val="99"/>
    <w:rPr>
      <w:rFonts w:ascii="Times New Roman" w:hAnsi="Times New Roman" w:eastAsia="宋体"/>
      <w:sz w:val="18"/>
      <w:szCs w:val="18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/>
      <w:sz w:val="21"/>
    </w:rPr>
  </w:style>
  <w:style w:type="character" w:customStyle="1" w:styleId="21">
    <w:name w:val="insert-data"/>
    <w:basedOn w:val="13"/>
    <w:autoRedefine/>
    <w:qFormat/>
    <w:uiPriority w:val="0"/>
  </w:style>
  <w:style w:type="paragraph" w:styleId="22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3">
    <w:name w:val="批注文字 字符"/>
    <w:basedOn w:val="13"/>
    <w:link w:val="4"/>
    <w:qFormat/>
    <w:uiPriority w:val="99"/>
    <w:rPr>
      <w:rFonts w:cstheme="minorBidi"/>
      <w:kern w:val="2"/>
      <w:sz w:val="24"/>
      <w:szCs w:val="22"/>
    </w:rPr>
  </w:style>
  <w:style w:type="character" w:customStyle="1" w:styleId="24">
    <w:name w:val="批注主题 字符"/>
    <w:basedOn w:val="23"/>
    <w:link w:val="10"/>
    <w:semiHidden/>
    <w:qFormat/>
    <w:uiPriority w:val="99"/>
    <w:rPr>
      <w:rFonts w:cstheme="minorBidi"/>
      <w:b/>
      <w:bCs/>
      <w:kern w:val="2"/>
      <w:sz w:val="24"/>
      <w:szCs w:val="22"/>
    </w:rPr>
  </w:style>
  <w:style w:type="paragraph" w:customStyle="1" w:styleId="25">
    <w:name w:val="Revision"/>
    <w:hidden/>
    <w:unhideWhenUsed/>
    <w:qFormat/>
    <w:uiPriority w:val="99"/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8F1C5-AB99-425B-B93F-1E784BE9B77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3</Pages>
  <Words>1616</Words>
  <Characters>1683</Characters>
  <Lines>12</Lines>
  <Paragraphs>3</Paragraphs>
  <TotalTime>2</TotalTime>
  <ScaleCrop>false</ScaleCrop>
  <LinksUpToDate>false</LinksUpToDate>
  <CharactersWithSpaces>1739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2026-03-02T10:19:00Z</dcterms:created>
  <dc:creator>荣大-李雷</dc:creator>
  <cp:lastModifiedBy>小美</cp:lastModifiedBy>
  <cp:lastPrinted>2026-09-30T02:17:00Z</cp:lastPrinted>
  <dcterms:modified xsi:type="dcterms:W3CDTF">2026-10-10T02:08:32Z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9DB4B629B30243689809E44A102C95BE_13</vt:lpwstr>
  </property>
  <property fmtid="{D5CDD505-2E9C-101B-9397-08002B2CF9AE}" pid="4" name="KSOTemplateDocerSaveRecord">
    <vt:lpwstr>eyJoZGlkIjoiNGEwZTY3MmRhYTQ3OGRlY2ZmODg3ODVlNWNhYzdjOGIiLCJ1c2VySWQiOiIzMDMwODU3MjkifQ==</vt:lpwstr>
  </property>
</Properties>
</file>