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7DBC8">
      <w:pPr>
        <w:ind w:firstLine="0" w:firstLineChars="0"/>
        <w:rPr>
          <w:b/>
        </w:rPr>
      </w:pPr>
      <w:r>
        <w:t>证券代码：</w:t>
      </w:r>
      <w:r>
        <w:rPr>
          <w:rFonts w:hint="eastAsia"/>
        </w:rPr>
        <w:t xml:space="preserve">688775                                   </w:t>
      </w:r>
      <w:r>
        <w:t>证券简称：</w:t>
      </w:r>
      <w:r>
        <w:rPr>
          <w:rFonts w:hint="eastAsia"/>
        </w:rPr>
        <w:t>影石创新</w:t>
      </w:r>
    </w:p>
    <w:p w14:paraId="106DF7B8"/>
    <w:p w14:paraId="1F3F44C0">
      <w:pPr>
        <w:ind w:firstLine="571"/>
        <w:jc w:val="center"/>
        <w:rPr>
          <w:b/>
          <w:bCs/>
          <w:sz w:val="28"/>
          <w:szCs w:val="28"/>
        </w:rPr>
      </w:pPr>
      <w:r>
        <w:rPr>
          <w:rFonts w:hint="eastAsia"/>
          <w:b/>
          <w:bCs/>
          <w:sz w:val="28"/>
          <w:szCs w:val="28"/>
        </w:rPr>
        <w:t>影石创新科技股份有限公司</w:t>
      </w:r>
    </w:p>
    <w:p w14:paraId="3FB0BD0D">
      <w:pPr>
        <w:ind w:firstLine="571"/>
        <w:jc w:val="center"/>
        <w:rPr>
          <w:b/>
          <w:bCs/>
          <w:sz w:val="28"/>
          <w:szCs w:val="28"/>
        </w:rPr>
      </w:pPr>
      <w:r>
        <w:rPr>
          <w:rFonts w:hint="eastAsia"/>
          <w:b/>
          <w:bCs/>
          <w:sz w:val="28"/>
          <w:szCs w:val="28"/>
        </w:rPr>
        <w:t>投资者关系活动记录表</w:t>
      </w:r>
    </w:p>
    <w:p w14:paraId="66607D5D">
      <w:pPr>
        <w:jc w:val="right"/>
        <w:rPr>
          <w:rFonts w:hint="eastAsia" w:eastAsia="宋体"/>
          <w:highlight w:val="yellow"/>
          <w:lang w:eastAsia="zh-CN"/>
        </w:rPr>
      </w:pPr>
      <w:r>
        <w:rPr>
          <w:rFonts w:hint="eastAsia"/>
        </w:rPr>
        <w:t>编号：</w:t>
      </w:r>
      <w:r>
        <w:rPr>
          <w:rFonts w:hint="eastAsia"/>
          <w:highlight w:val="none"/>
        </w:rPr>
        <w:t>202</w:t>
      </w:r>
      <w:r>
        <w:rPr>
          <w:highlight w:val="none"/>
        </w:rPr>
        <w:t>6</w:t>
      </w:r>
      <w:r>
        <w:rPr>
          <w:rFonts w:hint="eastAsia"/>
          <w:highlight w:val="none"/>
        </w:rPr>
        <w:t>-00</w:t>
      </w:r>
      <w:r>
        <w:rPr>
          <w:rFonts w:hint="eastAsia"/>
          <w:highlight w:val="none"/>
          <w:lang w:val="en-US" w:eastAsia="zh-CN"/>
        </w:rPr>
        <w:t>5</w:t>
      </w:r>
    </w:p>
    <w:tbl>
      <w:tblPr>
        <w:tblStyle w:val="12"/>
        <w:tblW w:w="9288" w:type="dxa"/>
        <w:tblInd w:w="-1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8"/>
        <w:gridCol w:w="7370"/>
      </w:tblGrid>
      <w:tr w14:paraId="6627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8" w:type="dxa"/>
            <w:tcBorders>
              <w:top w:val="single" w:color="auto" w:sz="4" w:space="0"/>
              <w:left w:val="single" w:color="auto" w:sz="4" w:space="0"/>
              <w:bottom w:val="single" w:color="auto" w:sz="4" w:space="0"/>
              <w:right w:val="single" w:color="auto" w:sz="4" w:space="0"/>
            </w:tcBorders>
            <w:vAlign w:val="center"/>
          </w:tcPr>
          <w:p w14:paraId="44BD926E">
            <w:pPr>
              <w:ind w:firstLine="0" w:firstLineChars="0"/>
              <w:jc w:val="center"/>
            </w:pPr>
            <w:r>
              <w:rPr>
                <w:rFonts w:hint="eastAsia"/>
              </w:rPr>
              <w:t>投资者关系</w:t>
            </w:r>
          </w:p>
          <w:p w14:paraId="76A00B46">
            <w:pPr>
              <w:ind w:firstLine="0" w:firstLineChars="0"/>
              <w:jc w:val="center"/>
            </w:pPr>
            <w:r>
              <w:rPr>
                <w:rFonts w:hint="eastAsia"/>
              </w:rPr>
              <w:t>活动类别</w:t>
            </w:r>
          </w:p>
          <w:p w14:paraId="064478D0"/>
        </w:tc>
        <w:tc>
          <w:tcPr>
            <w:tcW w:w="7370" w:type="dxa"/>
            <w:tcBorders>
              <w:top w:val="single" w:color="auto" w:sz="4" w:space="0"/>
              <w:left w:val="single" w:color="auto" w:sz="4" w:space="0"/>
              <w:bottom w:val="single" w:color="auto" w:sz="4" w:space="0"/>
              <w:right w:val="single" w:color="auto" w:sz="4" w:space="0"/>
            </w:tcBorders>
            <w:vAlign w:val="center"/>
          </w:tcPr>
          <w:p w14:paraId="4A6DA7D9">
            <w:pPr>
              <w:ind w:firstLine="0" w:firstLineChars="0"/>
            </w:pPr>
            <w:r>
              <w:rPr>
                <w:rFonts w:hint="eastAsia"/>
              </w:rPr>
              <w:sym w:font="Wingdings 2" w:char="0052"/>
            </w:r>
            <w:r>
              <w:rPr>
                <w:rFonts w:hint="eastAsia"/>
              </w:rPr>
              <w:t xml:space="preserve">特定对象调研        </w:t>
            </w:r>
            <w:r>
              <w:rPr>
                <w:rFonts w:hint="eastAsia"/>
              </w:rPr>
              <w:sym w:font="Wingdings 2" w:char="00A3"/>
            </w:r>
            <w:r>
              <w:rPr>
                <w:rFonts w:hint="eastAsia"/>
              </w:rPr>
              <w:t>分析师会议</w:t>
            </w:r>
          </w:p>
          <w:p w14:paraId="63F865B4">
            <w:pPr>
              <w:ind w:firstLine="0" w:firstLineChars="0"/>
            </w:pPr>
            <w:r>
              <w:rPr>
                <w:rFonts w:hint="eastAsia"/>
              </w:rPr>
              <w:sym w:font="Wingdings 2" w:char="00A3"/>
            </w:r>
            <w:r>
              <w:rPr>
                <w:rFonts w:hint="eastAsia"/>
              </w:rPr>
              <w:t xml:space="preserve">媒体采访            </w:t>
            </w:r>
            <w:r>
              <w:rPr>
                <w:rFonts w:hint="eastAsia"/>
              </w:rPr>
              <w:sym w:font="Wingdings 2" w:char="00A3"/>
            </w:r>
            <w:r>
              <w:rPr>
                <w:rFonts w:hint="eastAsia"/>
              </w:rPr>
              <w:t>业绩说明会</w:t>
            </w:r>
          </w:p>
          <w:p w14:paraId="5C4D7798">
            <w:pPr>
              <w:ind w:firstLine="0" w:firstLineChars="0"/>
            </w:pPr>
            <w:r>
              <w:rPr>
                <w:rFonts w:hint="eastAsia"/>
              </w:rPr>
              <w:sym w:font="Wingdings 2" w:char="00A3"/>
            </w:r>
            <w:r>
              <w:rPr>
                <w:rFonts w:hint="eastAsia"/>
              </w:rPr>
              <w:t xml:space="preserve">新闻发布会          </w:t>
            </w:r>
            <w:r>
              <w:rPr>
                <w:rFonts w:hint="eastAsia"/>
              </w:rPr>
              <w:sym w:font="Wingdings 2" w:char="00A3"/>
            </w:r>
            <w:r>
              <w:rPr>
                <w:rFonts w:hint="eastAsia"/>
              </w:rPr>
              <w:t>路演活动</w:t>
            </w:r>
          </w:p>
          <w:p w14:paraId="764755E1">
            <w:pPr>
              <w:ind w:firstLine="0" w:firstLineChars="0"/>
            </w:pPr>
            <w:r>
              <w:rPr>
                <w:rFonts w:hint="eastAsia"/>
              </w:rPr>
              <w:sym w:font="Wingdings 2" w:char="00A3"/>
            </w:r>
            <w:r>
              <w:rPr>
                <w:rFonts w:hint="eastAsia"/>
              </w:rPr>
              <w:t>现场参观</w:t>
            </w:r>
          </w:p>
          <w:p w14:paraId="3D956938">
            <w:pPr>
              <w:ind w:firstLine="0" w:firstLineChars="0"/>
              <w:rPr>
                <w:rFonts w:hint="default" w:eastAsia="宋体"/>
                <w:lang w:val="en-US" w:eastAsia="zh-CN"/>
              </w:rPr>
            </w:pPr>
            <w:r>
              <w:rPr>
                <w:rFonts w:hint="eastAsia"/>
              </w:rPr>
              <w:sym w:font="Wingdings 2" w:char="0052"/>
            </w:r>
            <w:r>
              <w:rPr>
                <w:rFonts w:hint="eastAsia"/>
              </w:rPr>
              <w:t xml:space="preserve">其他 </w:t>
            </w:r>
            <w:r>
              <w:rPr>
                <w:rFonts w:hint="eastAsia"/>
                <w:lang w:val="en-US" w:eastAsia="zh-CN"/>
              </w:rPr>
              <w:t>券商策略会</w:t>
            </w:r>
          </w:p>
        </w:tc>
      </w:tr>
      <w:tr w14:paraId="71A65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8" w:type="dxa"/>
            <w:tcBorders>
              <w:top w:val="single" w:color="auto" w:sz="4" w:space="0"/>
              <w:left w:val="single" w:color="auto" w:sz="4" w:space="0"/>
              <w:bottom w:val="single" w:color="auto" w:sz="4" w:space="0"/>
              <w:right w:val="single" w:color="auto" w:sz="4" w:space="0"/>
            </w:tcBorders>
            <w:vAlign w:val="center"/>
          </w:tcPr>
          <w:p w14:paraId="0CE22A4E">
            <w:pPr>
              <w:ind w:firstLine="0" w:firstLineChars="0"/>
              <w:jc w:val="distribute"/>
            </w:pPr>
            <w:r>
              <w:rPr>
                <w:rFonts w:hint="eastAsia"/>
              </w:rPr>
              <w:t>参与单位名称</w:t>
            </w:r>
          </w:p>
        </w:tc>
        <w:tc>
          <w:tcPr>
            <w:tcW w:w="7370" w:type="dxa"/>
            <w:tcBorders>
              <w:top w:val="single" w:color="auto" w:sz="4" w:space="0"/>
              <w:left w:val="single" w:color="auto" w:sz="4" w:space="0"/>
              <w:bottom w:val="single" w:color="auto" w:sz="4" w:space="0"/>
              <w:right w:val="single" w:color="auto" w:sz="4" w:space="0"/>
            </w:tcBorders>
            <w:vAlign w:val="center"/>
          </w:tcPr>
          <w:p w14:paraId="57EF79CE">
            <w:pPr>
              <w:keepNext w:val="0"/>
              <w:keepLines w:val="0"/>
              <w:widowControl/>
              <w:suppressLineNumbers w:val="0"/>
              <w:ind w:left="0" w:leftChars="0" w:firstLine="0" w:firstLineChars="0"/>
              <w:jc w:val="both"/>
              <w:rPr>
                <w:rFonts w:hint="default" w:eastAsia="宋体"/>
                <w:lang w:val="en-US" w:eastAsia="zh-CN"/>
              </w:rPr>
            </w:pPr>
            <w:r>
              <w:rPr>
                <w:rFonts w:hint="eastAsia"/>
                <w:sz w:val="24"/>
                <w:szCs w:val="24"/>
                <w:lang w:val="en-US" w:eastAsia="zh-CN"/>
              </w:rPr>
              <w:t>银河证券、国联民生证券、中金公司、永赢基金、信达澳亚基金、平安基金、鹏华基金、中信证券（资管）、国联安基金、万家基金、诺德基金、富国基金、平安养老</w:t>
            </w:r>
            <w:r>
              <w:rPr>
                <w:rFonts w:hint="eastAsia"/>
                <w:b w:val="0"/>
                <w:bCs w:val="0"/>
                <w:sz w:val="24"/>
                <w:szCs w:val="24"/>
                <w:lang w:val="en-US" w:eastAsia="zh-CN"/>
              </w:rPr>
              <w:t>、招商基金、万</w:t>
            </w:r>
            <w:r>
              <w:rPr>
                <w:rFonts w:hint="default" w:ascii="Arial" w:hAnsi="Arial" w:eastAsia="宋体" w:cs="Arial"/>
                <w:b w:val="0"/>
                <w:bCs w:val="0"/>
                <w:i w:val="0"/>
                <w:iCs w:val="0"/>
                <w:caps w:val="0"/>
                <w:color w:val="1F2329"/>
                <w:spacing w:val="0"/>
                <w:kern w:val="0"/>
                <w:sz w:val="24"/>
                <w:szCs w:val="24"/>
                <w:shd w:val="clear" w:fill="FFFFFF"/>
                <w:lang w:val="en-US" w:eastAsia="zh-CN" w:bidi="ar"/>
              </w:rPr>
              <w:t>利富达投资管理</w:t>
            </w:r>
            <w:r>
              <w:rPr>
                <w:rFonts w:hint="eastAsia" w:ascii="Arial" w:hAnsi="Arial" w:cs="Arial"/>
                <w:b w:val="0"/>
                <w:bCs w:val="0"/>
                <w:i w:val="0"/>
                <w:iCs w:val="0"/>
                <w:caps w:val="0"/>
                <w:color w:val="1F2329"/>
                <w:spacing w:val="0"/>
                <w:kern w:val="0"/>
                <w:sz w:val="24"/>
                <w:szCs w:val="24"/>
                <w:shd w:val="clear" w:fill="FFFFFF"/>
                <w:lang w:val="en-US" w:eastAsia="zh-CN" w:bidi="ar"/>
              </w:rPr>
              <w:t>、融通基金、世诚投资、奇盛基金、兴证全球基金、淡水泉、中金资管、国信证券自营、</w:t>
            </w:r>
            <w:r>
              <w:rPr>
                <w:rFonts w:hint="default" w:ascii="Times New Roman" w:hAnsi="Times New Roman" w:eastAsia="宋体" w:cs="Times New Roman"/>
                <w:kern w:val="0"/>
                <w:sz w:val="24"/>
                <w:szCs w:val="24"/>
                <w:lang w:val="en-US" w:eastAsia="zh-CN" w:bidi="ar"/>
              </w:rPr>
              <w:t>UBS Global Asset Mgmt、Dymon Asia、Hao Capital、Hillhouse Capital、Aberdeen Asset Management、ACG Mgm、Allianz Global Investors Asia Pacific Ltd、Mirae Asset Global Invs (HK) Ltd、Point72、Monolith Management Limited、Pinpoint Asset Management、Springs Capital、Gladwealth Investment Group、Polymer Capital Management、Boyu Capital、Oman Investment Authority、Inforesight Investment</w:t>
            </w:r>
          </w:p>
        </w:tc>
      </w:tr>
      <w:tr w14:paraId="3A80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8" w:type="dxa"/>
            <w:tcBorders>
              <w:top w:val="single" w:color="auto" w:sz="4" w:space="0"/>
              <w:left w:val="single" w:color="auto" w:sz="4" w:space="0"/>
              <w:bottom w:val="single" w:color="auto" w:sz="4" w:space="0"/>
              <w:right w:val="single" w:color="auto" w:sz="4" w:space="0"/>
            </w:tcBorders>
            <w:vAlign w:val="center"/>
          </w:tcPr>
          <w:p w14:paraId="41D21D2E">
            <w:r>
              <w:rPr>
                <w:rFonts w:hint="eastAsia"/>
              </w:rPr>
              <w:t>时间</w:t>
            </w:r>
          </w:p>
        </w:tc>
        <w:tc>
          <w:tcPr>
            <w:tcW w:w="7370" w:type="dxa"/>
            <w:tcBorders>
              <w:top w:val="single" w:color="auto" w:sz="4" w:space="0"/>
              <w:left w:val="single" w:color="auto" w:sz="4" w:space="0"/>
              <w:bottom w:val="single" w:color="auto" w:sz="4" w:space="0"/>
              <w:right w:val="single" w:color="auto" w:sz="4" w:space="0"/>
            </w:tcBorders>
            <w:vAlign w:val="center"/>
          </w:tcPr>
          <w:p w14:paraId="57AAB123">
            <w:pPr>
              <w:ind w:firstLine="0" w:firstLineChars="0"/>
              <w:rPr>
                <w:rFonts w:hint="default" w:eastAsia="宋体"/>
                <w:lang w:val="en-US" w:eastAsia="zh-CN"/>
              </w:rPr>
            </w:pPr>
            <w:r>
              <w:rPr>
                <w:rFonts w:hint="eastAsia"/>
                <w:highlight w:val="none"/>
              </w:rPr>
              <w:t>2026年</w:t>
            </w:r>
            <w:r>
              <w:rPr>
                <w:rFonts w:hint="eastAsia"/>
                <w:highlight w:val="none"/>
                <w:lang w:val="en-US" w:eastAsia="zh-CN"/>
              </w:rPr>
              <w:t>9</w:t>
            </w:r>
            <w:r>
              <w:rPr>
                <w:rFonts w:hint="eastAsia"/>
                <w:highlight w:val="none"/>
              </w:rPr>
              <w:t>月</w:t>
            </w:r>
            <w:r>
              <w:rPr>
                <w:rFonts w:hint="eastAsia"/>
                <w:highlight w:val="none"/>
                <w:lang w:val="en-US" w:eastAsia="zh-CN"/>
              </w:rPr>
              <w:t>7</w:t>
            </w:r>
            <w:r>
              <w:rPr>
                <w:rFonts w:hint="eastAsia"/>
                <w:highlight w:val="none"/>
              </w:rPr>
              <w:t>日</w:t>
            </w:r>
            <w:r>
              <w:rPr>
                <w:rFonts w:hint="eastAsia"/>
                <w:highlight w:val="none"/>
                <w:lang w:val="en-US" w:eastAsia="zh-CN"/>
              </w:rPr>
              <w:t>-2026年10月13日</w:t>
            </w:r>
          </w:p>
        </w:tc>
      </w:tr>
      <w:tr w14:paraId="1ECC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8" w:type="dxa"/>
            <w:tcBorders>
              <w:top w:val="single" w:color="auto" w:sz="4" w:space="0"/>
              <w:left w:val="single" w:color="auto" w:sz="4" w:space="0"/>
              <w:bottom w:val="single" w:color="auto" w:sz="4" w:space="0"/>
              <w:right w:val="single" w:color="auto" w:sz="4" w:space="0"/>
            </w:tcBorders>
            <w:vAlign w:val="center"/>
          </w:tcPr>
          <w:p w14:paraId="381AEB05">
            <w:r>
              <w:rPr>
                <w:rFonts w:hint="eastAsia"/>
              </w:rPr>
              <w:t>地点</w:t>
            </w:r>
          </w:p>
        </w:tc>
        <w:tc>
          <w:tcPr>
            <w:tcW w:w="7370" w:type="dxa"/>
            <w:tcBorders>
              <w:top w:val="single" w:color="auto" w:sz="4" w:space="0"/>
              <w:left w:val="single" w:color="auto" w:sz="4" w:space="0"/>
              <w:bottom w:val="single" w:color="auto" w:sz="4" w:space="0"/>
              <w:right w:val="single" w:color="auto" w:sz="4" w:space="0"/>
            </w:tcBorders>
            <w:vAlign w:val="center"/>
          </w:tcPr>
          <w:p w14:paraId="67E46656">
            <w:pPr>
              <w:ind w:firstLine="0" w:firstLineChars="0"/>
            </w:pPr>
            <w:r>
              <w:rPr>
                <w:rFonts w:ascii="宋体" w:hAnsi="宋体" w:eastAsia="宋体" w:cs="宋体"/>
                <w:sz w:val="24"/>
                <w:szCs w:val="24"/>
              </w:rPr>
              <w:t>线下交流、券商策略会会场</w:t>
            </w:r>
          </w:p>
        </w:tc>
      </w:tr>
      <w:tr w14:paraId="69A6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918" w:type="dxa"/>
            <w:tcBorders>
              <w:top w:val="single" w:color="auto" w:sz="4" w:space="0"/>
              <w:left w:val="single" w:color="auto" w:sz="4" w:space="0"/>
              <w:bottom w:val="single" w:color="auto" w:sz="4" w:space="0"/>
              <w:right w:val="single" w:color="auto" w:sz="4" w:space="0"/>
            </w:tcBorders>
            <w:vAlign w:val="center"/>
          </w:tcPr>
          <w:p w14:paraId="08385B26">
            <w:pPr>
              <w:ind w:firstLine="0" w:firstLineChars="0"/>
              <w:jc w:val="center"/>
            </w:pPr>
            <w:r>
              <w:rPr>
                <w:rFonts w:hint="eastAsia"/>
              </w:rPr>
              <w:t>上市公司接待人员姓名</w:t>
            </w:r>
          </w:p>
        </w:tc>
        <w:tc>
          <w:tcPr>
            <w:tcW w:w="7370" w:type="dxa"/>
            <w:tcBorders>
              <w:top w:val="single" w:color="auto" w:sz="4" w:space="0"/>
              <w:left w:val="single" w:color="auto" w:sz="4" w:space="0"/>
              <w:bottom w:val="single" w:color="auto" w:sz="4" w:space="0"/>
              <w:right w:val="single" w:color="auto" w:sz="4" w:space="0"/>
            </w:tcBorders>
            <w:vAlign w:val="center"/>
          </w:tcPr>
          <w:p w14:paraId="748DEEAD">
            <w:pPr>
              <w:ind w:firstLine="0" w:firstLineChars="0"/>
              <w:rPr>
                <w:rFonts w:hint="default" w:eastAsia="宋体"/>
                <w:lang w:val="en-US" w:eastAsia="zh-CN" w:bidi="ar"/>
              </w:rPr>
            </w:pPr>
            <w:r>
              <w:rPr>
                <w:rFonts w:hint="default" w:eastAsia="宋体"/>
                <w:lang w:val="en-US" w:eastAsia="zh-CN" w:bidi="ar"/>
              </w:rPr>
              <w:t xml:space="preserve">董事会秘书 厉扬 </w:t>
            </w:r>
          </w:p>
          <w:p w14:paraId="4B99457E">
            <w:pPr>
              <w:ind w:firstLine="0" w:firstLineChars="0"/>
              <w:rPr>
                <w:rFonts w:hint="default"/>
                <w:lang w:val="en-US" w:bidi="ar"/>
              </w:rPr>
            </w:pPr>
            <w:r>
              <w:rPr>
                <w:rFonts w:hint="eastAsia"/>
                <w:lang w:val="en-US" w:eastAsia="zh-CN" w:bidi="ar"/>
              </w:rPr>
              <w:t>IR</w:t>
            </w:r>
            <w:r>
              <w:rPr>
                <w:rFonts w:hint="default" w:eastAsia="宋体"/>
                <w:lang w:val="en-US" w:eastAsia="zh-CN" w:bidi="ar"/>
              </w:rPr>
              <w:t xml:space="preserve"> </w:t>
            </w:r>
            <w:r>
              <w:rPr>
                <w:rFonts w:hint="eastAsia"/>
                <w:lang w:val="en-US" w:eastAsia="zh-CN" w:bidi="ar"/>
              </w:rPr>
              <w:t>沈锦婷</w:t>
            </w:r>
          </w:p>
        </w:tc>
      </w:tr>
      <w:tr w14:paraId="161C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8" w:type="dxa"/>
            <w:tcBorders>
              <w:top w:val="single" w:color="auto" w:sz="4" w:space="0"/>
              <w:left w:val="single" w:color="auto" w:sz="4" w:space="0"/>
              <w:bottom w:val="single" w:color="auto" w:sz="4" w:space="0"/>
              <w:right w:val="single" w:color="auto" w:sz="4" w:space="0"/>
            </w:tcBorders>
            <w:vAlign w:val="center"/>
          </w:tcPr>
          <w:p w14:paraId="30339652">
            <w:pPr>
              <w:ind w:firstLine="0" w:firstLineChars="0"/>
            </w:pPr>
            <w:r>
              <w:rPr>
                <w:rFonts w:hint="eastAsia"/>
              </w:rPr>
              <w:t>投资者关系活动主要内容介绍</w:t>
            </w:r>
          </w:p>
          <w:p w14:paraId="793D64DE"/>
        </w:tc>
        <w:tc>
          <w:tcPr>
            <w:tcW w:w="7370" w:type="dxa"/>
            <w:tcBorders>
              <w:top w:val="single" w:color="auto" w:sz="4" w:space="0"/>
              <w:left w:val="single" w:color="auto" w:sz="4" w:space="0"/>
              <w:bottom w:val="single" w:color="auto" w:sz="4" w:space="0"/>
              <w:right w:val="single" w:color="auto" w:sz="4" w:space="0"/>
            </w:tcBorders>
            <w:vAlign w:val="center"/>
          </w:tcPr>
          <w:p w14:paraId="43FEAC44">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1：</w:t>
            </w:r>
            <w:r>
              <w:rPr>
                <w:rFonts w:hint="eastAsia"/>
                <w:b/>
                <w:lang w:bidi="ar"/>
              </w:rPr>
              <w:t>原材料尤其是芯片涨价，给公司成本带来挑战。今年公司做了近20亿元存储芯片战略备货，请问下公司备货的目的及对后续经营有什么作用？</w:t>
            </w:r>
          </w:p>
          <w:p w14:paraId="5B3656EE">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b w:val="0"/>
                <w:bCs w:val="0"/>
                <w:lang w:val="en-US" w:eastAsia="zh-CN" w:bidi="ar"/>
              </w:rPr>
            </w:pPr>
            <w:r>
              <w:rPr>
                <w:rFonts w:hint="eastAsia"/>
                <w:lang w:bidi="ar"/>
              </w:rPr>
              <w:t>尊敬的投资者您好！公司上半年针对存储芯片的战略采购金额接近20亿元，使得上半年采购现金流出较多，但公司预计此次前瞻备货能使公司获得稳定的存储芯片供应量及成本，为后续公司发展提供强有力的支持。感谢您的关注！</w:t>
            </w:r>
          </w:p>
          <w:p w14:paraId="04629E0A">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p>
          <w:p w14:paraId="29C81BED">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Q2：随着行业竞争日趋激烈，友商凭借规模与供应链优势加大价格竞争力度，手机厂商也陆续布局手持智能影像领域，公司如何应对？</w:t>
            </w:r>
          </w:p>
          <w:p w14:paraId="5A06F283">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bidi="ar"/>
              </w:rPr>
            </w:pPr>
            <w:r>
              <w:rPr>
                <w:rFonts w:hint="eastAsia"/>
                <w:lang w:val="en-US" w:eastAsia="zh-CN" w:bidi="ar"/>
              </w:rPr>
              <w:t>尊敬的投资者您好！</w:t>
            </w:r>
            <w:r>
              <w:rPr>
                <w:rFonts w:hint="eastAsia"/>
                <w:lang w:bidi="ar"/>
              </w:rPr>
              <w:t>优秀的竞争者能够促进行业健康发展，也将帮助公司更快、更好地成长。公司始终欢迎良性竞争，并坚持长期主义与战略投入，致力于在垂类场景中创造独特的体验与核心竞争力。</w:t>
            </w:r>
          </w:p>
          <w:p w14:paraId="6150D184">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r>
              <w:rPr>
                <w:rFonts w:hint="eastAsia"/>
                <w:lang w:bidi="ar"/>
              </w:rPr>
              <w:t>面对当前的竞争环境，公司将延续注重用户价值创造和品牌特性打造的策略，保持自身的市场独特性，不盲目跟进价格博弈。影像市场是一个由产品定义和技术创新驱动增长的市场，创新空间巨大，公司的核心优势在于具备重新定义产品的形态与价值的能力。公司将通过深挖细分场景中用户未被满足的痛点，以持续的差异化创新创造增量价值，从而获得脱离存量博弈的竞争解法。</w:t>
            </w:r>
            <w:r>
              <w:rPr>
                <w:rFonts w:hint="eastAsia"/>
                <w:lang w:val="en-US" w:eastAsia="zh-CN" w:bidi="ar"/>
              </w:rPr>
              <w:t>感谢您的关注！</w:t>
            </w:r>
          </w:p>
          <w:p w14:paraId="7CF6DA45">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p>
          <w:p w14:paraId="3F592228">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Q3：公司当前新品进度、供应链及产能保障情况如何？未来外延扩张方面，公司会有并购规划吗？</w:t>
            </w:r>
          </w:p>
          <w:p w14:paraId="0D779477">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r>
              <w:rPr>
                <w:rFonts w:hint="eastAsia"/>
                <w:lang w:val="en-US" w:eastAsia="zh-CN" w:bidi="ar"/>
              </w:rPr>
              <w:t>尊敬的投资者您好！</w:t>
            </w:r>
            <w:r>
              <w:rPr>
                <w:rFonts w:hint="eastAsia"/>
                <w:lang w:bidi="ar"/>
              </w:rPr>
              <w:t>公司目前生产经营一切正常，新产品按既定计划顺利推进，主要供应链整体保持稳定。同时，为深化供应链协同，公司构建了公开、公平的采购体系，通过供应商评价管理、定期实地考察、及时结算货款及反馈市场信息等方式，与主要供应商保持长期稳定、互利共赢的合作关系，共同提升产品品质与交付能力。</w:t>
            </w:r>
            <w:r>
              <w:rPr>
                <w:rFonts w:hint="eastAsia"/>
                <w:lang w:val="en-US" w:eastAsia="zh-CN" w:bidi="ar"/>
              </w:rPr>
              <w:t>此外，</w:t>
            </w:r>
            <w:r>
              <w:rPr>
                <w:rFonts w:hint="eastAsia"/>
                <w:lang w:bidi="ar"/>
              </w:rPr>
              <w:t>公司会根据市场情况合理安排产能配置及生产计划，我们非常重视每一位消费者的体验和满意度，会努力保障产品供应满足市场需求。后续如有并购计划，公司将严格按照相关法律法规的要求及时履行信息披露义务。感谢您的关注！</w:t>
            </w:r>
          </w:p>
          <w:p w14:paraId="3FCCBFF9">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p>
          <w:p w14:paraId="40BE6074">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Q4：公司是不是在跟理想汽车、群核科技等企业合作？</w:t>
            </w:r>
          </w:p>
          <w:p w14:paraId="23A96CE2">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r>
              <w:rPr>
                <w:rFonts w:hint="eastAsia"/>
                <w:lang w:val="en-US" w:eastAsia="zh-CN" w:bidi="ar"/>
              </w:rPr>
              <w:t>尊敬的投资者您好！</w:t>
            </w:r>
            <w:r>
              <w:rPr>
                <w:rFonts w:hint="eastAsia"/>
                <w:lang w:bidi="ar"/>
              </w:rPr>
              <w:t>公司始终秉持开放共赢的合作理念，持续关注并积极探索与产业链上下游优质伙伴的合作机会，共同推动行业生态繁荣发展</w:t>
            </w:r>
            <w:r>
              <w:rPr>
                <w:rFonts w:hint="eastAsia"/>
                <w:lang w:val="en-US" w:eastAsia="zh-CN" w:bidi="ar"/>
              </w:rPr>
              <w:t>。</w:t>
            </w:r>
            <w:r>
              <w:rPr>
                <w:rFonts w:hint="eastAsia"/>
                <w:lang w:bidi="ar"/>
              </w:rPr>
              <w:t>感谢您的关注！</w:t>
            </w:r>
          </w:p>
          <w:p w14:paraId="7B86BA8B">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p>
          <w:p w14:paraId="77CFB44D">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Q5：公司股价持续下跌、利润承压，请问之前发布限制性股票激励计划能否达到预期激励效果？如业绩持续不及预期，公司有无降薪安排，怎么保障人才不流失？</w:t>
            </w:r>
          </w:p>
          <w:p w14:paraId="62B6735F">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r>
              <w:rPr>
                <w:rFonts w:hint="default"/>
                <w:lang w:val="en-US" w:eastAsia="zh-CN" w:bidi="ar"/>
              </w:rPr>
              <w:t>尊敬的投资者您好</w:t>
            </w:r>
            <w:r>
              <w:rPr>
                <w:rFonts w:hint="eastAsia"/>
                <w:lang w:val="en-US" w:eastAsia="zh-CN" w:bidi="ar"/>
              </w:rPr>
              <w:t>！人才是公司长期稳定发展的根基，公司历来重视人才培养和储备，促进员工与企业共同成长。公司根据实际经营情况及行业薪酬水平，结合员工的成长以及贡献情况，制定合理的薪酬方案，并实行适时浮动调薪。同时，公司持续完善薪酬体系，推出2025年限制性股票激励计划，在激励工具和定价方式选择方面，综合考虑了激励力度、公司业绩状况、员工对公司的贡献程度等多种因素，致力于实现企业与员工的共同成长与发展。二级市场股价波动受多方面因素综合影响，我们会持续深耕智能影像领域，通过多措并举夯实经营基本面，以合规稳健经营为根基，推动公司高质量、可持续发展，进一步增强公司的持续经营能力和综合竞争力，为投资者、广大用户、公司员工及智能影像行业持续创造价值</w:t>
            </w:r>
            <w:r>
              <w:rPr>
                <w:rFonts w:hint="eastAsia"/>
                <w:lang w:bidi="ar"/>
              </w:rPr>
              <w:t>。</w:t>
            </w:r>
            <w:r>
              <w:rPr>
                <w:rFonts w:hint="default"/>
                <w:lang w:val="en-US" w:eastAsia="zh-CN" w:bidi="ar"/>
              </w:rPr>
              <w:t>感谢您的关注！</w:t>
            </w:r>
          </w:p>
          <w:p w14:paraId="5622F0E2">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p>
          <w:p w14:paraId="767C2B10">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Q6：请问公司现阶段对产品布局/产品线拓展思路是什么？</w:t>
            </w:r>
          </w:p>
          <w:p w14:paraId="0B36C659">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bidi="ar"/>
              </w:rPr>
            </w:pPr>
            <w:r>
              <w:rPr>
                <w:rFonts w:hint="eastAsia"/>
                <w:lang w:bidi="ar"/>
              </w:rPr>
              <w:t>尊敬的投资者您好</w:t>
            </w:r>
            <w:r>
              <w:rPr>
                <w:rFonts w:hint="eastAsia"/>
                <w:lang w:val="en-US" w:eastAsia="zh-CN" w:bidi="ar"/>
              </w:rPr>
              <w:t>！</w:t>
            </w:r>
            <w:r>
              <w:rPr>
                <w:rFonts w:hint="eastAsia"/>
                <w:lang w:bidi="ar"/>
              </w:rPr>
              <w:t>公司始终坚持以消费级智能影像产品为核心，深耕主航道并有序推进产品矩阵拓展。在稳固全景相机、常规运动相机、拇指相机等优势品类市场份额的基础上，公司围绕视听创作需求完成产品线横向延伸，云台相机、无线领夹麦克风等配套新品已陆续推向市场，协同搭建完整的视听内容创作生态。</w:t>
            </w:r>
          </w:p>
          <w:p w14:paraId="524E5C66">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bidi="ar"/>
              </w:rPr>
            </w:pPr>
            <w:r>
              <w:rPr>
                <w:rFonts w:hint="eastAsia"/>
                <w:lang w:bidi="ar"/>
              </w:rPr>
              <w:t>依托成熟的影像技术栈跨品类复用能力与市场需求洞察，后续公司将持续迭代现有各系列产品，同时围绕智能影像赛道挖掘用户潜在需求，审慎规划全新品类的研发布局，持续丰富整体产品体系。感谢您的关注！</w:t>
            </w:r>
          </w:p>
          <w:p w14:paraId="05A878C9">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bidi="ar"/>
              </w:rPr>
            </w:pPr>
          </w:p>
          <w:p w14:paraId="34158C14">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Q7：公司最近一段时间陆续上新，包括影翎A1、Luna系列、无线领夹麦克风、X6等，请问这些新品对公司业绩贡献情况是怎样的？</w:t>
            </w:r>
          </w:p>
          <w:p w14:paraId="6A5F500A">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bidi="ar"/>
              </w:rPr>
            </w:pPr>
            <w:r>
              <w:rPr>
                <w:rFonts w:hint="eastAsia"/>
                <w:lang w:bidi="ar"/>
              </w:rPr>
              <w:t>尊敬的投资者您好</w:t>
            </w:r>
            <w:r>
              <w:rPr>
                <w:rFonts w:hint="eastAsia"/>
                <w:lang w:eastAsia="zh-CN" w:bidi="ar"/>
              </w:rPr>
              <w:t>！</w:t>
            </w:r>
            <w:r>
              <w:rPr>
                <w:rFonts w:hint="eastAsia"/>
                <w:lang w:bidi="ar"/>
              </w:rPr>
              <w:t>公司始终坚持以消费级智能影像产品为核心，深耕主航道并有序推进产品矩阵拓展。在稳固全景相机、常规运动相机、拇指相机等优势品类市场份额的基础上，公司围绕视听创作需求完成产品线横向延伸，云台相机、无线领夹麦克风等配套新品已陆续推向市场，协同搭建完整的视听内容创作生态。产品上市后各项市场推广工作稳步推进。感谢您的关注！</w:t>
            </w:r>
          </w:p>
          <w:p w14:paraId="6D1ADCDD">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lang w:val="en-US" w:eastAsia="zh-CN" w:bidi="ar"/>
              </w:rPr>
            </w:pPr>
          </w:p>
          <w:p w14:paraId="6B316E3E">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Q8：在竞争者越来越多的情况下，公司现在在行业内的市场地位如何，是否有数据体现？</w:t>
            </w:r>
          </w:p>
          <w:p w14:paraId="4F26AE71">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bidi="ar"/>
              </w:rPr>
            </w:pPr>
            <w:r>
              <w:rPr>
                <w:rFonts w:hint="eastAsia"/>
                <w:lang w:bidi="ar"/>
              </w:rPr>
              <w:t>尊敬的投资者您好</w:t>
            </w:r>
            <w:r>
              <w:rPr>
                <w:rFonts w:hint="eastAsia"/>
                <w:lang w:eastAsia="zh-CN" w:bidi="ar"/>
              </w:rPr>
              <w:t>！</w:t>
            </w:r>
            <w:r>
              <w:rPr>
                <w:rFonts w:hint="eastAsia"/>
                <w:lang w:bidi="ar"/>
              </w:rPr>
              <w:t>公司作为全球领先的智能影像解决方案提供商，始终以自主核心技术为驱动，构建了覆盖全景影像与运动影像的多元化产品生态。</w:t>
            </w:r>
            <w:r>
              <w:rPr>
                <w:rFonts w:hint="eastAsia"/>
                <w:lang w:val="en-US" w:eastAsia="zh-CN" w:bidi="ar"/>
              </w:rPr>
              <w:t>今年上半年</w:t>
            </w:r>
            <w:r>
              <w:rPr>
                <w:rFonts w:hint="eastAsia"/>
                <w:lang w:bidi="ar"/>
              </w:rPr>
              <w:t>，公司在技术积累、产品创新及市场认可等方面均取得显著进展，行业领先地位进一步巩固与提升。</w:t>
            </w:r>
          </w:p>
          <w:p w14:paraId="290B657C">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bidi="ar"/>
              </w:rPr>
            </w:pPr>
            <w:r>
              <w:rPr>
                <w:rFonts w:hint="eastAsia"/>
                <w:lang w:bidi="ar"/>
              </w:rPr>
              <w:t>在全景相机领域，公司凭借先进的研发技术及产品优势，已成长为全球全景相机行业领先企业。在运动相机领域，公司通过全景技术、模块化技术、高性能防抖等技术持续推出创新性产品，加速占领国内外市场。根据IDC</w:t>
            </w:r>
            <w:r>
              <w:rPr>
                <w:rFonts w:hint="eastAsia"/>
                <w:lang w:val="en-US" w:eastAsia="zh-CN" w:bidi="ar"/>
              </w:rPr>
              <w:t>发布的《2026年第二季度全球手持智能相机市场跟踪报告》</w:t>
            </w:r>
            <w:r>
              <w:rPr>
                <w:rFonts w:hint="eastAsia"/>
                <w:lang w:bidi="ar"/>
              </w:rPr>
              <w:t>，全景相机市场26Q</w:t>
            </w:r>
            <w:r>
              <w:rPr>
                <w:rFonts w:hint="eastAsia"/>
                <w:lang w:val="en-US" w:eastAsia="zh-CN" w:bidi="ar"/>
              </w:rPr>
              <w:t>2</w:t>
            </w:r>
            <w:bookmarkStart w:id="1" w:name="_GoBack"/>
            <w:bookmarkEnd w:id="1"/>
            <w:r>
              <w:rPr>
                <w:rFonts w:hint="eastAsia"/>
                <w:lang w:bidi="ar"/>
              </w:rPr>
              <w:t>全球出货量超过5</w:t>
            </w:r>
            <w:r>
              <w:rPr>
                <w:rFonts w:hint="eastAsia"/>
                <w:lang w:val="en-US" w:eastAsia="zh-CN" w:bidi="ar"/>
              </w:rPr>
              <w:t>3</w:t>
            </w:r>
            <w:r>
              <w:rPr>
                <w:rFonts w:hint="eastAsia"/>
                <w:lang w:bidi="ar"/>
              </w:rPr>
              <w:t>万台，公司在全景相机领域排名第一且大幅领先，出货量份额</w:t>
            </w:r>
            <w:r>
              <w:rPr>
                <w:rFonts w:hint="eastAsia"/>
                <w:lang w:val="en-US" w:eastAsia="zh-CN" w:bidi="ar"/>
              </w:rPr>
              <w:t>超</w:t>
            </w:r>
            <w:r>
              <w:rPr>
                <w:rFonts w:hint="eastAsia"/>
                <w:lang w:bidi="ar"/>
              </w:rPr>
              <w:t>七成</w:t>
            </w:r>
            <w:r>
              <w:rPr>
                <w:rFonts w:hint="eastAsia"/>
                <w:lang w:eastAsia="zh-CN" w:bidi="ar"/>
              </w:rPr>
              <w:t>，</w:t>
            </w:r>
            <w:r>
              <w:rPr>
                <w:rFonts w:hint="eastAsia"/>
                <w:lang w:val="en-US" w:eastAsia="zh-CN" w:bidi="ar"/>
              </w:rPr>
              <w:t>环比回升超过4个百分点。</w:t>
            </w:r>
            <w:r>
              <w:rPr>
                <w:rFonts w:hint="eastAsia"/>
                <w:lang w:bidi="ar"/>
              </w:rPr>
              <w:t>感谢您的关注！</w:t>
            </w:r>
          </w:p>
          <w:p w14:paraId="56C57F52">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bidi="ar"/>
              </w:rPr>
            </w:pPr>
          </w:p>
          <w:p w14:paraId="39BA4F6E">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Q9：看到公司Go Ultra推出Kira，麻烦介绍下公司在AI应用、软件生态建设方面的布局进展？</w:t>
            </w:r>
          </w:p>
          <w:p w14:paraId="6488543F">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bidi="ar"/>
              </w:rPr>
            </w:pPr>
            <w:r>
              <w:rPr>
                <w:rFonts w:hint="eastAsia"/>
                <w:lang w:bidi="ar"/>
              </w:rPr>
              <w:t>尊敬的投资者您好</w:t>
            </w:r>
            <w:r>
              <w:rPr>
                <w:rFonts w:hint="eastAsia"/>
                <w:lang w:eastAsia="zh-CN" w:bidi="ar"/>
              </w:rPr>
              <w:t>！</w:t>
            </w:r>
            <w:r>
              <w:rPr>
                <w:rFonts w:hint="eastAsia"/>
                <w:lang w:bidi="ar"/>
              </w:rPr>
              <w:t>在AI应用及软件生态方面，公司持续推进技术创新与产品智能化升级。2026年1-6月，公司首次研发拇指相机Go Ultra上搭载AI语音助手，接入通义千问大模型及Google Gemini大模型，率先实现运动相机领域的AI语音交互体验突破，产品竞争力进一步增强。感谢您的关注！</w:t>
            </w:r>
          </w:p>
          <w:p w14:paraId="202BE3D8">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bidi="ar"/>
              </w:rPr>
            </w:pPr>
          </w:p>
          <w:p w14:paraId="573942A8">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Q10：公司产品入驻荣耀及苹果线下门店，将给公司带来哪些积极影响？</w:t>
            </w:r>
          </w:p>
          <w:p w14:paraId="4F70BF35">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bidi="ar"/>
              </w:rPr>
            </w:pPr>
            <w:r>
              <w:rPr>
                <w:rFonts w:hint="eastAsia"/>
                <w:lang w:bidi="ar"/>
              </w:rPr>
              <w:t>尊敬的投资者您好</w:t>
            </w:r>
            <w:r>
              <w:rPr>
                <w:rFonts w:hint="eastAsia"/>
                <w:lang w:eastAsia="zh-CN" w:bidi="ar"/>
              </w:rPr>
              <w:t>！</w:t>
            </w:r>
            <w:r>
              <w:rPr>
                <w:rFonts w:hint="eastAsia"/>
                <w:lang w:bidi="ar"/>
              </w:rPr>
              <w:t>公司不断巩固和扩大现有市场份额，积极开展线上业务并拓展线下销售渠道，通过建立全面的销售体系，公司可充分覆盖潜在目标消费者，顺应各时期消费者购买习惯，提高产品销售效率及销售稳定性。有关公司具体的业务信息，请以公司公告为准。感谢您的关注！</w:t>
            </w:r>
          </w:p>
          <w:p w14:paraId="719CB3F7">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bidi="ar"/>
              </w:rPr>
            </w:pPr>
          </w:p>
          <w:p w14:paraId="242BE86E">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Q11：公司海外业务发展如何？全球化布局有哪些新进展？</w:t>
            </w:r>
          </w:p>
          <w:p w14:paraId="4108B301">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bidi="ar"/>
              </w:rPr>
            </w:pPr>
            <w:r>
              <w:rPr>
                <w:rFonts w:hint="eastAsia"/>
                <w:lang w:bidi="ar"/>
              </w:rPr>
              <w:t>尊敬的投资者您好</w:t>
            </w:r>
            <w:r>
              <w:rPr>
                <w:rFonts w:hint="eastAsia"/>
                <w:lang w:eastAsia="zh-CN" w:bidi="ar"/>
              </w:rPr>
              <w:t>！</w:t>
            </w:r>
            <w:r>
              <w:rPr>
                <w:rFonts w:hint="eastAsia"/>
                <w:lang w:val="en-US" w:eastAsia="zh-CN" w:bidi="ar"/>
              </w:rPr>
              <w:t>公司坚持全球化发展战略，产品销往200多个国家和地区。2026年上半年，公司境外主营业务收入为34.37亿元，占主营业务收入比例为63.40%。在海外市场拓展方面，公司加速推进全球化渠道布局。2026年8月，公司于日本开设首家旗舰店；2026年9月，北美首家旗舰店于纽约时代广场开业，标志着公司海外线下零售网络建设取得重要进展。</w:t>
            </w:r>
            <w:r>
              <w:rPr>
                <w:rFonts w:hint="eastAsia"/>
                <w:lang w:bidi="ar"/>
              </w:rPr>
              <w:t>感谢您的关注！</w:t>
            </w:r>
          </w:p>
          <w:p w14:paraId="7BB94CA5">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lang w:val="en-US" w:eastAsia="zh-CN" w:bidi="ar"/>
              </w:rPr>
            </w:pPr>
            <w:bookmarkStart w:id="0" w:name="_Toc5613"/>
          </w:p>
          <w:p w14:paraId="3F5A9756">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Q12：公司当前的定位是怎样的？</w:t>
            </w:r>
            <w:bookmarkEnd w:id="0"/>
          </w:p>
          <w:p w14:paraId="5CAB6442">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bidi="ar"/>
              </w:rPr>
            </w:pPr>
            <w:r>
              <w:rPr>
                <w:rFonts w:hint="eastAsia"/>
                <w:lang w:bidi="ar"/>
              </w:rPr>
              <w:t>尊敬的投资者您好</w:t>
            </w:r>
            <w:r>
              <w:rPr>
                <w:rFonts w:hint="eastAsia"/>
                <w:lang w:eastAsia="zh-CN" w:bidi="ar"/>
              </w:rPr>
              <w:t>！</w:t>
            </w:r>
            <w:r>
              <w:rPr>
                <w:rFonts w:hint="eastAsia"/>
                <w:lang w:bidi="ar"/>
              </w:rPr>
              <w:t>公司作为全球领先的智能影像解决方案提供商，始终以自主核心技术为驱动，构建了覆盖全景影像与运动影像的多元化产品生态。公司行业地位实现了从“单一品类领导者”向“综合影像技术平台”的战略性演进。当前，公司正凭借在硬件、软件与人工智能算法的垂直整合能力，持续强化其作为“创新驱动型智能影像公司”的定位。公司的角色已不再局限于单一品类的硬件制造商，而是向着以核心影像技术为支撑、提供多场景解决方案的生态型平台演进。这一转变标志着公司综合竞争力的全面提升，为其长期可持续发展开辟了更广阔的战略空间。感谢您的关注！</w:t>
            </w:r>
          </w:p>
          <w:p w14:paraId="14BBE28C">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bidi="ar"/>
              </w:rPr>
            </w:pPr>
          </w:p>
          <w:p w14:paraId="6DFB9773">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Q13：半年报披露公司产品全球累计出货量突破1000万台，这个里程碑意味着什么？</w:t>
            </w:r>
          </w:p>
          <w:p w14:paraId="6BAB2561">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lang w:bidi="ar"/>
              </w:rPr>
            </w:pPr>
            <w:r>
              <w:rPr>
                <w:rFonts w:hint="eastAsia"/>
                <w:lang w:bidi="ar"/>
              </w:rPr>
              <w:t>尊敬的投资者您好</w:t>
            </w:r>
            <w:r>
              <w:rPr>
                <w:rFonts w:hint="eastAsia"/>
                <w:lang w:eastAsia="zh-CN" w:bidi="ar"/>
              </w:rPr>
              <w:t>！</w:t>
            </w:r>
            <w:r>
              <w:rPr>
                <w:rFonts w:hint="eastAsia"/>
                <w:lang w:bidi="ar"/>
              </w:rPr>
              <w:t>截至2026年6月30日，公司全景相机及运动相机产品全球累计出货量突破1,000万台。</w:t>
            </w:r>
            <w:r>
              <w:rPr>
                <w:rFonts w:hint="eastAsia"/>
                <w:lang w:val="en-US" w:eastAsia="zh-CN" w:bidi="ar"/>
              </w:rPr>
              <w:t>这意味着公司保持着较强的用户基础，行业领先地位持续巩固。</w:t>
            </w:r>
            <w:r>
              <w:rPr>
                <w:rFonts w:hint="eastAsia"/>
                <w:lang w:bidi="ar"/>
              </w:rPr>
              <w:t>感谢您对公司的关注。</w:t>
            </w:r>
          </w:p>
        </w:tc>
      </w:tr>
      <w:tr w14:paraId="08F6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1918" w:type="dxa"/>
            <w:tcBorders>
              <w:top w:val="single" w:color="auto" w:sz="4" w:space="0"/>
              <w:left w:val="single" w:color="auto" w:sz="4" w:space="0"/>
              <w:bottom w:val="single" w:color="auto" w:sz="4" w:space="0"/>
              <w:right w:val="single" w:color="auto" w:sz="4" w:space="0"/>
            </w:tcBorders>
            <w:vAlign w:val="center"/>
          </w:tcPr>
          <w:p w14:paraId="6F61F7ED">
            <w:pPr>
              <w:ind w:firstLine="0" w:firstLineChars="0"/>
              <w:jc w:val="center"/>
            </w:pPr>
            <w:r>
              <w:rPr>
                <w:rFonts w:hint="eastAsia"/>
              </w:rPr>
              <w:t>附件清单</w:t>
            </w:r>
          </w:p>
          <w:p w14:paraId="4A96E670">
            <w:pPr>
              <w:ind w:firstLine="0" w:firstLineChars="0"/>
              <w:jc w:val="center"/>
            </w:pPr>
            <w:r>
              <w:rPr>
                <w:rFonts w:hint="eastAsia"/>
              </w:rPr>
              <w:t>（如有）</w:t>
            </w:r>
          </w:p>
        </w:tc>
        <w:tc>
          <w:tcPr>
            <w:tcW w:w="7370" w:type="dxa"/>
            <w:tcBorders>
              <w:top w:val="single" w:color="auto" w:sz="4" w:space="0"/>
              <w:left w:val="single" w:color="auto" w:sz="4" w:space="0"/>
              <w:bottom w:val="single" w:color="auto" w:sz="4" w:space="0"/>
              <w:right w:val="single" w:color="auto" w:sz="4" w:space="0"/>
            </w:tcBorders>
            <w:vAlign w:val="center"/>
          </w:tcPr>
          <w:p w14:paraId="23BB7771">
            <w:pPr>
              <w:ind w:firstLine="0" w:firstLineChars="0"/>
            </w:pPr>
            <w:r>
              <w:rPr>
                <w:rFonts w:hint="eastAsia"/>
              </w:rPr>
              <w:t>无</w:t>
            </w:r>
          </w:p>
        </w:tc>
      </w:tr>
      <w:tr w14:paraId="6721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918" w:type="dxa"/>
            <w:tcBorders>
              <w:top w:val="single" w:color="auto" w:sz="4" w:space="0"/>
              <w:left w:val="single" w:color="auto" w:sz="4" w:space="0"/>
              <w:bottom w:val="single" w:color="auto" w:sz="4" w:space="0"/>
              <w:right w:val="single" w:color="auto" w:sz="4" w:space="0"/>
            </w:tcBorders>
            <w:vAlign w:val="center"/>
          </w:tcPr>
          <w:p w14:paraId="53D5E1EB">
            <w:r>
              <w:rPr>
                <w:rFonts w:hint="eastAsia"/>
              </w:rPr>
              <w:t>日期</w:t>
            </w:r>
          </w:p>
        </w:tc>
        <w:tc>
          <w:tcPr>
            <w:tcW w:w="7370" w:type="dxa"/>
            <w:tcBorders>
              <w:top w:val="single" w:color="auto" w:sz="4" w:space="0"/>
              <w:left w:val="single" w:color="auto" w:sz="4" w:space="0"/>
              <w:bottom w:val="single" w:color="auto" w:sz="4" w:space="0"/>
              <w:right w:val="single" w:color="auto" w:sz="4" w:space="0"/>
            </w:tcBorders>
            <w:vAlign w:val="center"/>
          </w:tcPr>
          <w:p w14:paraId="20EB7BA4">
            <w:pPr>
              <w:ind w:firstLine="0" w:firstLineChars="0"/>
            </w:pPr>
            <w:r>
              <w:rPr>
                <w:rFonts w:hint="eastAsia"/>
                <w:highlight w:val="none"/>
                <w:lang w:val="en-US" w:eastAsia="zh-CN"/>
              </w:rPr>
              <w:t>2026年10月14日</w:t>
            </w:r>
          </w:p>
        </w:tc>
      </w:tr>
    </w:tbl>
    <w:p w14:paraId="2399D0F9">
      <w:pPr>
        <w:ind w:firstLine="0" w:firstLineChars="0"/>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37"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Wingdings 2">
    <w:panose1 w:val="05020102010507070707"/>
    <w:charset w:val="00"/>
    <w:family w:val="decorative"/>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18D6F">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5A2AF">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874B8">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90DFD">
    <w:pPr>
      <w:pStyle w:val="9"/>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4B39B">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D746B">
    <w:pPr>
      <w:pStyle w:val="9"/>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3NjUxYTg0OWYyYzMyMTZhZDE4NmFlMTMyYjFiMjQifQ=="/>
    <w:docVar w:name="KSO_WPS_MARK_KEY" w:val="0360e051-2f44-4279-881a-3f3c05dfa478"/>
  </w:docVars>
  <w:rsids>
    <w:rsidRoot w:val="00172A27"/>
    <w:rsid w:val="000033E4"/>
    <w:rsid w:val="00003ED3"/>
    <w:rsid w:val="0000630B"/>
    <w:rsid w:val="000808EF"/>
    <w:rsid w:val="000C2262"/>
    <w:rsid w:val="000E421D"/>
    <w:rsid w:val="000E44C9"/>
    <w:rsid w:val="00106B57"/>
    <w:rsid w:val="00127D38"/>
    <w:rsid w:val="00136EE7"/>
    <w:rsid w:val="00162AB8"/>
    <w:rsid w:val="00172A27"/>
    <w:rsid w:val="00195281"/>
    <w:rsid w:val="001A350C"/>
    <w:rsid w:val="001B3EC7"/>
    <w:rsid w:val="001F66A1"/>
    <w:rsid w:val="002038F3"/>
    <w:rsid w:val="00206C41"/>
    <w:rsid w:val="00207F6B"/>
    <w:rsid w:val="002222A1"/>
    <w:rsid w:val="00237C0F"/>
    <w:rsid w:val="0024492B"/>
    <w:rsid w:val="00257E96"/>
    <w:rsid w:val="0026277B"/>
    <w:rsid w:val="002A110A"/>
    <w:rsid w:val="002A4B18"/>
    <w:rsid w:val="002D4F63"/>
    <w:rsid w:val="002E5395"/>
    <w:rsid w:val="002F3CA7"/>
    <w:rsid w:val="0034587E"/>
    <w:rsid w:val="003465EA"/>
    <w:rsid w:val="00352D64"/>
    <w:rsid w:val="00355BB7"/>
    <w:rsid w:val="00360BFA"/>
    <w:rsid w:val="003712EE"/>
    <w:rsid w:val="00372648"/>
    <w:rsid w:val="00377EDB"/>
    <w:rsid w:val="004057B4"/>
    <w:rsid w:val="0041037E"/>
    <w:rsid w:val="00416868"/>
    <w:rsid w:val="004439BD"/>
    <w:rsid w:val="00462C94"/>
    <w:rsid w:val="00464595"/>
    <w:rsid w:val="0047378A"/>
    <w:rsid w:val="00486BF8"/>
    <w:rsid w:val="004C1847"/>
    <w:rsid w:val="004F14F5"/>
    <w:rsid w:val="005016F4"/>
    <w:rsid w:val="00501862"/>
    <w:rsid w:val="00515C04"/>
    <w:rsid w:val="00546E0A"/>
    <w:rsid w:val="00550536"/>
    <w:rsid w:val="005676F1"/>
    <w:rsid w:val="005A69D7"/>
    <w:rsid w:val="005E50C3"/>
    <w:rsid w:val="005E6BF7"/>
    <w:rsid w:val="005F02F7"/>
    <w:rsid w:val="005F13FD"/>
    <w:rsid w:val="0061032C"/>
    <w:rsid w:val="00641FAC"/>
    <w:rsid w:val="00642A2F"/>
    <w:rsid w:val="00653938"/>
    <w:rsid w:val="00656107"/>
    <w:rsid w:val="00684FD4"/>
    <w:rsid w:val="0068534E"/>
    <w:rsid w:val="00686329"/>
    <w:rsid w:val="006A62CD"/>
    <w:rsid w:val="006A7259"/>
    <w:rsid w:val="006B754F"/>
    <w:rsid w:val="006D4E15"/>
    <w:rsid w:val="0074092B"/>
    <w:rsid w:val="00754A09"/>
    <w:rsid w:val="007722EA"/>
    <w:rsid w:val="007857D7"/>
    <w:rsid w:val="007900F5"/>
    <w:rsid w:val="00791969"/>
    <w:rsid w:val="007B20BC"/>
    <w:rsid w:val="007B64C4"/>
    <w:rsid w:val="007D30D4"/>
    <w:rsid w:val="007E4187"/>
    <w:rsid w:val="0083440A"/>
    <w:rsid w:val="00854016"/>
    <w:rsid w:val="008A5483"/>
    <w:rsid w:val="008B2714"/>
    <w:rsid w:val="008B69F5"/>
    <w:rsid w:val="008C0D8C"/>
    <w:rsid w:val="008D37A1"/>
    <w:rsid w:val="008F52B8"/>
    <w:rsid w:val="008F671E"/>
    <w:rsid w:val="0091766B"/>
    <w:rsid w:val="00947821"/>
    <w:rsid w:val="009513E0"/>
    <w:rsid w:val="00953C04"/>
    <w:rsid w:val="00957F7B"/>
    <w:rsid w:val="00960237"/>
    <w:rsid w:val="0097551F"/>
    <w:rsid w:val="009B61EC"/>
    <w:rsid w:val="009D2555"/>
    <w:rsid w:val="009E3AD8"/>
    <w:rsid w:val="009F0F5E"/>
    <w:rsid w:val="009F5205"/>
    <w:rsid w:val="00A0003E"/>
    <w:rsid w:val="00A009AB"/>
    <w:rsid w:val="00A262AC"/>
    <w:rsid w:val="00A33951"/>
    <w:rsid w:val="00A4346D"/>
    <w:rsid w:val="00A44BDC"/>
    <w:rsid w:val="00A56D5A"/>
    <w:rsid w:val="00A637D1"/>
    <w:rsid w:val="00A74818"/>
    <w:rsid w:val="00AA5828"/>
    <w:rsid w:val="00AE0DD1"/>
    <w:rsid w:val="00AF3A1D"/>
    <w:rsid w:val="00B173B7"/>
    <w:rsid w:val="00B27D44"/>
    <w:rsid w:val="00B30CCD"/>
    <w:rsid w:val="00B4097A"/>
    <w:rsid w:val="00B633BF"/>
    <w:rsid w:val="00B76EEB"/>
    <w:rsid w:val="00B95E2D"/>
    <w:rsid w:val="00BC2C0F"/>
    <w:rsid w:val="00BC3E61"/>
    <w:rsid w:val="00BD766B"/>
    <w:rsid w:val="00C216E8"/>
    <w:rsid w:val="00C25925"/>
    <w:rsid w:val="00C33E5F"/>
    <w:rsid w:val="00C33E79"/>
    <w:rsid w:val="00C50113"/>
    <w:rsid w:val="00C50118"/>
    <w:rsid w:val="00C673D5"/>
    <w:rsid w:val="00C90CFB"/>
    <w:rsid w:val="00CA4A79"/>
    <w:rsid w:val="00CE085B"/>
    <w:rsid w:val="00CF5B7F"/>
    <w:rsid w:val="00D66664"/>
    <w:rsid w:val="00D730C4"/>
    <w:rsid w:val="00D74140"/>
    <w:rsid w:val="00DE5BC2"/>
    <w:rsid w:val="00DF069E"/>
    <w:rsid w:val="00DF65C2"/>
    <w:rsid w:val="00E61768"/>
    <w:rsid w:val="00E6548E"/>
    <w:rsid w:val="00E668DD"/>
    <w:rsid w:val="00E853F2"/>
    <w:rsid w:val="00E936B6"/>
    <w:rsid w:val="00EA4436"/>
    <w:rsid w:val="00EA7CB8"/>
    <w:rsid w:val="00EB73BF"/>
    <w:rsid w:val="00EE1178"/>
    <w:rsid w:val="00F42FCB"/>
    <w:rsid w:val="00F453C6"/>
    <w:rsid w:val="00F566CC"/>
    <w:rsid w:val="00F56A5E"/>
    <w:rsid w:val="00F90814"/>
    <w:rsid w:val="00F94F9F"/>
    <w:rsid w:val="00FA426A"/>
    <w:rsid w:val="00FB29C2"/>
    <w:rsid w:val="00FE1A5B"/>
    <w:rsid w:val="01084302"/>
    <w:rsid w:val="0127306B"/>
    <w:rsid w:val="012D1E11"/>
    <w:rsid w:val="016F12A7"/>
    <w:rsid w:val="017F53E2"/>
    <w:rsid w:val="019112E8"/>
    <w:rsid w:val="01971FDF"/>
    <w:rsid w:val="01BE03FA"/>
    <w:rsid w:val="01C90D81"/>
    <w:rsid w:val="01CA233A"/>
    <w:rsid w:val="01D53F3A"/>
    <w:rsid w:val="01EA2A0A"/>
    <w:rsid w:val="020874E3"/>
    <w:rsid w:val="02360F21"/>
    <w:rsid w:val="02905D58"/>
    <w:rsid w:val="029106F4"/>
    <w:rsid w:val="029818CA"/>
    <w:rsid w:val="02EE4C62"/>
    <w:rsid w:val="02F31B8E"/>
    <w:rsid w:val="02F4402E"/>
    <w:rsid w:val="03277DFB"/>
    <w:rsid w:val="039B27EF"/>
    <w:rsid w:val="03E94496"/>
    <w:rsid w:val="04002F45"/>
    <w:rsid w:val="040538FA"/>
    <w:rsid w:val="040D6491"/>
    <w:rsid w:val="045C2C9C"/>
    <w:rsid w:val="047E5B37"/>
    <w:rsid w:val="04AE315A"/>
    <w:rsid w:val="04BC6261"/>
    <w:rsid w:val="04D106CA"/>
    <w:rsid w:val="051659E7"/>
    <w:rsid w:val="057E12A3"/>
    <w:rsid w:val="05D20391"/>
    <w:rsid w:val="05DD7EB9"/>
    <w:rsid w:val="0612158C"/>
    <w:rsid w:val="06580079"/>
    <w:rsid w:val="065860AE"/>
    <w:rsid w:val="06AD06BA"/>
    <w:rsid w:val="06D870D9"/>
    <w:rsid w:val="06E87086"/>
    <w:rsid w:val="072867E2"/>
    <w:rsid w:val="072E2ADC"/>
    <w:rsid w:val="07317CAF"/>
    <w:rsid w:val="0756767D"/>
    <w:rsid w:val="0794702E"/>
    <w:rsid w:val="07BB67DE"/>
    <w:rsid w:val="080E48B8"/>
    <w:rsid w:val="081231D7"/>
    <w:rsid w:val="081C06E6"/>
    <w:rsid w:val="0836341F"/>
    <w:rsid w:val="08627F36"/>
    <w:rsid w:val="08910295"/>
    <w:rsid w:val="08CC24B8"/>
    <w:rsid w:val="08FA7CB0"/>
    <w:rsid w:val="09002619"/>
    <w:rsid w:val="0906705B"/>
    <w:rsid w:val="09182359"/>
    <w:rsid w:val="093D5C37"/>
    <w:rsid w:val="09496C5F"/>
    <w:rsid w:val="09603E7B"/>
    <w:rsid w:val="096A7170"/>
    <w:rsid w:val="09795AA3"/>
    <w:rsid w:val="097F1BAB"/>
    <w:rsid w:val="09B6706F"/>
    <w:rsid w:val="09BD386C"/>
    <w:rsid w:val="09C1704B"/>
    <w:rsid w:val="0A456833"/>
    <w:rsid w:val="0A6A38DF"/>
    <w:rsid w:val="0A784893"/>
    <w:rsid w:val="0AA478EC"/>
    <w:rsid w:val="0AA54D4A"/>
    <w:rsid w:val="0AA63B68"/>
    <w:rsid w:val="0AE8271A"/>
    <w:rsid w:val="0B270995"/>
    <w:rsid w:val="0B2F6E81"/>
    <w:rsid w:val="0B336B81"/>
    <w:rsid w:val="0B3F5786"/>
    <w:rsid w:val="0B574A70"/>
    <w:rsid w:val="0B754EBD"/>
    <w:rsid w:val="0BA7170A"/>
    <w:rsid w:val="0BB23954"/>
    <w:rsid w:val="0BF91A69"/>
    <w:rsid w:val="0C3E5D0A"/>
    <w:rsid w:val="0C3F255B"/>
    <w:rsid w:val="0C4777CB"/>
    <w:rsid w:val="0CAC4948"/>
    <w:rsid w:val="0CB2393F"/>
    <w:rsid w:val="0CB73BC8"/>
    <w:rsid w:val="0CFC65C2"/>
    <w:rsid w:val="0D331D41"/>
    <w:rsid w:val="0D3C1E4A"/>
    <w:rsid w:val="0D4977A2"/>
    <w:rsid w:val="0D586092"/>
    <w:rsid w:val="0D8E04F1"/>
    <w:rsid w:val="0DAE1F38"/>
    <w:rsid w:val="0DB577F2"/>
    <w:rsid w:val="0DC61A39"/>
    <w:rsid w:val="0DED25F6"/>
    <w:rsid w:val="0E0768A1"/>
    <w:rsid w:val="0E1C5F0A"/>
    <w:rsid w:val="0E20764D"/>
    <w:rsid w:val="0E450D1D"/>
    <w:rsid w:val="0EA81E8D"/>
    <w:rsid w:val="0EA838C6"/>
    <w:rsid w:val="0EC477BD"/>
    <w:rsid w:val="0F16079E"/>
    <w:rsid w:val="0F446E2A"/>
    <w:rsid w:val="0F466EC3"/>
    <w:rsid w:val="0F6B49B8"/>
    <w:rsid w:val="0F902AC2"/>
    <w:rsid w:val="0FB01864"/>
    <w:rsid w:val="0FBC7D09"/>
    <w:rsid w:val="0FF65E4F"/>
    <w:rsid w:val="101C71B4"/>
    <w:rsid w:val="10404D5C"/>
    <w:rsid w:val="108863D4"/>
    <w:rsid w:val="114747BB"/>
    <w:rsid w:val="11782BE2"/>
    <w:rsid w:val="12060CAE"/>
    <w:rsid w:val="122A220C"/>
    <w:rsid w:val="1233013E"/>
    <w:rsid w:val="12641CBF"/>
    <w:rsid w:val="12B00948"/>
    <w:rsid w:val="12FF1A40"/>
    <w:rsid w:val="13054B8A"/>
    <w:rsid w:val="13596EAB"/>
    <w:rsid w:val="13BA0B3A"/>
    <w:rsid w:val="13C65C0F"/>
    <w:rsid w:val="143626A0"/>
    <w:rsid w:val="143D06DE"/>
    <w:rsid w:val="143E66F8"/>
    <w:rsid w:val="14706BA3"/>
    <w:rsid w:val="1527455E"/>
    <w:rsid w:val="152C2AC9"/>
    <w:rsid w:val="153E0A4F"/>
    <w:rsid w:val="155344FA"/>
    <w:rsid w:val="15881C1F"/>
    <w:rsid w:val="15D47E60"/>
    <w:rsid w:val="15EA5925"/>
    <w:rsid w:val="16207F87"/>
    <w:rsid w:val="16281FDB"/>
    <w:rsid w:val="16413ED4"/>
    <w:rsid w:val="16766603"/>
    <w:rsid w:val="168D7F00"/>
    <w:rsid w:val="16A44284"/>
    <w:rsid w:val="16AF622D"/>
    <w:rsid w:val="16CB4BDB"/>
    <w:rsid w:val="16E47BF8"/>
    <w:rsid w:val="16F91AAB"/>
    <w:rsid w:val="173040BF"/>
    <w:rsid w:val="17344377"/>
    <w:rsid w:val="17352151"/>
    <w:rsid w:val="174B4F8E"/>
    <w:rsid w:val="1753255E"/>
    <w:rsid w:val="176E3905"/>
    <w:rsid w:val="17900C69"/>
    <w:rsid w:val="1797464F"/>
    <w:rsid w:val="17E165B7"/>
    <w:rsid w:val="180429C4"/>
    <w:rsid w:val="18266D3F"/>
    <w:rsid w:val="1833416F"/>
    <w:rsid w:val="1844424B"/>
    <w:rsid w:val="18493212"/>
    <w:rsid w:val="184E6707"/>
    <w:rsid w:val="18834623"/>
    <w:rsid w:val="188655E3"/>
    <w:rsid w:val="18D8177E"/>
    <w:rsid w:val="18E72C92"/>
    <w:rsid w:val="19165065"/>
    <w:rsid w:val="19481100"/>
    <w:rsid w:val="19A60BA5"/>
    <w:rsid w:val="19B5395B"/>
    <w:rsid w:val="19C06599"/>
    <w:rsid w:val="19EE73F5"/>
    <w:rsid w:val="1A6E681F"/>
    <w:rsid w:val="1AA37116"/>
    <w:rsid w:val="1AB119E7"/>
    <w:rsid w:val="1B0E67CD"/>
    <w:rsid w:val="1B6A4A2E"/>
    <w:rsid w:val="1B896827"/>
    <w:rsid w:val="1BAB478B"/>
    <w:rsid w:val="1BB24CF2"/>
    <w:rsid w:val="1BF34408"/>
    <w:rsid w:val="1C4D6134"/>
    <w:rsid w:val="1C6B12C5"/>
    <w:rsid w:val="1C91298B"/>
    <w:rsid w:val="1C924347"/>
    <w:rsid w:val="1CB87F47"/>
    <w:rsid w:val="1CD502D3"/>
    <w:rsid w:val="1D095663"/>
    <w:rsid w:val="1D0B3F3C"/>
    <w:rsid w:val="1D0F7C93"/>
    <w:rsid w:val="1D325D89"/>
    <w:rsid w:val="1D832054"/>
    <w:rsid w:val="1D86415E"/>
    <w:rsid w:val="1DBE19B0"/>
    <w:rsid w:val="1DE94972"/>
    <w:rsid w:val="1E0B467D"/>
    <w:rsid w:val="1E5E5E89"/>
    <w:rsid w:val="1E747998"/>
    <w:rsid w:val="1E93432D"/>
    <w:rsid w:val="1EA36E2C"/>
    <w:rsid w:val="1F2E644A"/>
    <w:rsid w:val="1F5A3B6E"/>
    <w:rsid w:val="1F8B3B8B"/>
    <w:rsid w:val="1FA136BE"/>
    <w:rsid w:val="1FB56853"/>
    <w:rsid w:val="1FBD2E0F"/>
    <w:rsid w:val="1FD030D3"/>
    <w:rsid w:val="1FD433BB"/>
    <w:rsid w:val="1FE4501E"/>
    <w:rsid w:val="20C5141C"/>
    <w:rsid w:val="20DD502F"/>
    <w:rsid w:val="20FB77F4"/>
    <w:rsid w:val="210B273E"/>
    <w:rsid w:val="215F73EA"/>
    <w:rsid w:val="21B46C7A"/>
    <w:rsid w:val="21D553E7"/>
    <w:rsid w:val="21E37E67"/>
    <w:rsid w:val="21E45967"/>
    <w:rsid w:val="21F43ABB"/>
    <w:rsid w:val="22184D77"/>
    <w:rsid w:val="229976A0"/>
    <w:rsid w:val="22A3585D"/>
    <w:rsid w:val="231F144B"/>
    <w:rsid w:val="23237091"/>
    <w:rsid w:val="2350612F"/>
    <w:rsid w:val="237F25CE"/>
    <w:rsid w:val="238528F8"/>
    <w:rsid w:val="243D7F13"/>
    <w:rsid w:val="245A71CF"/>
    <w:rsid w:val="24691587"/>
    <w:rsid w:val="247A4D13"/>
    <w:rsid w:val="24893FAB"/>
    <w:rsid w:val="24952A74"/>
    <w:rsid w:val="249B154A"/>
    <w:rsid w:val="24BB4B12"/>
    <w:rsid w:val="24D20BF3"/>
    <w:rsid w:val="24D27FF5"/>
    <w:rsid w:val="25216C5B"/>
    <w:rsid w:val="25971C42"/>
    <w:rsid w:val="25AE2D68"/>
    <w:rsid w:val="25C26F45"/>
    <w:rsid w:val="260B27E7"/>
    <w:rsid w:val="261F3B09"/>
    <w:rsid w:val="2620231C"/>
    <w:rsid w:val="26733D00"/>
    <w:rsid w:val="26C83CEF"/>
    <w:rsid w:val="26FC458B"/>
    <w:rsid w:val="26FC7CDF"/>
    <w:rsid w:val="27201DB5"/>
    <w:rsid w:val="274912B9"/>
    <w:rsid w:val="27521DE6"/>
    <w:rsid w:val="277F3214"/>
    <w:rsid w:val="279544FE"/>
    <w:rsid w:val="27B25A4E"/>
    <w:rsid w:val="27B931BF"/>
    <w:rsid w:val="27BC6F8B"/>
    <w:rsid w:val="27C732C3"/>
    <w:rsid w:val="27EA0D51"/>
    <w:rsid w:val="27EA4CD2"/>
    <w:rsid w:val="281737E8"/>
    <w:rsid w:val="284C2082"/>
    <w:rsid w:val="284C7467"/>
    <w:rsid w:val="286D7A74"/>
    <w:rsid w:val="28754585"/>
    <w:rsid w:val="28CA1B43"/>
    <w:rsid w:val="28D81C9F"/>
    <w:rsid w:val="28DE3326"/>
    <w:rsid w:val="291B0D03"/>
    <w:rsid w:val="29287CE8"/>
    <w:rsid w:val="29607747"/>
    <w:rsid w:val="29A266C5"/>
    <w:rsid w:val="29B939E7"/>
    <w:rsid w:val="29D502FB"/>
    <w:rsid w:val="29FA13DE"/>
    <w:rsid w:val="2A096496"/>
    <w:rsid w:val="2A8D1131"/>
    <w:rsid w:val="2A9F1E29"/>
    <w:rsid w:val="2AB83EBA"/>
    <w:rsid w:val="2AF6047A"/>
    <w:rsid w:val="2B436740"/>
    <w:rsid w:val="2B4F6601"/>
    <w:rsid w:val="2B5D3F67"/>
    <w:rsid w:val="2B6B0458"/>
    <w:rsid w:val="2BAC62BA"/>
    <w:rsid w:val="2BB21D6B"/>
    <w:rsid w:val="2BC419C2"/>
    <w:rsid w:val="2BF47D7B"/>
    <w:rsid w:val="2BF732F3"/>
    <w:rsid w:val="2C3167C0"/>
    <w:rsid w:val="2C7C5209"/>
    <w:rsid w:val="2C9B5E00"/>
    <w:rsid w:val="2CE12625"/>
    <w:rsid w:val="2D362A2D"/>
    <w:rsid w:val="2D6745FE"/>
    <w:rsid w:val="2D941716"/>
    <w:rsid w:val="2DBD14A3"/>
    <w:rsid w:val="2DCC7F41"/>
    <w:rsid w:val="2DE84511"/>
    <w:rsid w:val="2E077CEB"/>
    <w:rsid w:val="2E354F40"/>
    <w:rsid w:val="2E5844D8"/>
    <w:rsid w:val="2E8D2504"/>
    <w:rsid w:val="2EA332F8"/>
    <w:rsid w:val="2EB55486"/>
    <w:rsid w:val="2EB72749"/>
    <w:rsid w:val="2EC2095F"/>
    <w:rsid w:val="2F3C3A3F"/>
    <w:rsid w:val="2F7767B0"/>
    <w:rsid w:val="2FA7BD84"/>
    <w:rsid w:val="2FB51FE9"/>
    <w:rsid w:val="2FC13AAC"/>
    <w:rsid w:val="2FC453A6"/>
    <w:rsid w:val="2FDE6C75"/>
    <w:rsid w:val="2FF93EEC"/>
    <w:rsid w:val="2FFF68C3"/>
    <w:rsid w:val="30085F1C"/>
    <w:rsid w:val="300928A1"/>
    <w:rsid w:val="301A0EFB"/>
    <w:rsid w:val="303314BA"/>
    <w:rsid w:val="304E19C1"/>
    <w:rsid w:val="30783642"/>
    <w:rsid w:val="30841275"/>
    <w:rsid w:val="30AF49FD"/>
    <w:rsid w:val="313245F4"/>
    <w:rsid w:val="3199238B"/>
    <w:rsid w:val="31C928BC"/>
    <w:rsid w:val="328274A7"/>
    <w:rsid w:val="329C72F8"/>
    <w:rsid w:val="32C43257"/>
    <w:rsid w:val="32C6518A"/>
    <w:rsid w:val="32D465EB"/>
    <w:rsid w:val="32F34A2C"/>
    <w:rsid w:val="33086AB8"/>
    <w:rsid w:val="331A47FA"/>
    <w:rsid w:val="33227143"/>
    <w:rsid w:val="334B6EA6"/>
    <w:rsid w:val="33771904"/>
    <w:rsid w:val="33980D28"/>
    <w:rsid w:val="33C024F3"/>
    <w:rsid w:val="33FA7744"/>
    <w:rsid w:val="341229B0"/>
    <w:rsid w:val="341D3605"/>
    <w:rsid w:val="34391335"/>
    <w:rsid w:val="345433FB"/>
    <w:rsid w:val="345674A5"/>
    <w:rsid w:val="347041D5"/>
    <w:rsid w:val="34977F25"/>
    <w:rsid w:val="34FF6B06"/>
    <w:rsid w:val="351E63DD"/>
    <w:rsid w:val="359262DF"/>
    <w:rsid w:val="35A67C61"/>
    <w:rsid w:val="361E2E7C"/>
    <w:rsid w:val="365D24F5"/>
    <w:rsid w:val="36A53F28"/>
    <w:rsid w:val="36B91204"/>
    <w:rsid w:val="36DB66FA"/>
    <w:rsid w:val="36EE7787"/>
    <w:rsid w:val="36F72464"/>
    <w:rsid w:val="37025AC8"/>
    <w:rsid w:val="37354323"/>
    <w:rsid w:val="37A77D2B"/>
    <w:rsid w:val="37C511DD"/>
    <w:rsid w:val="37E95E38"/>
    <w:rsid w:val="380A4B6E"/>
    <w:rsid w:val="381C0842"/>
    <w:rsid w:val="383D7513"/>
    <w:rsid w:val="38451629"/>
    <w:rsid w:val="3889027D"/>
    <w:rsid w:val="389318CB"/>
    <w:rsid w:val="38C46C41"/>
    <w:rsid w:val="38DD5D05"/>
    <w:rsid w:val="38F3765B"/>
    <w:rsid w:val="38FA38FD"/>
    <w:rsid w:val="39540B2A"/>
    <w:rsid w:val="39562851"/>
    <w:rsid w:val="39965751"/>
    <w:rsid w:val="39C944DB"/>
    <w:rsid w:val="39D81656"/>
    <w:rsid w:val="39F53453"/>
    <w:rsid w:val="3A0D1B30"/>
    <w:rsid w:val="3A157721"/>
    <w:rsid w:val="3A2B64BA"/>
    <w:rsid w:val="3A426A4C"/>
    <w:rsid w:val="3A6E266D"/>
    <w:rsid w:val="3A7E1793"/>
    <w:rsid w:val="3AF771DF"/>
    <w:rsid w:val="3B0A3891"/>
    <w:rsid w:val="3B18052B"/>
    <w:rsid w:val="3B3B0E06"/>
    <w:rsid w:val="3BB02D7C"/>
    <w:rsid w:val="3C112F8A"/>
    <w:rsid w:val="3C2A743B"/>
    <w:rsid w:val="3C3B5B95"/>
    <w:rsid w:val="3CA05E05"/>
    <w:rsid w:val="3CB674C6"/>
    <w:rsid w:val="3CF10852"/>
    <w:rsid w:val="3CF36FB5"/>
    <w:rsid w:val="3D23275A"/>
    <w:rsid w:val="3D2E17CA"/>
    <w:rsid w:val="3D7D7E5B"/>
    <w:rsid w:val="3DC845EF"/>
    <w:rsid w:val="3DD47EFF"/>
    <w:rsid w:val="3DF24EAC"/>
    <w:rsid w:val="3DF655D4"/>
    <w:rsid w:val="3E465893"/>
    <w:rsid w:val="3EB65F9B"/>
    <w:rsid w:val="3EBD5B05"/>
    <w:rsid w:val="3EC22781"/>
    <w:rsid w:val="3EC263EA"/>
    <w:rsid w:val="3ECD3C6B"/>
    <w:rsid w:val="3ED94745"/>
    <w:rsid w:val="3F690FFA"/>
    <w:rsid w:val="3F9E42D8"/>
    <w:rsid w:val="3FC84AEB"/>
    <w:rsid w:val="3FCA0289"/>
    <w:rsid w:val="3FEA0E78"/>
    <w:rsid w:val="3FF752C3"/>
    <w:rsid w:val="3FFE3277"/>
    <w:rsid w:val="402569B7"/>
    <w:rsid w:val="40364FF9"/>
    <w:rsid w:val="40642A31"/>
    <w:rsid w:val="409235F9"/>
    <w:rsid w:val="40A753BD"/>
    <w:rsid w:val="40DE6ABE"/>
    <w:rsid w:val="410C7C85"/>
    <w:rsid w:val="41230F76"/>
    <w:rsid w:val="41531602"/>
    <w:rsid w:val="416B15E0"/>
    <w:rsid w:val="416D041F"/>
    <w:rsid w:val="417A3802"/>
    <w:rsid w:val="41B07D19"/>
    <w:rsid w:val="4251418C"/>
    <w:rsid w:val="42587410"/>
    <w:rsid w:val="428D0B18"/>
    <w:rsid w:val="429D75A2"/>
    <w:rsid w:val="42AD18FE"/>
    <w:rsid w:val="42B91D52"/>
    <w:rsid w:val="42BF7305"/>
    <w:rsid w:val="42EA799C"/>
    <w:rsid w:val="43313FFC"/>
    <w:rsid w:val="4379364E"/>
    <w:rsid w:val="43884ABF"/>
    <w:rsid w:val="43A56DFA"/>
    <w:rsid w:val="43DD0CE5"/>
    <w:rsid w:val="441E42EE"/>
    <w:rsid w:val="44631639"/>
    <w:rsid w:val="446D706D"/>
    <w:rsid w:val="44BF161D"/>
    <w:rsid w:val="44DF2D95"/>
    <w:rsid w:val="450E2C45"/>
    <w:rsid w:val="45216368"/>
    <w:rsid w:val="45236AD0"/>
    <w:rsid w:val="452454F2"/>
    <w:rsid w:val="45507883"/>
    <w:rsid w:val="45943594"/>
    <w:rsid w:val="459715A6"/>
    <w:rsid w:val="45A02594"/>
    <w:rsid w:val="45CF5DC3"/>
    <w:rsid w:val="45D10C67"/>
    <w:rsid w:val="45D46B6F"/>
    <w:rsid w:val="466409ED"/>
    <w:rsid w:val="466753B0"/>
    <w:rsid w:val="467E7FA4"/>
    <w:rsid w:val="46CE1383"/>
    <w:rsid w:val="46F25714"/>
    <w:rsid w:val="472265C3"/>
    <w:rsid w:val="475A7970"/>
    <w:rsid w:val="47755530"/>
    <w:rsid w:val="47861873"/>
    <w:rsid w:val="47906BA6"/>
    <w:rsid w:val="47CA253A"/>
    <w:rsid w:val="47F97F94"/>
    <w:rsid w:val="4830555C"/>
    <w:rsid w:val="4883614D"/>
    <w:rsid w:val="48906A69"/>
    <w:rsid w:val="48B6041B"/>
    <w:rsid w:val="48B66823"/>
    <w:rsid w:val="48BC3476"/>
    <w:rsid w:val="48EB3EFE"/>
    <w:rsid w:val="491935CB"/>
    <w:rsid w:val="49394074"/>
    <w:rsid w:val="49722352"/>
    <w:rsid w:val="49AE56CA"/>
    <w:rsid w:val="49E503E1"/>
    <w:rsid w:val="4A2125C5"/>
    <w:rsid w:val="4A262B85"/>
    <w:rsid w:val="4A2F7392"/>
    <w:rsid w:val="4A6E1D21"/>
    <w:rsid w:val="4AA23A8D"/>
    <w:rsid w:val="4AF61407"/>
    <w:rsid w:val="4B80387A"/>
    <w:rsid w:val="4B9A53A5"/>
    <w:rsid w:val="4BDD7B44"/>
    <w:rsid w:val="4BDE7713"/>
    <w:rsid w:val="4BEF2F92"/>
    <w:rsid w:val="4C04478B"/>
    <w:rsid w:val="4C162E58"/>
    <w:rsid w:val="4C3D113C"/>
    <w:rsid w:val="4C9219BB"/>
    <w:rsid w:val="4CF20821"/>
    <w:rsid w:val="4D02503D"/>
    <w:rsid w:val="4D0B0C3B"/>
    <w:rsid w:val="4D341EAC"/>
    <w:rsid w:val="4D4F0B2E"/>
    <w:rsid w:val="4D5E7958"/>
    <w:rsid w:val="4D603578"/>
    <w:rsid w:val="4D70170E"/>
    <w:rsid w:val="4DD51332"/>
    <w:rsid w:val="4DDB439D"/>
    <w:rsid w:val="4DEF56FA"/>
    <w:rsid w:val="4E1A4EAE"/>
    <w:rsid w:val="4E2770E9"/>
    <w:rsid w:val="4E3C5083"/>
    <w:rsid w:val="4E5C624D"/>
    <w:rsid w:val="4E8C4B6A"/>
    <w:rsid w:val="4E910A3A"/>
    <w:rsid w:val="4EA467B9"/>
    <w:rsid w:val="4EC46E05"/>
    <w:rsid w:val="4EFC22AE"/>
    <w:rsid w:val="4F0A685C"/>
    <w:rsid w:val="4F375AAF"/>
    <w:rsid w:val="4FB64544"/>
    <w:rsid w:val="4FCA7E3C"/>
    <w:rsid w:val="4FD125B9"/>
    <w:rsid w:val="4FF0088A"/>
    <w:rsid w:val="50216C63"/>
    <w:rsid w:val="50CD6207"/>
    <w:rsid w:val="50CF3D2E"/>
    <w:rsid w:val="50D36B7A"/>
    <w:rsid w:val="50E27A87"/>
    <w:rsid w:val="515D7B14"/>
    <w:rsid w:val="517A42F9"/>
    <w:rsid w:val="518A79B5"/>
    <w:rsid w:val="51CD3C78"/>
    <w:rsid w:val="5252635E"/>
    <w:rsid w:val="52C330FB"/>
    <w:rsid w:val="52CF2970"/>
    <w:rsid w:val="53010005"/>
    <w:rsid w:val="531A2133"/>
    <w:rsid w:val="53392DD0"/>
    <w:rsid w:val="53534E78"/>
    <w:rsid w:val="53630C7E"/>
    <w:rsid w:val="53647042"/>
    <w:rsid w:val="536963A3"/>
    <w:rsid w:val="538A34C1"/>
    <w:rsid w:val="538A4FA6"/>
    <w:rsid w:val="53AC0712"/>
    <w:rsid w:val="53AC321C"/>
    <w:rsid w:val="53B11D6B"/>
    <w:rsid w:val="53C96A6C"/>
    <w:rsid w:val="53E21FCA"/>
    <w:rsid w:val="54A1075C"/>
    <w:rsid w:val="54A56C51"/>
    <w:rsid w:val="54E61131"/>
    <w:rsid w:val="55120101"/>
    <w:rsid w:val="55707574"/>
    <w:rsid w:val="55B6789C"/>
    <w:rsid w:val="56376902"/>
    <w:rsid w:val="56382375"/>
    <w:rsid w:val="565D0A3A"/>
    <w:rsid w:val="567A13BB"/>
    <w:rsid w:val="568B315E"/>
    <w:rsid w:val="56B319F7"/>
    <w:rsid w:val="56D36A1E"/>
    <w:rsid w:val="56DC513F"/>
    <w:rsid w:val="56E117CD"/>
    <w:rsid w:val="56F93DF6"/>
    <w:rsid w:val="572D0377"/>
    <w:rsid w:val="573F1679"/>
    <w:rsid w:val="5781168A"/>
    <w:rsid w:val="578A1A6E"/>
    <w:rsid w:val="57B45B67"/>
    <w:rsid w:val="57B4790F"/>
    <w:rsid w:val="57D3787C"/>
    <w:rsid w:val="581C244A"/>
    <w:rsid w:val="58DC42A6"/>
    <w:rsid w:val="58E27B71"/>
    <w:rsid w:val="58E67486"/>
    <w:rsid w:val="58F610D5"/>
    <w:rsid w:val="58FF0BAB"/>
    <w:rsid w:val="593067C0"/>
    <w:rsid w:val="593E7DE4"/>
    <w:rsid w:val="59794D43"/>
    <w:rsid w:val="598242B3"/>
    <w:rsid w:val="5995211C"/>
    <w:rsid w:val="59A467EA"/>
    <w:rsid w:val="59B5540F"/>
    <w:rsid w:val="59C24FC3"/>
    <w:rsid w:val="5A137381"/>
    <w:rsid w:val="5A23577D"/>
    <w:rsid w:val="5A58328A"/>
    <w:rsid w:val="5A5F2E3F"/>
    <w:rsid w:val="5ADD7786"/>
    <w:rsid w:val="5AE92D42"/>
    <w:rsid w:val="5B073F40"/>
    <w:rsid w:val="5B734753"/>
    <w:rsid w:val="5BA97E2D"/>
    <w:rsid w:val="5BFC534A"/>
    <w:rsid w:val="5C01066C"/>
    <w:rsid w:val="5C0F29E5"/>
    <w:rsid w:val="5C1B21B5"/>
    <w:rsid w:val="5C980D28"/>
    <w:rsid w:val="5CAA12E7"/>
    <w:rsid w:val="5CB36E99"/>
    <w:rsid w:val="5CF32170"/>
    <w:rsid w:val="5D035418"/>
    <w:rsid w:val="5D0F745E"/>
    <w:rsid w:val="5D5E00ED"/>
    <w:rsid w:val="5D8E5F10"/>
    <w:rsid w:val="5DA01A68"/>
    <w:rsid w:val="5DF943F4"/>
    <w:rsid w:val="5E1B78BB"/>
    <w:rsid w:val="5E2336EC"/>
    <w:rsid w:val="5E5628E3"/>
    <w:rsid w:val="5E63369B"/>
    <w:rsid w:val="5EBC62A8"/>
    <w:rsid w:val="5EBF3633"/>
    <w:rsid w:val="5ED32523"/>
    <w:rsid w:val="5F021399"/>
    <w:rsid w:val="5F1E5F5B"/>
    <w:rsid w:val="5F714FF4"/>
    <w:rsid w:val="5FAD7930"/>
    <w:rsid w:val="5FB55714"/>
    <w:rsid w:val="5FD17AC2"/>
    <w:rsid w:val="5FD32BED"/>
    <w:rsid w:val="5FE16947"/>
    <w:rsid w:val="603B4F3C"/>
    <w:rsid w:val="6073279B"/>
    <w:rsid w:val="609D0F90"/>
    <w:rsid w:val="60DD03E1"/>
    <w:rsid w:val="60E730EB"/>
    <w:rsid w:val="61262235"/>
    <w:rsid w:val="612C2AD6"/>
    <w:rsid w:val="61474730"/>
    <w:rsid w:val="61515168"/>
    <w:rsid w:val="61615E08"/>
    <w:rsid w:val="61AE7BC4"/>
    <w:rsid w:val="61E57855"/>
    <w:rsid w:val="61E72BEC"/>
    <w:rsid w:val="625D0F94"/>
    <w:rsid w:val="625E7EBB"/>
    <w:rsid w:val="628C4DBB"/>
    <w:rsid w:val="62B93C55"/>
    <w:rsid w:val="62C85D66"/>
    <w:rsid w:val="62CC35EB"/>
    <w:rsid w:val="62EE2739"/>
    <w:rsid w:val="63037A20"/>
    <w:rsid w:val="63163A3E"/>
    <w:rsid w:val="634113E9"/>
    <w:rsid w:val="63615055"/>
    <w:rsid w:val="63750D66"/>
    <w:rsid w:val="63905096"/>
    <w:rsid w:val="63AA4459"/>
    <w:rsid w:val="63D954D3"/>
    <w:rsid w:val="63E957B8"/>
    <w:rsid w:val="63F21B73"/>
    <w:rsid w:val="6400087E"/>
    <w:rsid w:val="64153CF6"/>
    <w:rsid w:val="64471F6E"/>
    <w:rsid w:val="6473010E"/>
    <w:rsid w:val="648A46E4"/>
    <w:rsid w:val="64B42794"/>
    <w:rsid w:val="64D52CDD"/>
    <w:rsid w:val="64DA2A98"/>
    <w:rsid w:val="64EC202D"/>
    <w:rsid w:val="650F4BE9"/>
    <w:rsid w:val="65262EAA"/>
    <w:rsid w:val="654D50D6"/>
    <w:rsid w:val="65900F76"/>
    <w:rsid w:val="65BB1D5E"/>
    <w:rsid w:val="6608394C"/>
    <w:rsid w:val="66283729"/>
    <w:rsid w:val="6659611C"/>
    <w:rsid w:val="66636AB9"/>
    <w:rsid w:val="667800BA"/>
    <w:rsid w:val="66D529D1"/>
    <w:rsid w:val="66E33816"/>
    <w:rsid w:val="66E53109"/>
    <w:rsid w:val="66F27736"/>
    <w:rsid w:val="6731162E"/>
    <w:rsid w:val="67317420"/>
    <w:rsid w:val="67536467"/>
    <w:rsid w:val="675D5DBC"/>
    <w:rsid w:val="676D324D"/>
    <w:rsid w:val="67891494"/>
    <w:rsid w:val="68352AF9"/>
    <w:rsid w:val="68376930"/>
    <w:rsid w:val="683975EA"/>
    <w:rsid w:val="685C2EAD"/>
    <w:rsid w:val="68663B55"/>
    <w:rsid w:val="686723EB"/>
    <w:rsid w:val="686E0E64"/>
    <w:rsid w:val="68943AAC"/>
    <w:rsid w:val="68C5210E"/>
    <w:rsid w:val="68CE3643"/>
    <w:rsid w:val="68EA14B1"/>
    <w:rsid w:val="69056186"/>
    <w:rsid w:val="690D48A3"/>
    <w:rsid w:val="69230C63"/>
    <w:rsid w:val="69453654"/>
    <w:rsid w:val="696434DB"/>
    <w:rsid w:val="69964E94"/>
    <w:rsid w:val="6A1074F7"/>
    <w:rsid w:val="6A1526D6"/>
    <w:rsid w:val="6A4C5023"/>
    <w:rsid w:val="6A5F3B4B"/>
    <w:rsid w:val="6A8C7A20"/>
    <w:rsid w:val="6A9B5A25"/>
    <w:rsid w:val="6AA83A17"/>
    <w:rsid w:val="6AC20063"/>
    <w:rsid w:val="6AC431C7"/>
    <w:rsid w:val="6AD07963"/>
    <w:rsid w:val="6B1F6996"/>
    <w:rsid w:val="6B582042"/>
    <w:rsid w:val="6B8C1C30"/>
    <w:rsid w:val="6B9F3A1B"/>
    <w:rsid w:val="6BB713A0"/>
    <w:rsid w:val="6BB804D0"/>
    <w:rsid w:val="6BCF402A"/>
    <w:rsid w:val="6C0C15EF"/>
    <w:rsid w:val="6C113BB4"/>
    <w:rsid w:val="6C492838"/>
    <w:rsid w:val="6D0609E6"/>
    <w:rsid w:val="6D2A0812"/>
    <w:rsid w:val="6D405B13"/>
    <w:rsid w:val="6D577AA5"/>
    <w:rsid w:val="6D632980"/>
    <w:rsid w:val="6DFF4322"/>
    <w:rsid w:val="6E0F5BD9"/>
    <w:rsid w:val="6E533D98"/>
    <w:rsid w:val="6E5F461D"/>
    <w:rsid w:val="6E732015"/>
    <w:rsid w:val="6E7A184A"/>
    <w:rsid w:val="6EF634B7"/>
    <w:rsid w:val="6F0F7267"/>
    <w:rsid w:val="6F5953DE"/>
    <w:rsid w:val="6F7A6D8C"/>
    <w:rsid w:val="6F8A1A3C"/>
    <w:rsid w:val="6FE07671"/>
    <w:rsid w:val="6FE91028"/>
    <w:rsid w:val="70150E0D"/>
    <w:rsid w:val="70151979"/>
    <w:rsid w:val="706C3987"/>
    <w:rsid w:val="70A41DEC"/>
    <w:rsid w:val="70B0488B"/>
    <w:rsid w:val="70C65160"/>
    <w:rsid w:val="70DD36C8"/>
    <w:rsid w:val="70FC294E"/>
    <w:rsid w:val="710161BB"/>
    <w:rsid w:val="710169EE"/>
    <w:rsid w:val="710669AC"/>
    <w:rsid w:val="710C5236"/>
    <w:rsid w:val="713A39CC"/>
    <w:rsid w:val="71837A19"/>
    <w:rsid w:val="720542C3"/>
    <w:rsid w:val="722317DB"/>
    <w:rsid w:val="72C0166C"/>
    <w:rsid w:val="72CC4119"/>
    <w:rsid w:val="730C2D14"/>
    <w:rsid w:val="73165749"/>
    <w:rsid w:val="73244795"/>
    <w:rsid w:val="73275EED"/>
    <w:rsid w:val="73A77DB9"/>
    <w:rsid w:val="73AF42AF"/>
    <w:rsid w:val="73F53C66"/>
    <w:rsid w:val="741F3448"/>
    <w:rsid w:val="743A19BF"/>
    <w:rsid w:val="74564C98"/>
    <w:rsid w:val="746D4602"/>
    <w:rsid w:val="74811FAE"/>
    <w:rsid w:val="7497789D"/>
    <w:rsid w:val="74AF0266"/>
    <w:rsid w:val="74D36D42"/>
    <w:rsid w:val="74DE12C2"/>
    <w:rsid w:val="74E21280"/>
    <w:rsid w:val="755F5223"/>
    <w:rsid w:val="75731DE4"/>
    <w:rsid w:val="75862CA5"/>
    <w:rsid w:val="75875DBF"/>
    <w:rsid w:val="75AC4A24"/>
    <w:rsid w:val="76B830FE"/>
    <w:rsid w:val="76DC560E"/>
    <w:rsid w:val="76E3071E"/>
    <w:rsid w:val="76FD5F03"/>
    <w:rsid w:val="770844AD"/>
    <w:rsid w:val="774C3E15"/>
    <w:rsid w:val="77530D68"/>
    <w:rsid w:val="776D5B51"/>
    <w:rsid w:val="779914EB"/>
    <w:rsid w:val="77F552C1"/>
    <w:rsid w:val="7860333A"/>
    <w:rsid w:val="788E2A53"/>
    <w:rsid w:val="78A9306A"/>
    <w:rsid w:val="78BB7F7E"/>
    <w:rsid w:val="78D57A23"/>
    <w:rsid w:val="791126FA"/>
    <w:rsid w:val="795356E8"/>
    <w:rsid w:val="795A36B5"/>
    <w:rsid w:val="79B83F66"/>
    <w:rsid w:val="79BE4704"/>
    <w:rsid w:val="79C16919"/>
    <w:rsid w:val="79C918A3"/>
    <w:rsid w:val="79CE218D"/>
    <w:rsid w:val="79F33066"/>
    <w:rsid w:val="7A0D42E5"/>
    <w:rsid w:val="7A14231D"/>
    <w:rsid w:val="7A516564"/>
    <w:rsid w:val="7A7A2AED"/>
    <w:rsid w:val="7A8C77A7"/>
    <w:rsid w:val="7A9B605F"/>
    <w:rsid w:val="7AC0780A"/>
    <w:rsid w:val="7AC8069F"/>
    <w:rsid w:val="7AC953F3"/>
    <w:rsid w:val="7AD7217E"/>
    <w:rsid w:val="7ADB1CC6"/>
    <w:rsid w:val="7ADF39A8"/>
    <w:rsid w:val="7AEA338E"/>
    <w:rsid w:val="7AFF0B90"/>
    <w:rsid w:val="7B2E2AF6"/>
    <w:rsid w:val="7B3A054B"/>
    <w:rsid w:val="7B4F4292"/>
    <w:rsid w:val="7B801174"/>
    <w:rsid w:val="7B894049"/>
    <w:rsid w:val="7BD03867"/>
    <w:rsid w:val="7BFC7DE1"/>
    <w:rsid w:val="7BFFB6EF"/>
    <w:rsid w:val="7C021FA7"/>
    <w:rsid w:val="7C3F7266"/>
    <w:rsid w:val="7C486BBE"/>
    <w:rsid w:val="7C503D93"/>
    <w:rsid w:val="7C597158"/>
    <w:rsid w:val="7D245671"/>
    <w:rsid w:val="7D3D633F"/>
    <w:rsid w:val="7D440915"/>
    <w:rsid w:val="7D4B62EB"/>
    <w:rsid w:val="7D8E5D5D"/>
    <w:rsid w:val="7D902DBD"/>
    <w:rsid w:val="7DA31052"/>
    <w:rsid w:val="7DA46C49"/>
    <w:rsid w:val="7E2B3A18"/>
    <w:rsid w:val="7E5D2521"/>
    <w:rsid w:val="7E7C4C45"/>
    <w:rsid w:val="7E8B1A7B"/>
    <w:rsid w:val="7E92342D"/>
    <w:rsid w:val="7EEE6FF3"/>
    <w:rsid w:val="7EFD6E22"/>
    <w:rsid w:val="7F160899"/>
    <w:rsid w:val="7F4C286A"/>
    <w:rsid w:val="7F791185"/>
    <w:rsid w:val="7FA25DA6"/>
    <w:rsid w:val="7FB039CB"/>
    <w:rsid w:val="7FC93EBA"/>
    <w:rsid w:val="7FD9374A"/>
    <w:rsid w:val="917B3852"/>
    <w:rsid w:val="BADBE779"/>
    <w:rsid w:val="BFEE5C64"/>
    <w:rsid w:val="DEDE3C87"/>
    <w:rsid w:val="DEF2F827"/>
    <w:rsid w:val="E6DF37D2"/>
    <w:rsid w:val="EDF98B43"/>
    <w:rsid w:val="F3FF65E2"/>
    <w:rsid w:val="F5D280E2"/>
    <w:rsid w:val="FFFFCC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styleId="2">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22"/>
    <w:autoRedefine/>
    <w:semiHidden/>
    <w:unhideWhenUsed/>
    <w:qFormat/>
    <w:uiPriority w:val="0"/>
    <w:pPr>
      <w:keepNext/>
      <w:keepLines/>
      <w:spacing w:before="260" w:after="260" w:line="416" w:lineRule="auto"/>
      <w:outlineLvl w:val="2"/>
    </w:pPr>
    <w:rPr>
      <w:b/>
      <w:bCs/>
      <w:sz w:val="32"/>
      <w:szCs w:val="32"/>
    </w:rPr>
  </w:style>
  <w:style w:type="paragraph" w:styleId="4">
    <w:name w:val="heading 4"/>
    <w:basedOn w:val="1"/>
    <w:next w:val="1"/>
    <w:autoRedefine/>
    <w:semiHidden/>
    <w:unhideWhenUsed/>
    <w:qFormat/>
    <w:uiPriority w:val="0"/>
    <w:pPr>
      <w:keepNext/>
      <w:keepLines/>
      <w:spacing w:before="280" w:after="290" w:line="372" w:lineRule="auto"/>
      <w:outlineLvl w:val="3"/>
    </w:pPr>
    <w:rPr>
      <w:rFonts w:ascii="Arial" w:hAnsi="Arial"/>
      <w:b/>
      <w:sz w:val="28"/>
    </w:rPr>
  </w:style>
  <w:style w:type="paragraph" w:styleId="5">
    <w:name w:val="heading 5"/>
    <w:basedOn w:val="1"/>
    <w:next w:val="1"/>
    <w:autoRedefine/>
    <w:semiHidden/>
    <w:unhideWhenUsed/>
    <w:qFormat/>
    <w:uiPriority w:val="0"/>
    <w:pPr>
      <w:keepNext/>
      <w:keepLines/>
      <w:spacing w:before="280" w:after="290" w:line="372" w:lineRule="auto"/>
      <w:outlineLvl w:val="4"/>
    </w:pPr>
    <w:rPr>
      <w:rFonts w:asciiTheme="minorHAnsi" w:hAnsiTheme="minorHAnsi"/>
      <w:b/>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18"/>
    <w:autoRedefine/>
    <w:qFormat/>
    <w:uiPriority w:val="0"/>
    <w:pPr>
      <w:jc w:val="left"/>
    </w:pPr>
  </w:style>
  <w:style w:type="paragraph" w:styleId="7">
    <w:name w:val="Balloon Text"/>
    <w:basedOn w:val="1"/>
    <w:link w:val="20"/>
    <w:autoRedefine/>
    <w:qFormat/>
    <w:uiPriority w:val="0"/>
    <w:pPr>
      <w:spacing w:line="240" w:lineRule="auto"/>
    </w:pPr>
    <w:rPr>
      <w:sz w:val="18"/>
      <w:szCs w:val="18"/>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Autospacing="1" w:afterAutospacing="1"/>
      <w:jc w:val="left"/>
    </w:pPr>
    <w:rPr>
      <w:kern w:val="0"/>
    </w:rPr>
  </w:style>
  <w:style w:type="paragraph" w:styleId="11">
    <w:name w:val="annotation subject"/>
    <w:basedOn w:val="6"/>
    <w:next w:val="6"/>
    <w:link w:val="19"/>
    <w:autoRedefine/>
    <w:qFormat/>
    <w:uiPriority w:val="0"/>
    <w:rPr>
      <w:b/>
      <w:bCs/>
    </w:rPr>
  </w:style>
  <w:style w:type="character" w:styleId="14">
    <w:name w:val="Strong"/>
    <w:basedOn w:val="13"/>
    <w:autoRedefine/>
    <w:qFormat/>
    <w:uiPriority w:val="22"/>
    <w:rPr>
      <w:b/>
      <w:bCs/>
    </w:rPr>
  </w:style>
  <w:style w:type="character" w:styleId="15">
    <w:name w:val="Emphasis"/>
    <w:basedOn w:val="13"/>
    <w:autoRedefine/>
    <w:qFormat/>
    <w:uiPriority w:val="20"/>
    <w:rPr>
      <w:i/>
      <w:iCs/>
    </w:rPr>
  </w:style>
  <w:style w:type="character" w:styleId="16">
    <w:name w:val="Hyperlink"/>
    <w:basedOn w:val="13"/>
    <w:autoRedefine/>
    <w:qFormat/>
    <w:uiPriority w:val="0"/>
    <w:rPr>
      <w:color w:val="0000FF"/>
      <w:u w:val="single"/>
    </w:rPr>
  </w:style>
  <w:style w:type="character" w:styleId="17">
    <w:name w:val="annotation reference"/>
    <w:basedOn w:val="13"/>
    <w:autoRedefine/>
    <w:qFormat/>
    <w:uiPriority w:val="0"/>
    <w:rPr>
      <w:sz w:val="21"/>
      <w:szCs w:val="21"/>
    </w:rPr>
  </w:style>
  <w:style w:type="character" w:customStyle="1" w:styleId="18">
    <w:name w:val="批注文字 字符"/>
    <w:basedOn w:val="13"/>
    <w:link w:val="6"/>
    <w:autoRedefine/>
    <w:qFormat/>
    <w:uiPriority w:val="0"/>
    <w:rPr>
      <w:kern w:val="2"/>
      <w:sz w:val="24"/>
      <w:szCs w:val="24"/>
    </w:rPr>
  </w:style>
  <w:style w:type="character" w:customStyle="1" w:styleId="19">
    <w:name w:val="批注主题 字符"/>
    <w:basedOn w:val="18"/>
    <w:link w:val="11"/>
    <w:autoRedefine/>
    <w:qFormat/>
    <w:uiPriority w:val="0"/>
    <w:rPr>
      <w:b/>
      <w:bCs/>
      <w:kern w:val="2"/>
      <w:sz w:val="24"/>
      <w:szCs w:val="24"/>
    </w:rPr>
  </w:style>
  <w:style w:type="character" w:customStyle="1" w:styleId="20">
    <w:name w:val="批注框文本 字符"/>
    <w:basedOn w:val="13"/>
    <w:link w:val="7"/>
    <w:autoRedefine/>
    <w:qFormat/>
    <w:uiPriority w:val="0"/>
    <w:rPr>
      <w:kern w:val="2"/>
      <w:sz w:val="18"/>
      <w:szCs w:val="18"/>
    </w:rPr>
  </w:style>
  <w:style w:type="paragraph" w:customStyle="1" w:styleId="21">
    <w:name w:val="修订1"/>
    <w:autoRedefine/>
    <w:hidden/>
    <w:semiHidden/>
    <w:qFormat/>
    <w:uiPriority w:val="99"/>
    <w:rPr>
      <w:rFonts w:ascii="Times New Roman" w:hAnsi="Times New Roman" w:eastAsia="宋体" w:cs="Times New Roman"/>
      <w:kern w:val="2"/>
      <w:sz w:val="24"/>
      <w:szCs w:val="24"/>
      <w:lang w:val="en-US" w:eastAsia="zh-CN" w:bidi="ar-SA"/>
    </w:rPr>
  </w:style>
  <w:style w:type="character" w:customStyle="1" w:styleId="22">
    <w:name w:val="标题 3 字符"/>
    <w:basedOn w:val="13"/>
    <w:link w:val="3"/>
    <w:autoRedefine/>
    <w:semiHidden/>
    <w:qFormat/>
    <w:uiPriority w:val="0"/>
    <w:rPr>
      <w:b/>
      <w:bCs/>
      <w:kern w:val="2"/>
      <w:sz w:val="32"/>
      <w:szCs w:val="32"/>
    </w:rPr>
  </w:style>
  <w:style w:type="paragraph" w:customStyle="1" w:styleId="23">
    <w:name w:val="修订2"/>
    <w:hidden/>
    <w:unhideWhenUsed/>
    <w:qFormat/>
    <w:uiPriority w:val="99"/>
    <w:rPr>
      <w:rFonts w:ascii="Times New Roman" w:hAnsi="Times New Roman" w:eastAsia="宋体" w:cs="Times New Roman"/>
      <w:kern w:val="2"/>
      <w:sz w:val="24"/>
      <w:szCs w:val="24"/>
      <w:lang w:val="en-US" w:eastAsia="zh-CN" w:bidi="ar-SA"/>
    </w:rPr>
  </w:style>
  <w:style w:type="paragraph" w:customStyle="1" w:styleId="24">
    <w:name w:val="修订3"/>
    <w:hidden/>
    <w:unhideWhenUsed/>
    <w:qFormat/>
    <w:uiPriority w:val="99"/>
    <w:rPr>
      <w:rFonts w:ascii="Times New Roman" w:hAnsi="Times New Roman" w:eastAsia="宋体" w:cs="Times New Roman"/>
      <w:kern w:val="2"/>
      <w:sz w:val="24"/>
      <w:szCs w:val="24"/>
      <w:lang w:val="en-US" w:eastAsia="zh-CN" w:bidi="ar-SA"/>
    </w:rPr>
  </w:style>
  <w:style w:type="paragraph" w:customStyle="1" w:styleId="25">
    <w:name w:val="修订4"/>
    <w:hidden/>
    <w:unhideWhenUsed/>
    <w:qFormat/>
    <w:uiPriority w:val="99"/>
    <w:rPr>
      <w:rFonts w:ascii="Times New Roman" w:hAnsi="Times New Roman" w:eastAsia="宋体" w:cs="Times New Roman"/>
      <w:kern w:val="2"/>
      <w:sz w:val="24"/>
      <w:szCs w:val="24"/>
      <w:lang w:val="en-US" w:eastAsia="zh-CN" w:bidi="ar-SA"/>
    </w:rPr>
  </w:style>
  <w:style w:type="paragraph" w:customStyle="1" w:styleId="26">
    <w:name w:val="修订5"/>
    <w:hidden/>
    <w:unhideWhenUsed/>
    <w:qFormat/>
    <w:uiPriority w:val="99"/>
    <w:rPr>
      <w:rFonts w:ascii="Times New Roman" w:hAnsi="Times New Roman" w:eastAsia="宋体" w:cs="Times New Roman"/>
      <w:kern w:val="2"/>
      <w:sz w:val="24"/>
      <w:szCs w:val="24"/>
      <w:lang w:val="en-US" w:eastAsia="zh-CN" w:bidi="ar-SA"/>
    </w:rPr>
  </w:style>
  <w:style w:type="paragraph" w:customStyle="1" w:styleId="27">
    <w:name w:val="Revision"/>
    <w:hidden/>
    <w:unhideWhenUsed/>
    <w:qFormat/>
    <w:uiPriority w:val="99"/>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3720</Words>
  <Characters>4116</Characters>
  <Lines>28</Lines>
  <Paragraphs>7</Paragraphs>
  <TotalTime>57</TotalTime>
  <ScaleCrop>false</ScaleCrop>
  <LinksUpToDate>false</LinksUpToDate>
  <CharactersWithSpaces>4222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2026-06-18T08:26:00Z</dcterms:created>
  <dc:creator>砚</dc:creator>
  <cp:lastModifiedBy>insta360-w</cp:lastModifiedBy>
  <dcterms:modified xsi:type="dcterms:W3CDTF">2026-10-14T06:42:59Z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03A4C52A0E064CA39993129F25041503_13</vt:lpwstr>
  </property>
  <property fmtid="{D5CDD505-2E9C-101B-9397-08002B2CF9AE}" pid="4" name="KSOTemplateDocerSaveRecord">
    <vt:lpwstr>eyJoZGlkIjoiYjBhNDlhYjZjZGVjOWVhMTc1MzU5OWFlOTJiYTY3NTIiLCJ1c2VySWQiOiIxNzM3MjEwOTYzIn0=</vt:lpwstr>
  </property>
</Properties>
</file>