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C5A29">
      <w:pPr>
        <w:ind w:firstLine="120" w:firstLineChars="50"/>
        <w:rPr>
          <w:rFonts w:hint="eastAsia" w:ascii="宋体" w:hAnsi="宋体"/>
          <w:b/>
          <w:bCs/>
          <w:iCs/>
          <w:color w:val="000000"/>
        </w:rPr>
      </w:pPr>
      <w:bookmarkStart w:id="0" w:name="_GoBack"/>
      <w:bookmarkEnd w:id="0"/>
      <w:r>
        <w:rPr>
          <w:bCs/>
          <w:iCs/>
          <w:color w:val="000000"/>
        </w:rPr>
        <w:t>证券代码：</w:t>
      </w:r>
      <w:r>
        <w:rPr>
          <w:rFonts w:hint="eastAsia"/>
          <w:bCs/>
          <w:iCs/>
          <w:color w:val="000000"/>
        </w:rPr>
        <w:t>6</w:t>
      </w:r>
      <w:r>
        <w:rPr>
          <w:bCs/>
          <w:iCs/>
          <w:color w:val="000000"/>
        </w:rPr>
        <w:t>88709                                            证券简称：</w:t>
      </w:r>
      <w:r>
        <w:rPr>
          <w:rFonts w:hint="eastAsia"/>
          <w:bCs/>
          <w:iCs/>
          <w:color w:val="000000"/>
        </w:rPr>
        <w:t>成都华微</w:t>
      </w:r>
    </w:p>
    <w:p w14:paraId="750BB2C1">
      <w:pPr>
        <w:spacing w:before="163" w:beforeLines="50"/>
        <w:ind w:firstLine="0" w:firstLineChars="0"/>
        <w:jc w:val="center"/>
        <w:rPr>
          <w:rFonts w:hint="eastAsia" w:ascii="黑体" w:hAnsi="黑体" w:eastAsia="黑体"/>
          <w:bCs/>
          <w:iCs/>
          <w:color w:val="000000"/>
          <w:sz w:val="32"/>
          <w:szCs w:val="32"/>
        </w:rPr>
      </w:pPr>
      <w:r>
        <w:rPr>
          <w:rFonts w:hint="eastAsia" w:ascii="黑体" w:hAnsi="黑体" w:eastAsia="黑体"/>
          <w:bCs/>
          <w:iCs/>
          <w:color w:val="000000"/>
          <w:sz w:val="32"/>
          <w:szCs w:val="32"/>
        </w:rPr>
        <w:t>成都华微电子科技股份有限公司</w:t>
      </w:r>
    </w:p>
    <w:p w14:paraId="5CD58A7A">
      <w:pPr>
        <w:spacing w:after="163" w:afterLines="50"/>
        <w:ind w:firstLine="0" w:firstLineChars="0"/>
        <w:jc w:val="center"/>
        <w:rPr>
          <w:rFonts w:hint="eastAsia" w:ascii="黑体" w:hAnsi="黑体" w:eastAsia="黑体"/>
          <w:bCs/>
          <w:iCs/>
          <w:color w:val="000000"/>
          <w:sz w:val="32"/>
          <w:szCs w:val="32"/>
        </w:rPr>
      </w:pPr>
      <w:r>
        <w:rPr>
          <w:rFonts w:hint="eastAsia" w:ascii="黑体" w:hAnsi="黑体" w:eastAsia="黑体"/>
          <w:bCs/>
          <w:iCs/>
          <w:color w:val="000000"/>
          <w:sz w:val="32"/>
          <w:szCs w:val="32"/>
        </w:rPr>
        <w:t>投资者关系活动记录表</w:t>
      </w:r>
    </w:p>
    <w:p w14:paraId="072E479C">
      <w:pPr>
        <w:spacing w:line="400" w:lineRule="exact"/>
        <w:ind w:firstLine="480"/>
        <w:rPr>
          <w:rFonts w:hint="eastAsia" w:ascii="宋体" w:hAnsi="宋体" w:eastAsia="宋体"/>
          <w:bCs/>
          <w:iCs/>
          <w:color w:val="000000"/>
          <w:lang w:val="en-US" w:eastAsia="zh-CN"/>
        </w:rPr>
      </w:pPr>
      <w:r>
        <w:rPr>
          <w:rFonts w:hint="eastAsia" w:ascii="宋体" w:hAnsi="宋体"/>
          <w:bCs/>
          <w:iCs/>
          <w:color w:val="000000"/>
        </w:rPr>
        <w:t xml:space="preserve">                                                         编号：2</w:t>
      </w:r>
      <w:r>
        <w:rPr>
          <w:rFonts w:ascii="宋体" w:hAnsi="宋体"/>
          <w:bCs/>
          <w:iCs/>
          <w:color w:val="000000"/>
        </w:rPr>
        <w:t>02</w:t>
      </w:r>
      <w:r>
        <w:rPr>
          <w:rFonts w:hint="eastAsia" w:ascii="宋体" w:hAnsi="宋体"/>
          <w:bCs/>
          <w:iCs/>
          <w:color w:val="000000"/>
          <w:lang w:val="en-US" w:eastAsia="zh-CN"/>
        </w:rPr>
        <w:t>6</w:t>
      </w:r>
      <w:r>
        <w:rPr>
          <w:rFonts w:ascii="宋体" w:hAnsi="宋体"/>
          <w:bCs/>
          <w:iCs/>
          <w:color w:val="000000"/>
        </w:rPr>
        <w:t>-00</w:t>
      </w:r>
      <w:r>
        <w:rPr>
          <w:rFonts w:hint="eastAsia" w:ascii="宋体" w:hAnsi="宋体"/>
          <w:bCs/>
          <w:iCs/>
          <w:color w:val="000000"/>
          <w:lang w:val="en-US" w:eastAsia="zh-CN"/>
        </w:rPr>
        <w:t>2</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7585"/>
      </w:tblGrid>
      <w:tr w14:paraId="0598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3"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14:paraId="157DE49F">
            <w:pPr>
              <w:ind w:firstLine="0" w:firstLineChars="0"/>
              <w:rPr>
                <w:rFonts w:hint="eastAsia" w:ascii="宋体" w:hAnsi="宋体"/>
                <w:bCs/>
                <w:iCs/>
                <w:color w:val="000000"/>
              </w:rPr>
            </w:pPr>
            <w:r>
              <w:rPr>
                <w:rFonts w:hint="eastAsia" w:ascii="宋体" w:hAnsi="宋体"/>
                <w:bCs/>
                <w:iCs/>
                <w:color w:val="000000"/>
              </w:rPr>
              <w:t>投资者关系活动类别</w:t>
            </w:r>
          </w:p>
          <w:p w14:paraId="19B85D0A">
            <w:pPr>
              <w:ind w:firstLine="0" w:firstLineChars="0"/>
              <w:rPr>
                <w:rFonts w:hint="eastAsia" w:ascii="宋体" w:hAnsi="宋体"/>
                <w:bCs/>
                <w:iCs/>
                <w:color w:val="000000"/>
              </w:rPr>
            </w:pPr>
          </w:p>
        </w:tc>
        <w:tc>
          <w:tcPr>
            <w:tcW w:w="7585" w:type="dxa"/>
            <w:tcBorders>
              <w:top w:val="single" w:color="auto" w:sz="4" w:space="0"/>
              <w:left w:val="single" w:color="auto" w:sz="4" w:space="0"/>
              <w:bottom w:val="single" w:color="auto" w:sz="4" w:space="0"/>
              <w:right w:val="single" w:color="auto" w:sz="4" w:space="0"/>
            </w:tcBorders>
          </w:tcPr>
          <w:p w14:paraId="50D601BA">
            <w:pPr>
              <w:spacing w:line="480" w:lineRule="atLeast"/>
              <w:ind w:firstLine="240" w:firstLineChars="100"/>
              <w:rPr>
                <w:rFonts w:hint="eastAsia" w:ascii="宋体" w:hAnsi="宋体"/>
                <w:bCs/>
                <w:iCs/>
                <w:color w:val="000000"/>
              </w:rPr>
            </w:pPr>
            <w:r>
              <w:rPr>
                <w:rFonts w:hint="eastAsia" w:ascii="宋体" w:hAnsi="宋体"/>
                <w:bCs/>
                <w:iCs/>
                <w:color w:val="000000"/>
              </w:rPr>
              <w:t>□</w:t>
            </w:r>
            <w:r>
              <w:rPr>
                <w:rFonts w:hint="eastAsia" w:ascii="宋体" w:hAnsi="宋体"/>
              </w:rPr>
              <w:t xml:space="preserve">特定对象调研    </w:t>
            </w:r>
            <w:r>
              <w:rPr>
                <w:rFonts w:ascii="宋体" w:hAnsi="宋体"/>
              </w:rPr>
              <w:t xml:space="preserve">      </w:t>
            </w:r>
            <w:r>
              <w:rPr>
                <w:rFonts w:hint="eastAsia" w:ascii="宋体" w:hAnsi="宋体"/>
              </w:rPr>
              <w:t xml:space="preserve">    </w:t>
            </w:r>
            <w:r>
              <w:rPr>
                <w:rFonts w:hint="eastAsia" w:ascii="宋体" w:hAnsi="宋体"/>
                <w:bCs/>
                <w:iCs/>
                <w:color w:val="000000"/>
              </w:rPr>
              <w:t>□</w:t>
            </w:r>
            <w:r>
              <w:rPr>
                <w:rFonts w:hint="eastAsia" w:ascii="宋体" w:hAnsi="宋体"/>
              </w:rPr>
              <w:t>分析师会议</w:t>
            </w:r>
          </w:p>
          <w:p w14:paraId="3D0D2625">
            <w:pPr>
              <w:spacing w:line="480" w:lineRule="atLeast"/>
              <w:ind w:firstLine="240" w:firstLineChars="100"/>
              <w:rPr>
                <w:rFonts w:hint="eastAsia" w:ascii="宋体" w:hAnsi="宋体"/>
                <w:bCs/>
                <w:iCs/>
                <w:color w:val="000000"/>
              </w:rPr>
            </w:pPr>
            <w:r>
              <w:rPr>
                <w:rFonts w:hint="eastAsia" w:ascii="宋体" w:hAnsi="宋体"/>
                <w:bCs/>
                <w:iCs/>
                <w:color w:val="000000"/>
              </w:rPr>
              <w:t>□</w:t>
            </w:r>
            <w:r>
              <w:rPr>
                <w:rFonts w:hint="eastAsia" w:ascii="宋体" w:hAnsi="宋体"/>
              </w:rPr>
              <w:t xml:space="preserve">媒体采访        </w:t>
            </w:r>
            <w:r>
              <w:rPr>
                <w:rFonts w:ascii="宋体" w:hAnsi="宋体"/>
              </w:rPr>
              <w:t xml:space="preserve">      </w:t>
            </w:r>
            <w:r>
              <w:rPr>
                <w:rFonts w:hint="eastAsia" w:ascii="宋体" w:hAnsi="宋体"/>
              </w:rPr>
              <w:t xml:space="preserve">    </w:t>
            </w:r>
            <w:r>
              <w:rPr>
                <w:rFonts w:hint="eastAsia" w:ascii="宋体" w:hAnsi="宋体"/>
                <w:bCs/>
                <w:iCs/>
                <w:color w:val="000000"/>
              </w:rPr>
              <w:t>■</w:t>
            </w:r>
            <w:r>
              <w:rPr>
                <w:rFonts w:hint="eastAsia" w:ascii="宋体" w:hAnsi="宋体"/>
              </w:rPr>
              <w:t>业绩说明会</w:t>
            </w:r>
          </w:p>
          <w:p w14:paraId="3C7D30A9">
            <w:pPr>
              <w:spacing w:line="480" w:lineRule="atLeast"/>
              <w:ind w:firstLine="240" w:firstLineChars="100"/>
              <w:rPr>
                <w:rFonts w:hint="eastAsia" w:ascii="宋体" w:hAnsi="宋体"/>
                <w:bCs/>
                <w:iCs/>
                <w:color w:val="000000"/>
              </w:rPr>
            </w:pPr>
            <w:r>
              <w:rPr>
                <w:rFonts w:hint="eastAsia" w:ascii="宋体" w:hAnsi="宋体"/>
                <w:bCs/>
                <w:iCs/>
                <w:color w:val="000000"/>
              </w:rPr>
              <w:t>□</w:t>
            </w:r>
            <w:r>
              <w:rPr>
                <w:rFonts w:hint="eastAsia" w:ascii="宋体" w:hAnsi="宋体"/>
              </w:rPr>
              <w:t xml:space="preserve">新闻发布会        </w:t>
            </w:r>
            <w:r>
              <w:rPr>
                <w:rFonts w:ascii="宋体" w:hAnsi="宋体"/>
              </w:rPr>
              <w:t xml:space="preserve">      </w:t>
            </w:r>
            <w:r>
              <w:rPr>
                <w:rFonts w:hint="eastAsia" w:ascii="宋体" w:hAnsi="宋体"/>
              </w:rPr>
              <w:t xml:space="preserve">  </w:t>
            </w:r>
            <w:r>
              <w:rPr>
                <w:rFonts w:hint="eastAsia" w:ascii="宋体" w:hAnsi="宋体"/>
                <w:bCs/>
                <w:iCs/>
                <w:color w:val="000000"/>
              </w:rPr>
              <w:t>□</w:t>
            </w:r>
            <w:r>
              <w:rPr>
                <w:rFonts w:hint="eastAsia" w:ascii="宋体" w:hAnsi="宋体"/>
              </w:rPr>
              <w:t>路演活动</w:t>
            </w:r>
          </w:p>
          <w:p w14:paraId="29C0875B">
            <w:pPr>
              <w:tabs>
                <w:tab w:val="left" w:pos="3045"/>
                <w:tab w:val="center" w:pos="3199"/>
              </w:tabs>
              <w:spacing w:line="480" w:lineRule="atLeast"/>
              <w:ind w:firstLine="240" w:firstLineChars="100"/>
              <w:rPr>
                <w:rFonts w:hint="eastAsia" w:ascii="宋体" w:hAnsi="宋体"/>
                <w:bCs/>
                <w:iCs/>
                <w:color w:val="000000"/>
              </w:rPr>
            </w:pPr>
            <w:r>
              <w:rPr>
                <w:rFonts w:hint="eastAsia" w:ascii="宋体" w:hAnsi="宋体"/>
                <w:bCs/>
                <w:iCs/>
                <w:color w:val="000000"/>
              </w:rPr>
              <w:t>□</w:t>
            </w:r>
            <w:r>
              <w:rPr>
                <w:rFonts w:hint="eastAsia" w:ascii="宋体" w:hAnsi="宋体"/>
              </w:rPr>
              <w:t>现场参观</w:t>
            </w:r>
            <w:r>
              <w:rPr>
                <w:rFonts w:hint="eastAsia" w:ascii="宋体" w:hAnsi="宋体"/>
                <w:bCs/>
                <w:iCs/>
                <w:color w:val="000000"/>
              </w:rPr>
              <w:tab/>
            </w:r>
          </w:p>
          <w:p w14:paraId="5A157E3B">
            <w:pPr>
              <w:tabs>
                <w:tab w:val="center" w:pos="3199"/>
              </w:tabs>
              <w:spacing w:line="480" w:lineRule="atLeast"/>
              <w:ind w:firstLine="240" w:firstLineChars="100"/>
              <w:rPr>
                <w:rFonts w:hint="eastAsia" w:ascii="宋体" w:hAnsi="宋体"/>
                <w:bCs/>
                <w:iCs/>
                <w:color w:val="000000"/>
              </w:rPr>
            </w:pPr>
            <w:r>
              <w:rPr>
                <w:rFonts w:hint="eastAsia" w:ascii="宋体" w:hAnsi="宋体"/>
                <w:bCs/>
                <w:iCs/>
                <w:color w:val="000000"/>
              </w:rPr>
              <w:t>□</w:t>
            </w:r>
            <w:r>
              <w:rPr>
                <w:rFonts w:hint="eastAsia" w:ascii="宋体" w:hAnsi="宋体"/>
              </w:rPr>
              <w:t>其他 （</w:t>
            </w:r>
            <w:r>
              <w:rPr>
                <w:rFonts w:hint="eastAsia" w:ascii="宋体" w:hAnsi="宋体"/>
                <w:u w:val="single"/>
              </w:rPr>
              <w:t>请文字说明其他活动内容）</w:t>
            </w:r>
          </w:p>
        </w:tc>
      </w:tr>
      <w:tr w14:paraId="7E49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vAlign w:val="center"/>
          </w:tcPr>
          <w:p w14:paraId="472FB290">
            <w:pPr>
              <w:ind w:firstLine="0" w:firstLineChars="0"/>
              <w:rPr>
                <w:rFonts w:hint="eastAsia" w:ascii="宋体" w:hAnsi="宋体"/>
                <w:bCs/>
                <w:iCs/>
                <w:color w:val="000000"/>
              </w:rPr>
            </w:pPr>
            <w:r>
              <w:rPr>
                <w:rFonts w:hint="eastAsia" w:ascii="宋体" w:hAnsi="宋体"/>
                <w:bCs/>
                <w:iCs/>
                <w:color w:val="000000"/>
              </w:rPr>
              <w:t>参与单位名称及人员姓名</w:t>
            </w:r>
          </w:p>
        </w:tc>
        <w:tc>
          <w:tcPr>
            <w:tcW w:w="7585" w:type="dxa"/>
            <w:tcBorders>
              <w:top w:val="single" w:color="auto" w:sz="4" w:space="0"/>
              <w:left w:val="single" w:color="auto" w:sz="4" w:space="0"/>
              <w:bottom w:val="single" w:color="auto" w:sz="4" w:space="0"/>
              <w:right w:val="single" w:color="auto" w:sz="4" w:space="0"/>
            </w:tcBorders>
            <w:vAlign w:val="center"/>
          </w:tcPr>
          <w:p w14:paraId="0BE228F0">
            <w:pPr>
              <w:spacing w:line="480" w:lineRule="atLeast"/>
              <w:ind w:firstLine="0" w:firstLineChars="0"/>
              <w:rPr>
                <w:rFonts w:hint="eastAsia" w:ascii="宋体" w:hAnsi="宋体"/>
                <w:bCs/>
                <w:iCs/>
                <w:color w:val="000000"/>
              </w:rPr>
            </w:pPr>
            <w:r>
              <w:rPr>
                <w:rFonts w:ascii="宋体" w:hAnsi="宋体"/>
                <w:bCs/>
                <w:iCs/>
                <w:color w:val="000000"/>
              </w:rPr>
              <w:t>投资者网上提问</w:t>
            </w:r>
          </w:p>
        </w:tc>
      </w:tr>
      <w:tr w14:paraId="58C10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vAlign w:val="center"/>
          </w:tcPr>
          <w:p w14:paraId="5BE3F601">
            <w:pPr>
              <w:ind w:firstLine="0" w:firstLineChars="0"/>
              <w:rPr>
                <w:rFonts w:hint="eastAsia" w:ascii="宋体" w:hAnsi="宋体"/>
                <w:bCs/>
                <w:iCs/>
                <w:color w:val="000000"/>
              </w:rPr>
            </w:pPr>
            <w:r>
              <w:rPr>
                <w:rFonts w:hint="eastAsia" w:ascii="宋体" w:hAnsi="宋体"/>
                <w:bCs/>
                <w:iCs/>
                <w:color w:val="000000"/>
              </w:rPr>
              <w:t>时间</w:t>
            </w:r>
          </w:p>
        </w:tc>
        <w:tc>
          <w:tcPr>
            <w:tcW w:w="7585" w:type="dxa"/>
            <w:tcBorders>
              <w:top w:val="single" w:color="auto" w:sz="4" w:space="0"/>
              <w:left w:val="single" w:color="auto" w:sz="4" w:space="0"/>
              <w:bottom w:val="single" w:color="auto" w:sz="4" w:space="0"/>
              <w:right w:val="single" w:color="auto" w:sz="4" w:space="0"/>
            </w:tcBorders>
            <w:vAlign w:val="center"/>
          </w:tcPr>
          <w:p w14:paraId="536159DB">
            <w:pPr>
              <w:spacing w:line="240" w:lineRule="auto"/>
              <w:ind w:firstLine="0" w:firstLineChars="0"/>
              <w:rPr>
                <w:rFonts w:hint="eastAsia" w:ascii="宋体" w:hAnsi="宋体"/>
                <w:bCs/>
                <w:iCs/>
                <w:color w:val="000000"/>
              </w:rPr>
            </w:pPr>
            <w:r>
              <w:rPr>
                <w:rFonts w:hint="eastAsia" w:ascii="宋体" w:hAnsi="宋体"/>
                <w:bCs/>
                <w:iCs/>
                <w:color w:val="000000"/>
              </w:rPr>
              <w:t>2</w:t>
            </w:r>
            <w:r>
              <w:rPr>
                <w:rFonts w:ascii="宋体" w:hAnsi="宋体"/>
                <w:bCs/>
                <w:iCs/>
                <w:color w:val="000000"/>
              </w:rPr>
              <w:t>02</w:t>
            </w:r>
            <w:r>
              <w:rPr>
                <w:rFonts w:hint="eastAsia" w:ascii="宋体" w:hAnsi="宋体"/>
                <w:bCs/>
                <w:iCs/>
                <w:color w:val="000000"/>
                <w:lang w:val="en-US" w:eastAsia="zh-CN"/>
              </w:rPr>
              <w:t>6</w:t>
            </w:r>
            <w:r>
              <w:rPr>
                <w:rFonts w:ascii="宋体" w:hAnsi="宋体"/>
                <w:bCs/>
                <w:iCs/>
                <w:color w:val="000000"/>
              </w:rPr>
              <w:t>年</w:t>
            </w:r>
            <w:r>
              <w:rPr>
                <w:rFonts w:hint="eastAsia" w:ascii="宋体" w:hAnsi="宋体"/>
                <w:bCs/>
                <w:iCs/>
                <w:color w:val="000000"/>
              </w:rPr>
              <w:t>1</w:t>
            </w:r>
            <w:r>
              <w:rPr>
                <w:rFonts w:hint="eastAsia" w:ascii="宋体" w:hAnsi="宋体"/>
                <w:bCs/>
                <w:iCs/>
                <w:color w:val="000000"/>
                <w:lang w:val="en-US" w:eastAsia="zh-CN"/>
              </w:rPr>
              <w:t>0</w:t>
            </w:r>
            <w:r>
              <w:rPr>
                <w:rFonts w:hint="eastAsia" w:ascii="宋体" w:hAnsi="宋体"/>
                <w:bCs/>
                <w:iCs/>
                <w:color w:val="000000"/>
              </w:rPr>
              <w:t>月</w:t>
            </w:r>
            <w:r>
              <w:rPr>
                <w:rFonts w:hint="eastAsia" w:ascii="宋体" w:hAnsi="宋体"/>
                <w:bCs/>
                <w:iCs/>
                <w:color w:val="000000"/>
                <w:lang w:val="en-US" w:eastAsia="zh-CN"/>
              </w:rPr>
              <w:t>13</w:t>
            </w:r>
            <w:r>
              <w:rPr>
                <w:rFonts w:hint="eastAsia" w:ascii="宋体" w:hAnsi="宋体"/>
                <w:bCs/>
                <w:iCs/>
                <w:color w:val="000000"/>
              </w:rPr>
              <w:t xml:space="preserve">日 </w:t>
            </w:r>
            <w:r>
              <w:rPr>
                <w:rFonts w:ascii="宋体" w:hAnsi="宋体"/>
                <w:bCs/>
                <w:iCs/>
                <w:color w:val="000000"/>
              </w:rPr>
              <w:t>11:00-12:00</w:t>
            </w:r>
          </w:p>
        </w:tc>
      </w:tr>
      <w:tr w14:paraId="1FC8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vAlign w:val="center"/>
          </w:tcPr>
          <w:p w14:paraId="00ABEA0C">
            <w:pPr>
              <w:ind w:firstLine="0" w:firstLineChars="0"/>
              <w:rPr>
                <w:rFonts w:hint="eastAsia" w:ascii="宋体" w:hAnsi="宋体"/>
                <w:bCs/>
                <w:iCs/>
                <w:color w:val="000000"/>
              </w:rPr>
            </w:pPr>
            <w:r>
              <w:rPr>
                <w:rFonts w:hint="eastAsia" w:ascii="宋体" w:hAnsi="宋体"/>
                <w:bCs/>
                <w:iCs/>
                <w:color w:val="000000"/>
              </w:rPr>
              <w:t>地点</w:t>
            </w:r>
          </w:p>
        </w:tc>
        <w:tc>
          <w:tcPr>
            <w:tcW w:w="7585" w:type="dxa"/>
            <w:tcBorders>
              <w:top w:val="single" w:color="auto" w:sz="4" w:space="0"/>
              <w:left w:val="single" w:color="auto" w:sz="4" w:space="0"/>
              <w:bottom w:val="single" w:color="auto" w:sz="4" w:space="0"/>
              <w:right w:val="single" w:color="auto" w:sz="4" w:space="0"/>
            </w:tcBorders>
            <w:vAlign w:val="center"/>
          </w:tcPr>
          <w:p w14:paraId="5E3E86DB">
            <w:pPr>
              <w:spacing w:line="240" w:lineRule="auto"/>
              <w:ind w:firstLine="0" w:firstLineChars="0"/>
              <w:rPr>
                <w:rFonts w:hint="eastAsia" w:ascii="宋体" w:hAnsi="宋体"/>
                <w:bCs/>
                <w:iCs/>
                <w:color w:val="000000"/>
              </w:rPr>
            </w:pPr>
            <w:r>
              <w:rPr>
                <w:rFonts w:hint="eastAsia" w:ascii="宋体" w:hAnsi="宋体"/>
                <w:bCs/>
                <w:iCs/>
                <w:color w:val="000000"/>
              </w:rPr>
              <w:t>上海证券交易所上证路演中心</w:t>
            </w:r>
          </w:p>
        </w:tc>
      </w:tr>
      <w:tr w14:paraId="1187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vAlign w:val="center"/>
          </w:tcPr>
          <w:p w14:paraId="63DB3E09">
            <w:pPr>
              <w:ind w:firstLine="0" w:firstLineChars="0"/>
              <w:rPr>
                <w:rFonts w:hint="eastAsia" w:ascii="宋体" w:hAnsi="宋体"/>
                <w:bCs/>
                <w:iCs/>
                <w:color w:val="000000"/>
              </w:rPr>
            </w:pPr>
            <w:r>
              <w:rPr>
                <w:rFonts w:hint="eastAsia" w:ascii="宋体" w:hAnsi="宋体"/>
                <w:bCs/>
                <w:iCs/>
                <w:color w:val="000000"/>
              </w:rPr>
              <w:t>上市公司接待人员姓名</w:t>
            </w:r>
          </w:p>
        </w:tc>
        <w:tc>
          <w:tcPr>
            <w:tcW w:w="7585" w:type="dxa"/>
            <w:tcBorders>
              <w:top w:val="single" w:color="auto" w:sz="4" w:space="0"/>
              <w:left w:val="single" w:color="auto" w:sz="4" w:space="0"/>
              <w:bottom w:val="single" w:color="auto" w:sz="4" w:space="0"/>
              <w:right w:val="single" w:color="auto" w:sz="4" w:space="0"/>
            </w:tcBorders>
          </w:tcPr>
          <w:p w14:paraId="6CE7BE93">
            <w:pPr>
              <w:spacing w:line="480" w:lineRule="atLeast"/>
              <w:ind w:firstLine="0" w:firstLineChars="0"/>
              <w:rPr>
                <w:rFonts w:hint="eastAsia" w:ascii="宋体" w:hAnsi="宋体"/>
                <w:bCs/>
                <w:iCs/>
                <w:color w:val="000000"/>
              </w:rPr>
            </w:pPr>
            <w:r>
              <w:rPr>
                <w:rFonts w:hint="eastAsia" w:ascii="宋体" w:hAnsi="宋体"/>
                <w:bCs/>
                <w:iCs/>
                <w:color w:val="000000"/>
              </w:rPr>
              <w:t>董事长（代行董事会秘书职责）李烨先生</w:t>
            </w:r>
            <w:r>
              <w:rPr>
                <w:rFonts w:hint="eastAsia" w:ascii="宋体" w:hAnsi="宋体"/>
                <w:bCs/>
                <w:iCs/>
                <w:color w:val="000000"/>
                <w:lang w:eastAsia="zh-CN"/>
              </w:rPr>
              <w:t>，</w:t>
            </w:r>
            <w:r>
              <w:rPr>
                <w:rFonts w:hint="eastAsia" w:ascii="宋体" w:hAnsi="宋体"/>
                <w:bCs/>
                <w:iCs/>
                <w:color w:val="000000"/>
              </w:rPr>
              <w:t>董事兼总经理王策先生</w:t>
            </w:r>
            <w:r>
              <w:rPr>
                <w:rFonts w:hint="eastAsia" w:ascii="宋体" w:hAnsi="宋体"/>
                <w:bCs/>
                <w:iCs/>
                <w:color w:val="000000"/>
                <w:lang w:eastAsia="zh-CN"/>
              </w:rPr>
              <w:t>，</w:t>
            </w:r>
            <w:r>
              <w:rPr>
                <w:rFonts w:hint="eastAsia" w:ascii="宋体" w:hAnsi="宋体"/>
                <w:bCs/>
                <w:iCs/>
                <w:color w:val="000000"/>
              </w:rPr>
              <w:t>独立董事万国超先生</w:t>
            </w:r>
            <w:r>
              <w:rPr>
                <w:rFonts w:hint="eastAsia" w:ascii="宋体" w:hAnsi="宋体"/>
                <w:bCs/>
                <w:iCs/>
                <w:color w:val="000000"/>
                <w:lang w:eastAsia="zh-CN"/>
              </w:rPr>
              <w:t>，</w:t>
            </w:r>
            <w:r>
              <w:rPr>
                <w:rFonts w:hint="eastAsia" w:ascii="宋体" w:hAnsi="宋体"/>
                <w:bCs/>
                <w:iCs/>
                <w:color w:val="000000"/>
              </w:rPr>
              <w:t>总会计师周燕琳女士</w:t>
            </w:r>
          </w:p>
        </w:tc>
      </w:tr>
      <w:tr w14:paraId="28DFE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14:paraId="0566C1F5">
            <w:pPr>
              <w:ind w:firstLine="0" w:firstLineChars="0"/>
              <w:rPr>
                <w:rFonts w:hint="eastAsia" w:ascii="宋体" w:hAnsi="宋体"/>
                <w:bCs/>
                <w:iCs/>
                <w:color w:val="000000"/>
              </w:rPr>
            </w:pPr>
            <w:r>
              <w:rPr>
                <w:rFonts w:hint="eastAsia" w:ascii="宋体" w:hAnsi="宋体"/>
                <w:bCs/>
                <w:iCs/>
                <w:color w:val="000000"/>
              </w:rPr>
              <w:t>投资者关系活动主要内容介绍</w:t>
            </w:r>
          </w:p>
          <w:p w14:paraId="522B77D2">
            <w:pPr>
              <w:ind w:firstLine="0" w:firstLineChars="0"/>
              <w:rPr>
                <w:rFonts w:hint="eastAsia" w:ascii="宋体" w:hAnsi="宋体"/>
                <w:bCs/>
                <w:iCs/>
                <w:color w:val="000000"/>
              </w:rPr>
            </w:pPr>
          </w:p>
        </w:tc>
        <w:tc>
          <w:tcPr>
            <w:tcW w:w="7585" w:type="dxa"/>
            <w:tcBorders>
              <w:top w:val="single" w:color="auto" w:sz="4" w:space="0"/>
              <w:left w:val="single" w:color="auto" w:sz="4" w:space="0"/>
              <w:bottom w:val="single" w:color="auto" w:sz="4" w:space="0"/>
              <w:right w:val="single" w:color="auto" w:sz="4" w:space="0"/>
            </w:tcBorders>
          </w:tcPr>
          <w:p w14:paraId="1B21E76B">
            <w:pPr>
              <w:numPr>
                <w:ilvl w:val="0"/>
                <w:numId w:val="1"/>
              </w:numPr>
              <w:spacing w:line="480" w:lineRule="atLeast"/>
              <w:ind w:firstLine="480"/>
              <w:rPr>
                <w:rFonts w:hint="eastAsia" w:ascii="宋体" w:hAnsi="宋体"/>
                <w:b/>
                <w:bCs/>
                <w:iCs/>
                <w:color w:val="000000"/>
              </w:rPr>
            </w:pPr>
            <w:r>
              <w:rPr>
                <w:rFonts w:hint="eastAsia" w:ascii="宋体" w:hAnsi="宋体"/>
                <w:b/>
                <w:bCs/>
                <w:iCs/>
                <w:color w:val="000000"/>
              </w:rPr>
              <w:t>半导体行业一向注重研发建设，请问公司的研发体系是怎样的？是否会因为业绩承压而缩减研发投入？</w:t>
            </w:r>
          </w:p>
          <w:p w14:paraId="1002334F">
            <w:pPr>
              <w:spacing w:line="480" w:lineRule="atLeast"/>
              <w:ind w:firstLine="480"/>
              <w:rPr>
                <w:rFonts w:hint="default" w:ascii="宋体"/>
                <w:lang w:val="en-US"/>
              </w:rPr>
            </w:pPr>
            <w:r>
              <w:rPr>
                <w:rFonts w:hint="default" w:ascii="宋体"/>
                <w:lang w:val="en-US"/>
              </w:rPr>
              <w:t>尊敬的投资者，您好！公司自设立以来深耕特种集成电路领域，拥有深厚的技术积淀，建立了完善的研发体系，形成了一系列具有自主知识产权的核心技术成果，在FPGA、高速高精度ADC、智能SoC等领域承接了多项国家重点研发计划和科技重大专项，整体技术储备位于特种集成电路设计行业第一梯队。公司积极应对市场变化，持续推动业务发展。作为技术驱动型企业，公司始终将研发创新视为战略核心。2026年上半年，公司研发投入强度进一步提升，研发投入合计13,842.24万元，同比增加37.96%，同时研发投入占营业收入比例达到55.40%，同比增加27.13个百分点，充分体现了公司对技术创新的高度重视和持续投入。感谢您的关注！</w:t>
            </w:r>
          </w:p>
          <w:p w14:paraId="64B60CF8">
            <w:pPr>
              <w:spacing w:line="480" w:lineRule="atLeast"/>
              <w:ind w:firstLine="482"/>
              <w:rPr>
                <w:rFonts w:hint="eastAsia" w:ascii="宋体" w:hAnsi="宋体"/>
                <w:b/>
                <w:bCs/>
                <w:iCs/>
                <w:color w:val="000000"/>
              </w:rPr>
            </w:pPr>
            <w:r>
              <w:rPr>
                <w:rFonts w:hint="eastAsia" w:ascii="宋体" w:hAnsi="宋体"/>
                <w:b/>
                <w:bCs/>
                <w:iCs/>
                <w:color w:val="000000"/>
              </w:rPr>
              <w:t>2</w:t>
            </w:r>
            <w:r>
              <w:rPr>
                <w:rFonts w:ascii="宋体" w:hAnsi="宋体"/>
                <w:b/>
                <w:bCs/>
                <w:iCs/>
                <w:color w:val="000000"/>
              </w:rPr>
              <w:t>.</w:t>
            </w:r>
            <w:r>
              <w:rPr>
                <w:rFonts w:hint="eastAsia" w:ascii="宋体" w:hAnsi="宋体"/>
                <w:b/>
                <w:bCs/>
                <w:iCs/>
                <w:color w:val="000000"/>
              </w:rPr>
              <w:t>管理层好，我有两个问题。第一，今年公司股价已经下跌约52%，长期投资者亏损严重，大家信心偏弱。想请管理层谈谈，如何看待今年股价的大幅下行？除了外部行业因素，公司内部有无需要提示的经营层面风险？后续公司打算采取哪些实际行动提振二级市场信心、维护股东权益？ 第二，公司计划2026年底完工的新建产业基地项目，目前最新进展如何，能否按时完工交付？项目建成之后，将新增哪些核心能力，对于ADC、FPGA等主业产品研发和产业化落地有多大助力？中长期来看，该项目对公司业绩端的增量预期如何？</w:t>
            </w:r>
          </w:p>
          <w:p w14:paraId="04F09313">
            <w:pPr>
              <w:spacing w:line="480" w:lineRule="atLeast"/>
              <w:ind w:firstLine="480"/>
              <w:rPr>
                <w:rFonts w:ascii="宋体"/>
              </w:rPr>
            </w:pPr>
            <w:r>
              <w:rPr>
                <w:rFonts w:hint="eastAsia" w:ascii="宋体"/>
              </w:rPr>
              <w:t>尊敬的投资者，您好！现就您关心的问题回复如下：一、公司股价受行业周期、宏观经济、市场情绪等多重因素影响，我们充分理解您对公司股价表现及股东权益的关切。目前公司经营正常，各项研发项目、客户拓展合作均按计划有序推进，不存在应披露而未披露的重大事项。公司将持续聚焦主业，深入开拓市场与客户资源；加大研发投入，持续推进产品技术的研发与储备；积极引入人才，打造核心竞争力；强化公司治理，努力提高经营抗风险能力。二、公司“高端集成电路研发及产业基地”项目，目前已基本投入使用。该项目的实施将助力公司打造集设计、测试、应用开发为一体的高端集成电路产业平台，强化巩固公司在特种集成电路领域的核心地位。感谢您的关注！</w:t>
            </w:r>
          </w:p>
          <w:p w14:paraId="1C46F64E">
            <w:pPr>
              <w:spacing w:line="480" w:lineRule="atLeast"/>
              <w:ind w:firstLine="482"/>
              <w:rPr>
                <w:rFonts w:hint="eastAsia" w:ascii="宋体" w:hAnsi="宋体"/>
                <w:b/>
                <w:bCs/>
                <w:iCs/>
                <w:color w:val="000000"/>
              </w:rPr>
            </w:pPr>
            <w:r>
              <w:rPr>
                <w:rFonts w:hint="eastAsia" w:ascii="宋体" w:hAnsi="宋体"/>
                <w:b/>
                <w:bCs/>
                <w:iCs/>
                <w:color w:val="000000"/>
              </w:rPr>
              <w:t>3</w:t>
            </w:r>
            <w:r>
              <w:rPr>
                <w:rFonts w:ascii="宋体" w:hAnsi="宋体"/>
                <w:b/>
                <w:bCs/>
                <w:iCs/>
                <w:color w:val="000000"/>
              </w:rPr>
              <w:t>.</w:t>
            </w:r>
            <w:r>
              <w:rPr>
                <w:rFonts w:hint="eastAsia" w:ascii="宋体" w:hAnsi="宋体"/>
                <w:b/>
                <w:bCs/>
                <w:iCs/>
                <w:color w:val="000000"/>
              </w:rPr>
              <w:t>公司今年上半年营收下滑，处于亏损状态，公司打算采取什么措施来提升经营能力？</w:t>
            </w:r>
          </w:p>
          <w:p w14:paraId="6963BCDD">
            <w:pPr>
              <w:spacing w:line="480" w:lineRule="atLeast"/>
              <w:ind w:firstLine="480"/>
              <w:rPr>
                <w:rFonts w:hint="eastAsia" w:ascii="宋体" w:hAnsi="宋体"/>
                <w:bCs/>
                <w:iCs/>
                <w:color w:val="000000"/>
              </w:rPr>
            </w:pPr>
            <w:r>
              <w:rPr>
                <w:rFonts w:hint="eastAsia" w:ascii="宋体" w:hAnsi="宋体"/>
                <w:bCs/>
                <w:iCs/>
                <w:color w:val="000000"/>
              </w:rPr>
              <w:t>尊敬的投资者，您好！公司全面深耕行业，加强营销网络建设，组建专业技术支持团队，协助客户技术验证与应用，协同研发把握需求，推动新产品研发，同时优化市场战略布局，推进多领域融合；其次，公司加大研发投入，深耕特种集成电路，建立完善研发体系，形成自主知识产权核心技术及多项专利、布图设计权、软件著作权，技术储备居特种集成电路设计行业第一梯队，FPGA、高速高精度ADC、智能SoC等领域承接了多项国家重点研发计划和科技重大专项，并形成逻辑、模拟、存储、微控制器、时间敏感网络等多系列产品，具备综合解决方案能力。同时，公司重视人才作为持续创新第一生产力，完善高层次人才占比，制定有竞争力薪酬体系，健全内部选拔晋升机制，调动员工积极性和创造性；通过强化治理，以采购、销售、工程项目等为抓手，按照相互制约监督、兼顾运营效率原则优化流程和审批权限，健全规章制度与内控合规，提升抗风险能力，为持续健康发展奠定基础。感谢您的关注！</w:t>
            </w:r>
          </w:p>
          <w:p w14:paraId="325162C5">
            <w:pPr>
              <w:spacing w:line="480" w:lineRule="atLeast"/>
              <w:ind w:firstLine="482"/>
              <w:rPr>
                <w:rFonts w:hint="eastAsia" w:ascii="宋体" w:hAnsi="宋体"/>
                <w:b/>
                <w:bCs/>
                <w:iCs/>
                <w:color w:val="000000"/>
              </w:rPr>
            </w:pPr>
            <w:r>
              <w:rPr>
                <w:rFonts w:hint="eastAsia" w:ascii="宋体" w:hAnsi="宋体"/>
                <w:b/>
                <w:bCs/>
                <w:iCs/>
                <w:color w:val="000000"/>
              </w:rPr>
              <w:t>4</w:t>
            </w:r>
            <w:r>
              <w:rPr>
                <w:rFonts w:ascii="宋体" w:hAnsi="宋体"/>
                <w:b/>
                <w:bCs/>
                <w:iCs/>
                <w:color w:val="000000"/>
              </w:rPr>
              <w:t>.</w:t>
            </w:r>
            <w:r>
              <w:rPr>
                <w:rFonts w:hint="eastAsia" w:ascii="宋体" w:hAnsi="宋体"/>
                <w:b/>
                <w:bCs/>
                <w:iCs/>
                <w:color w:val="000000"/>
              </w:rPr>
              <w:t>公司在民用市场能看到拓展的迹象，不知道拓展的结果明显吗？</w:t>
            </w:r>
          </w:p>
          <w:p w14:paraId="7746FC66">
            <w:pPr>
              <w:spacing w:line="480" w:lineRule="atLeast"/>
              <w:ind w:firstLine="480"/>
              <w:rPr>
                <w:rFonts w:hint="eastAsia" w:ascii="宋体" w:hAnsi="宋体"/>
                <w:bCs/>
                <w:iCs/>
                <w:color w:val="000000"/>
              </w:rPr>
            </w:pPr>
            <w:r>
              <w:rPr>
                <w:rFonts w:hint="eastAsia" w:ascii="宋体" w:hAnsi="宋体"/>
                <w:bCs/>
                <w:iCs/>
                <w:color w:val="000000"/>
              </w:rPr>
              <w:t>尊敬的投资者，您好！公司现阶段各项主营业务正常落地，在手订单、新品研发、上下游合作项目持续推进，经营基本面保持平稳。公司将继续密切关注前沿技术发展趋势，跟进市场及客户需求，适时拓展产品应用场景。相关业务进展公司将严格遵循信息披露规定，具体情况请以公司定期报告、临时公告为准。感谢您的关注！</w:t>
            </w:r>
          </w:p>
          <w:p w14:paraId="76BA3588">
            <w:pPr>
              <w:spacing w:line="480" w:lineRule="atLeast"/>
              <w:ind w:firstLine="482"/>
              <w:rPr>
                <w:rFonts w:hint="eastAsia" w:ascii="宋体" w:hAnsi="宋体"/>
                <w:b/>
                <w:bCs/>
                <w:iCs/>
                <w:color w:val="000000"/>
              </w:rPr>
            </w:pPr>
            <w:r>
              <w:rPr>
                <w:rFonts w:hint="eastAsia" w:ascii="宋体" w:hAnsi="宋体"/>
                <w:b/>
                <w:bCs/>
                <w:iCs/>
                <w:color w:val="000000"/>
              </w:rPr>
              <w:t>5</w:t>
            </w:r>
            <w:r>
              <w:rPr>
                <w:rFonts w:ascii="宋体" w:hAnsi="宋体"/>
                <w:b/>
                <w:bCs/>
                <w:iCs/>
                <w:color w:val="000000"/>
              </w:rPr>
              <w:t>.</w:t>
            </w:r>
            <w:r>
              <w:rPr>
                <w:rFonts w:hint="eastAsia" w:ascii="宋体" w:hAnsi="宋体"/>
                <w:b/>
                <w:bCs/>
                <w:iCs/>
                <w:color w:val="000000"/>
              </w:rPr>
              <w:t>公司股价创近二年新低了，公司有什么感受？</w:t>
            </w:r>
          </w:p>
          <w:p w14:paraId="3A48B34F">
            <w:pPr>
              <w:spacing w:line="480" w:lineRule="atLeast"/>
              <w:ind w:firstLine="480"/>
              <w:rPr>
                <w:rFonts w:hint="eastAsia" w:ascii="宋体" w:hAnsi="宋体"/>
                <w:bCs/>
                <w:iCs/>
                <w:color w:val="000000"/>
              </w:rPr>
            </w:pPr>
            <w:r>
              <w:rPr>
                <w:rFonts w:hint="eastAsia" w:ascii="宋体" w:hAnsi="宋体"/>
                <w:bCs/>
                <w:iCs/>
                <w:color w:val="000000"/>
              </w:rPr>
              <w:t>尊敬的投资者，您好！公司股价受行业周期、宏观经济、市场情绪等多重因素影响，我们充分理解您对公司股价表现及股东权益的关切。目前公司经营正常，各项研发项目、客户拓展合作均按计划有序推进，不存在应披露而未披露的重大事项。公司将持续聚焦主业，深入开拓市场与客户资源；加大研发投入，持续推进产品技术的研发与储备；积极引入人才，打造核心竞争力；强化公司治理，努力提高经营抗风险能力。感谢您的关注！</w:t>
            </w:r>
          </w:p>
          <w:p w14:paraId="1213A290">
            <w:pPr>
              <w:spacing w:line="480" w:lineRule="atLeast"/>
              <w:ind w:firstLine="482"/>
              <w:rPr>
                <w:rFonts w:hint="eastAsia" w:ascii="宋体" w:hAnsi="宋体"/>
                <w:b/>
                <w:bCs/>
                <w:iCs/>
                <w:color w:val="000000"/>
              </w:rPr>
            </w:pPr>
            <w:r>
              <w:rPr>
                <w:rFonts w:hint="eastAsia" w:ascii="宋体" w:hAnsi="宋体"/>
                <w:b/>
                <w:bCs/>
                <w:iCs/>
                <w:color w:val="000000"/>
              </w:rPr>
              <w:t>6</w:t>
            </w:r>
            <w:r>
              <w:rPr>
                <w:rFonts w:ascii="宋体" w:hAnsi="宋体"/>
                <w:b/>
                <w:bCs/>
                <w:iCs/>
                <w:color w:val="000000"/>
              </w:rPr>
              <w:t>.</w:t>
            </w:r>
            <w:r>
              <w:rPr>
                <w:rFonts w:hint="eastAsia" w:ascii="宋体" w:hAnsi="宋体"/>
                <w:b/>
                <w:bCs/>
                <w:iCs/>
                <w:color w:val="000000"/>
              </w:rPr>
              <w:t>公司今年大半年都没有中标公告了，是什么原因？</w:t>
            </w:r>
          </w:p>
          <w:p w14:paraId="16501F05">
            <w:pPr>
              <w:spacing w:line="480" w:lineRule="atLeast"/>
              <w:ind w:firstLine="480"/>
              <w:rPr>
                <w:rFonts w:ascii="宋体"/>
              </w:rPr>
            </w:pPr>
            <w:r>
              <w:rPr>
                <w:rFonts w:hint="eastAsia" w:ascii="宋体"/>
              </w:rPr>
              <w:t>尊敬的投资者，您好！</w:t>
            </w:r>
            <w:r>
              <w:rPr>
                <w:rFonts w:hint="eastAsia" w:ascii="宋体"/>
                <w:lang w:val="en-US" w:eastAsia="zh-CN"/>
              </w:rPr>
              <w:t>公司相应</w:t>
            </w:r>
            <w:r>
              <w:rPr>
                <w:rFonts w:hint="eastAsia" w:ascii="宋体"/>
              </w:rPr>
              <w:t>业务</w:t>
            </w:r>
            <w:r>
              <w:rPr>
                <w:rFonts w:hint="eastAsia" w:ascii="宋体"/>
                <w:lang w:val="en-US" w:eastAsia="zh-CN"/>
              </w:rPr>
              <w:t>若</w:t>
            </w:r>
            <w:r>
              <w:rPr>
                <w:rFonts w:hint="eastAsia" w:ascii="宋体"/>
              </w:rPr>
              <w:t>达到披露标准</w:t>
            </w:r>
            <w:r>
              <w:rPr>
                <w:rFonts w:hint="eastAsia" w:ascii="宋体"/>
                <w:lang w:eastAsia="zh-CN"/>
              </w:rPr>
              <w:t>，</w:t>
            </w:r>
            <w:r>
              <w:rPr>
                <w:rFonts w:hint="eastAsia" w:ascii="宋体"/>
                <w:lang w:val="en-US" w:eastAsia="zh-CN"/>
              </w:rPr>
              <w:t>将</w:t>
            </w:r>
            <w:r>
              <w:rPr>
                <w:rFonts w:hint="eastAsia" w:ascii="宋体"/>
              </w:rPr>
              <w:t>及时公告，具体情况以公司定期报告、临时公告为准。感谢您的关注！</w:t>
            </w:r>
          </w:p>
          <w:p w14:paraId="1AC2B8D8">
            <w:pPr>
              <w:spacing w:line="480" w:lineRule="atLeast"/>
              <w:ind w:firstLine="482"/>
              <w:rPr>
                <w:rFonts w:hint="eastAsia" w:ascii="宋体" w:hAnsi="宋体"/>
                <w:b/>
                <w:bCs/>
                <w:iCs/>
                <w:color w:val="000000"/>
              </w:rPr>
            </w:pPr>
            <w:r>
              <w:rPr>
                <w:rFonts w:hint="eastAsia" w:ascii="宋体" w:hAnsi="宋体"/>
                <w:b/>
                <w:bCs/>
                <w:iCs/>
                <w:color w:val="000000"/>
              </w:rPr>
              <w:t>7</w:t>
            </w:r>
            <w:r>
              <w:rPr>
                <w:rFonts w:ascii="宋体" w:hAnsi="宋体"/>
                <w:b/>
                <w:bCs/>
                <w:iCs/>
                <w:color w:val="000000"/>
              </w:rPr>
              <w:t>.</w:t>
            </w:r>
            <w:r>
              <w:rPr>
                <w:rFonts w:hint="eastAsia" w:ascii="宋体" w:hAnsi="宋体"/>
                <w:b/>
                <w:bCs/>
                <w:iCs/>
                <w:color w:val="000000"/>
              </w:rPr>
              <w:t>公司产品是否有应用到千帆星座卫星项目？目前是样品验证阶段，还是已经实现批量供货？</w:t>
            </w:r>
          </w:p>
          <w:p w14:paraId="3B39E885">
            <w:pPr>
              <w:spacing w:line="480" w:lineRule="atLeast"/>
              <w:ind w:firstLine="480"/>
              <w:rPr>
                <w:rFonts w:ascii="宋体"/>
              </w:rPr>
            </w:pPr>
            <w:r>
              <w:rPr>
                <w:rFonts w:hint="eastAsia" w:ascii="宋体"/>
              </w:rPr>
              <w:t>尊敬的投资者，您好！公司产品广泛应用于电子、通信、控制、测量等特种领域，公司下游客户包括航天科技集团、航天科工集团等央企集团下属单位。公司正全力推进技术研发与市场拓展，密切关注前沿技术发展趋势，跟进市场及客户需求，适时拓展产品可能的应用场景，并制定前瞻性布局和规划。公司严格遵循信息披露规定，相关事项若达到披露标准将及时公告。该事项对公司生产经营不具有重大影响，敬请广大投资者关注投资风险。感谢您的关注！</w:t>
            </w:r>
          </w:p>
          <w:p w14:paraId="638782FC">
            <w:pPr>
              <w:spacing w:line="480" w:lineRule="atLeast"/>
              <w:ind w:firstLine="482"/>
              <w:rPr>
                <w:rFonts w:hint="eastAsia" w:ascii="宋体" w:hAnsi="宋体"/>
                <w:b/>
                <w:bCs/>
                <w:iCs/>
                <w:color w:val="000000"/>
              </w:rPr>
            </w:pPr>
            <w:r>
              <w:rPr>
                <w:rFonts w:hint="eastAsia" w:ascii="宋体" w:hAnsi="宋体"/>
                <w:b/>
                <w:bCs/>
                <w:iCs/>
                <w:color w:val="000000"/>
              </w:rPr>
              <w:t>8</w:t>
            </w:r>
            <w:r>
              <w:rPr>
                <w:rFonts w:ascii="宋体" w:hAnsi="宋体"/>
                <w:b/>
                <w:bCs/>
                <w:iCs/>
                <w:color w:val="000000"/>
              </w:rPr>
              <w:t>.</w:t>
            </w:r>
            <w:r>
              <w:rPr>
                <w:rFonts w:hint="eastAsia" w:ascii="宋体" w:hAnsi="宋体"/>
                <w:b/>
                <w:bCs/>
                <w:iCs/>
                <w:color w:val="000000"/>
              </w:rPr>
              <w:t>请问公司，新凯来旗下万里眼是否直接或间接采购了公司的ADC芯片（如40GSPS HWD12B40GA4）？此前披露的1.05亿元高速ADC框架协议，是否与万里眼/新凯来合作相关？目前该协议执行进展如何，9292万收入调减后剩余部分是否继续履行？谢谢。</w:t>
            </w:r>
          </w:p>
          <w:p w14:paraId="27FFAAC3">
            <w:pPr>
              <w:spacing w:line="480" w:lineRule="atLeast"/>
              <w:ind w:firstLine="482"/>
              <w:rPr>
                <w:rFonts w:hint="eastAsia" w:ascii="宋体" w:hAnsi="宋体"/>
                <w:b/>
                <w:bCs/>
                <w:iCs/>
                <w:color w:val="000000"/>
                <w:lang w:val="en-US" w:eastAsia="zh-CN"/>
              </w:rPr>
            </w:pPr>
            <w:r>
              <w:rPr>
                <w:rFonts w:hint="eastAsia" w:ascii="宋体" w:hAnsi="宋体"/>
                <w:bCs/>
                <w:iCs/>
                <w:color w:val="000000"/>
              </w:rPr>
              <w:t>尊敬的投资者，您好！基于商业保密原则，涉及与具体企业的合作问题公司不便回复。相关业务情况若达到披露标准公司将及时履行披露义务，具体情况以公司定期报告、临时公告为准。感谢您的关注！</w:t>
            </w:r>
          </w:p>
          <w:p w14:paraId="7D00FAE0">
            <w:pPr>
              <w:spacing w:line="480" w:lineRule="atLeast"/>
              <w:ind w:firstLine="482"/>
              <w:rPr>
                <w:rFonts w:hint="eastAsia" w:ascii="宋体" w:hAnsi="宋体"/>
                <w:b/>
                <w:bCs/>
                <w:iCs/>
                <w:color w:val="000000"/>
              </w:rPr>
            </w:pPr>
            <w:r>
              <w:rPr>
                <w:rFonts w:hint="eastAsia" w:ascii="宋体" w:hAnsi="宋体"/>
                <w:b/>
                <w:bCs/>
                <w:iCs/>
                <w:color w:val="000000"/>
                <w:lang w:val="en-US" w:eastAsia="zh-CN"/>
              </w:rPr>
              <w:t>9.</w:t>
            </w:r>
            <w:r>
              <w:rPr>
                <w:rFonts w:hint="default" w:ascii="宋体" w:hAnsi="宋体"/>
                <w:b/>
                <w:bCs/>
                <w:iCs/>
                <w:color w:val="000000"/>
                <w:lang w:val="en-US"/>
              </w:rPr>
              <w:t>您好，近期朱雀二号改进型遥七火箭成功发射千帆极轨19组卫星，千帆星座的卫星整机制造方为格思航天。想咨询： 1、公司的宇航级高速ADC、抗辐照FPGA芯片，是否已经向格思航天开展送样、适配验证？</w:t>
            </w:r>
          </w:p>
          <w:p w14:paraId="5C58A069">
            <w:pPr>
              <w:spacing w:line="480" w:lineRule="atLeast"/>
              <w:ind w:firstLine="480"/>
              <w:rPr>
                <w:rFonts w:hint="default" w:ascii="宋体" w:hAnsi="宋体"/>
                <w:bCs/>
                <w:iCs/>
                <w:color w:val="000000"/>
                <w:lang w:val="en-US"/>
              </w:rPr>
            </w:pPr>
            <w:r>
              <w:rPr>
                <w:rFonts w:hint="default" w:ascii="宋体" w:hAnsi="宋体"/>
                <w:bCs/>
                <w:iCs/>
                <w:color w:val="000000"/>
                <w:lang w:val="en-US"/>
              </w:rPr>
              <w:t>尊敬的投资者，您好！公司产品广泛应用于电子、通信、控制、测量等特种领域，公司下游客户包括航天科技集团、航天科工集团等央企集团下属单位。公司正全力推进技术研发与市场拓展，密切关注前沿技术发展趋势，跟进市场及客户需求，适时拓展产品可能的应用场景，并制定前瞻性布局和规划。感谢您的关注！</w:t>
            </w:r>
          </w:p>
          <w:p w14:paraId="48D4F94D">
            <w:pPr>
              <w:spacing w:line="480" w:lineRule="atLeast"/>
              <w:ind w:firstLine="482"/>
              <w:rPr>
                <w:rFonts w:hint="eastAsia" w:ascii="宋体" w:hAnsi="宋体"/>
                <w:b/>
                <w:bCs/>
                <w:iCs/>
                <w:color w:val="000000"/>
                <w:lang w:val="en-US" w:eastAsia="zh-CN"/>
              </w:rPr>
            </w:pPr>
            <w:r>
              <w:rPr>
                <w:rFonts w:hint="eastAsia" w:ascii="宋体" w:hAnsi="宋体"/>
                <w:b/>
                <w:bCs/>
                <w:iCs/>
                <w:color w:val="000000"/>
                <w:lang w:val="en-US" w:eastAsia="zh-CN"/>
              </w:rPr>
              <w:t>10.</w:t>
            </w:r>
            <w:r>
              <w:rPr>
                <w:rFonts w:hint="default" w:ascii="宋体" w:hAnsi="宋体"/>
                <w:b/>
                <w:bCs/>
                <w:iCs/>
                <w:color w:val="000000"/>
                <w:lang w:val="en-US" w:eastAsia="zh-CN"/>
              </w:rPr>
              <w:t>公司高速高精度ADC能应用于矢量网络分析仪示波器产品吗？</w:t>
            </w:r>
          </w:p>
          <w:p w14:paraId="631904BC">
            <w:pPr>
              <w:spacing w:line="480" w:lineRule="atLeast"/>
              <w:ind w:firstLine="480"/>
              <w:rPr>
                <w:rFonts w:hint="default" w:ascii="宋体" w:hAnsi="宋体"/>
                <w:bCs/>
                <w:iCs/>
                <w:color w:val="000000"/>
                <w:lang w:val="en-US"/>
              </w:rPr>
            </w:pPr>
            <w:r>
              <w:rPr>
                <w:rFonts w:hint="default" w:ascii="宋体" w:hAnsi="宋体"/>
                <w:bCs/>
                <w:iCs/>
                <w:color w:val="000000"/>
                <w:lang w:val="en-US"/>
              </w:rPr>
              <w:t>尊敬的投资者，您好！公司在高速高精度ADC等领域公司承接了多项国家重点研发计划和科技重大专项并持续深耕，公司部分ADC产品在采样速率、信号带宽和动态范围等综合性能上达到国际领先技术水平，能够支持高端测试仪器实现超高速信号精准捕获。公司正全力推进技术研发与市场拓展，密切关注前沿技术发展趋势，跟进市场及客户需求，适时拓展产品可能的应用场景，并制定前瞻性布局和规划。该事项对公司生产经营不具有重大影响，敬请广大投资者注意投资风险。感谢您的关注!</w:t>
            </w:r>
          </w:p>
          <w:p w14:paraId="0BAB81D3">
            <w:pPr>
              <w:spacing w:line="480" w:lineRule="atLeast"/>
              <w:ind w:firstLine="482"/>
              <w:rPr>
                <w:rFonts w:hint="default" w:ascii="宋体" w:hAnsi="宋体"/>
                <w:b/>
                <w:bCs/>
                <w:iCs/>
                <w:color w:val="000000"/>
                <w:lang w:val="en-US" w:eastAsia="zh-CN"/>
              </w:rPr>
            </w:pPr>
            <w:r>
              <w:rPr>
                <w:rFonts w:hint="eastAsia" w:ascii="宋体" w:hAnsi="宋体"/>
                <w:b/>
                <w:bCs/>
                <w:iCs/>
                <w:color w:val="000000"/>
                <w:lang w:val="en-US" w:eastAsia="zh-CN"/>
              </w:rPr>
              <w:t>11.</w:t>
            </w:r>
            <w:r>
              <w:rPr>
                <w:rFonts w:hint="default" w:ascii="宋体" w:hAnsi="宋体"/>
                <w:b/>
                <w:bCs/>
                <w:iCs/>
                <w:color w:val="000000"/>
                <w:lang w:val="en-US" w:eastAsia="zh-CN"/>
              </w:rPr>
              <w:t>请问公司自2026年4月1</w:t>
            </w:r>
            <w:r>
              <w:rPr>
                <w:rFonts w:hint="eastAsia" w:ascii="宋体" w:hAnsi="宋体"/>
                <w:b/>
                <w:bCs/>
                <w:iCs/>
                <w:color w:val="000000"/>
                <w:lang w:val="en-US" w:eastAsia="zh-CN"/>
              </w:rPr>
              <w:t>日</w:t>
            </w:r>
            <w:r>
              <w:rPr>
                <w:rFonts w:hint="default" w:ascii="宋体" w:hAnsi="宋体"/>
                <w:b/>
                <w:bCs/>
                <w:iCs/>
                <w:color w:val="000000"/>
                <w:lang w:val="en-US" w:eastAsia="zh-CN"/>
              </w:rPr>
              <w:t>多次回复关于高速ADC合同重新协商的事，但大半年过去了，公司的业绩下修和一季度半年报业绩亏损都与此事关联，甚至员工持股公司的减持也受利用利好消息诱导。现在的业绩说明会该对此事有个明确的说法结果让投资人清楚合同不能签就不能签，该做计提损失就计提损失一次性把利空因素化解完。</w:t>
            </w:r>
          </w:p>
          <w:p w14:paraId="304465EC">
            <w:pPr>
              <w:spacing w:line="480" w:lineRule="atLeast"/>
              <w:ind w:firstLine="480"/>
              <w:rPr>
                <w:rFonts w:hint="default" w:ascii="宋体" w:hAnsi="宋体"/>
                <w:bCs/>
                <w:iCs/>
                <w:color w:val="000000"/>
                <w:lang w:val="en-US" w:eastAsia="zh-CN"/>
              </w:rPr>
            </w:pPr>
            <w:r>
              <w:rPr>
                <w:rFonts w:hint="default" w:ascii="宋体" w:hAnsi="宋体"/>
                <w:bCs/>
                <w:iCs/>
                <w:color w:val="000000"/>
                <w:lang w:val="en-US" w:eastAsia="zh-CN"/>
              </w:rPr>
              <w:t>尊敬的投资者，您好！公司2026年半年度业绩阶段性承压，主要系特种集成电路行业需求调整、订单同比下降及研发投入加大所致。关于股东减持，相关员工持股平台系依预先披露的减持计划实施，减持行为符合法规及承诺，具体请详见公司于2026年2月披露的《成都华微电子科技股份有限公司股东提前终止减持计划暨减持股份结果公告》。相关业务进展公司将严格遵循信息披露规定，具体情况请以公司定期报告、临时公告为准。感谢您的关注！</w:t>
            </w:r>
          </w:p>
          <w:p w14:paraId="514D072C">
            <w:pPr>
              <w:spacing w:line="480" w:lineRule="atLeast"/>
              <w:ind w:firstLine="482"/>
              <w:rPr>
                <w:rFonts w:hint="default" w:ascii="宋体" w:hAnsi="宋体"/>
                <w:b/>
                <w:bCs/>
                <w:iCs/>
                <w:color w:val="000000"/>
                <w:lang w:val="en-US" w:eastAsia="zh-CN"/>
              </w:rPr>
            </w:pPr>
            <w:r>
              <w:rPr>
                <w:rFonts w:hint="eastAsia" w:ascii="宋体" w:hAnsi="宋体"/>
                <w:b/>
                <w:bCs/>
                <w:iCs/>
                <w:color w:val="000000"/>
                <w:lang w:val="en-US" w:eastAsia="zh-CN"/>
              </w:rPr>
              <w:t>12.</w:t>
            </w:r>
            <w:r>
              <w:rPr>
                <w:rFonts w:hint="default" w:ascii="宋体" w:hAnsi="宋体"/>
                <w:b/>
                <w:bCs/>
                <w:iCs/>
                <w:color w:val="000000"/>
                <w:lang w:val="en-US" w:eastAsia="zh-CN"/>
              </w:rPr>
              <w:t>请问公司自2025年公司公告了一批科技创新项目和战略合作项目，作为投资者喜见公司在新质生产力创新上不断开花，但更盼望结果，目前在脑机接口、量子计算、商业航天、具身机器人大脑小脑和太空计算及高速ADC存储芯片等方面有业绩结果吗？</w:t>
            </w:r>
          </w:p>
          <w:p w14:paraId="5177E036">
            <w:pPr>
              <w:spacing w:line="480" w:lineRule="atLeast"/>
              <w:ind w:firstLine="480"/>
              <w:rPr>
                <w:rFonts w:hint="default" w:ascii="宋体" w:hAnsi="宋体"/>
                <w:b/>
                <w:bCs/>
                <w:iCs/>
                <w:color w:val="000000"/>
                <w:lang w:val="en-US" w:eastAsia="zh-CN"/>
              </w:rPr>
            </w:pPr>
            <w:r>
              <w:rPr>
                <w:rFonts w:hint="default" w:ascii="宋体" w:hAnsi="宋体"/>
                <w:bCs/>
                <w:iCs/>
                <w:color w:val="000000"/>
                <w:lang w:val="en-US" w:eastAsia="zh-CN"/>
              </w:rPr>
              <w:t>尊敬的投资者，您好！公司现阶段各项主营业务正常落地，在手订单、新品研发进度、上下游合作项目持续推进，经营基本面保持平稳。公司将继续密切关注前沿技术发展趋势，跟进市场及客户需求，适时拓展产品应用场景。相关业务进展公司将严格遵循信息披露规定，具体情况请以公司定期报告、临时公告为准。感谢您的关注！</w:t>
            </w:r>
          </w:p>
        </w:tc>
      </w:tr>
      <w:tr w14:paraId="42BF3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vAlign w:val="center"/>
          </w:tcPr>
          <w:p w14:paraId="310CAF42">
            <w:pPr>
              <w:ind w:firstLine="0" w:firstLineChars="0"/>
              <w:rPr>
                <w:rFonts w:hint="eastAsia" w:ascii="宋体" w:hAnsi="宋体"/>
                <w:bCs/>
                <w:iCs/>
                <w:color w:val="000000"/>
              </w:rPr>
            </w:pPr>
            <w:r>
              <w:rPr>
                <w:rFonts w:hint="eastAsia" w:ascii="宋体" w:hAnsi="宋体"/>
                <w:bCs/>
                <w:iCs/>
                <w:color w:val="000000"/>
              </w:rPr>
              <w:t>关于本次活动是否涉及应当披露重大信息的说明</w:t>
            </w:r>
          </w:p>
        </w:tc>
        <w:tc>
          <w:tcPr>
            <w:tcW w:w="7585" w:type="dxa"/>
            <w:tcBorders>
              <w:top w:val="single" w:color="auto" w:sz="4" w:space="0"/>
              <w:left w:val="single" w:color="auto" w:sz="4" w:space="0"/>
              <w:bottom w:val="single" w:color="auto" w:sz="4" w:space="0"/>
              <w:right w:val="single" w:color="auto" w:sz="4" w:space="0"/>
            </w:tcBorders>
            <w:vAlign w:val="center"/>
          </w:tcPr>
          <w:p w14:paraId="4EAC4AD2">
            <w:pPr>
              <w:spacing w:line="480" w:lineRule="atLeast"/>
              <w:ind w:firstLine="0" w:firstLineChars="0"/>
              <w:rPr>
                <w:rFonts w:hint="eastAsia" w:ascii="宋体" w:hAnsi="宋体"/>
                <w:bCs/>
                <w:iCs/>
                <w:color w:val="000000"/>
              </w:rPr>
            </w:pPr>
            <w:r>
              <w:rPr>
                <w:rFonts w:hint="eastAsia" w:ascii="宋体" w:hAnsi="宋体"/>
                <w:bCs/>
                <w:iCs/>
                <w:color w:val="000000"/>
              </w:rPr>
              <w:t>否</w:t>
            </w:r>
          </w:p>
        </w:tc>
      </w:tr>
      <w:tr w14:paraId="37E3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14:paraId="3DB836B8">
            <w:pPr>
              <w:ind w:firstLine="0" w:firstLineChars="0"/>
              <w:rPr>
                <w:rFonts w:hint="eastAsia" w:ascii="宋体" w:hAnsi="宋体"/>
                <w:bCs/>
                <w:iCs/>
                <w:color w:val="000000"/>
              </w:rPr>
            </w:pPr>
            <w:r>
              <w:rPr>
                <w:rFonts w:hint="eastAsia" w:ascii="宋体" w:hAnsi="宋体"/>
                <w:bCs/>
                <w:iCs/>
                <w:color w:val="000000"/>
              </w:rPr>
              <w:t>附件清单（如有）</w:t>
            </w:r>
          </w:p>
        </w:tc>
        <w:tc>
          <w:tcPr>
            <w:tcW w:w="7585" w:type="dxa"/>
            <w:tcBorders>
              <w:top w:val="single" w:color="auto" w:sz="4" w:space="0"/>
              <w:left w:val="single" w:color="auto" w:sz="4" w:space="0"/>
              <w:bottom w:val="single" w:color="auto" w:sz="4" w:space="0"/>
              <w:right w:val="single" w:color="auto" w:sz="4" w:space="0"/>
            </w:tcBorders>
            <w:vAlign w:val="center"/>
          </w:tcPr>
          <w:p w14:paraId="5F180776">
            <w:pPr>
              <w:spacing w:line="240" w:lineRule="auto"/>
              <w:ind w:firstLine="0" w:firstLineChars="0"/>
              <w:rPr>
                <w:rFonts w:hint="eastAsia" w:ascii="宋体" w:hAnsi="宋体"/>
                <w:bCs/>
                <w:iCs/>
                <w:color w:val="000000"/>
              </w:rPr>
            </w:pPr>
            <w:r>
              <w:rPr>
                <w:rFonts w:ascii="宋体" w:hAnsi="宋体"/>
                <w:bCs/>
                <w:iCs/>
                <w:color w:val="000000"/>
              </w:rPr>
              <w:t>无</w:t>
            </w:r>
          </w:p>
        </w:tc>
      </w:tr>
      <w:tr w14:paraId="679D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vAlign w:val="center"/>
          </w:tcPr>
          <w:p w14:paraId="1D5559FB">
            <w:pPr>
              <w:ind w:firstLine="0" w:firstLineChars="0"/>
              <w:rPr>
                <w:rFonts w:hint="eastAsia" w:ascii="宋体" w:hAnsi="宋体"/>
                <w:bCs/>
                <w:iCs/>
                <w:color w:val="000000"/>
              </w:rPr>
            </w:pPr>
            <w:r>
              <w:rPr>
                <w:rFonts w:hint="eastAsia" w:ascii="宋体" w:hAnsi="宋体"/>
                <w:bCs/>
                <w:iCs/>
                <w:color w:val="000000"/>
              </w:rPr>
              <w:t>日期</w:t>
            </w:r>
          </w:p>
        </w:tc>
        <w:tc>
          <w:tcPr>
            <w:tcW w:w="7585" w:type="dxa"/>
            <w:tcBorders>
              <w:top w:val="single" w:color="auto" w:sz="4" w:space="0"/>
              <w:left w:val="single" w:color="auto" w:sz="4" w:space="0"/>
              <w:bottom w:val="single" w:color="auto" w:sz="4" w:space="0"/>
              <w:right w:val="single" w:color="auto" w:sz="4" w:space="0"/>
            </w:tcBorders>
            <w:vAlign w:val="center"/>
          </w:tcPr>
          <w:p w14:paraId="6E69B04C">
            <w:pPr>
              <w:spacing w:line="240" w:lineRule="auto"/>
              <w:ind w:firstLine="0" w:firstLineChars="0"/>
              <w:rPr>
                <w:rFonts w:hint="eastAsia" w:ascii="宋体" w:hAnsi="宋体"/>
                <w:bCs/>
                <w:iCs/>
                <w:color w:val="000000"/>
              </w:rPr>
            </w:pPr>
            <w:r>
              <w:rPr>
                <w:rFonts w:hint="eastAsia" w:ascii="宋体" w:hAnsi="宋体"/>
                <w:bCs/>
                <w:iCs/>
                <w:color w:val="000000"/>
              </w:rPr>
              <w:t>2</w:t>
            </w:r>
            <w:r>
              <w:rPr>
                <w:rFonts w:ascii="宋体" w:hAnsi="宋体"/>
                <w:bCs/>
                <w:iCs/>
                <w:color w:val="000000"/>
              </w:rPr>
              <w:t>02</w:t>
            </w:r>
            <w:r>
              <w:rPr>
                <w:rFonts w:hint="eastAsia" w:ascii="宋体" w:hAnsi="宋体"/>
                <w:bCs/>
                <w:iCs/>
                <w:color w:val="000000"/>
                <w:lang w:val="en-US" w:eastAsia="zh-CN"/>
              </w:rPr>
              <w:t>6</w:t>
            </w:r>
            <w:r>
              <w:rPr>
                <w:rFonts w:ascii="宋体" w:hAnsi="宋体"/>
                <w:bCs/>
                <w:iCs/>
                <w:color w:val="000000"/>
              </w:rPr>
              <w:t>年</w:t>
            </w:r>
            <w:r>
              <w:rPr>
                <w:rFonts w:hint="eastAsia" w:ascii="宋体" w:hAnsi="宋体"/>
                <w:bCs/>
                <w:iCs/>
                <w:color w:val="000000"/>
                <w:lang w:val="en-US" w:eastAsia="zh-CN"/>
              </w:rPr>
              <w:t>10</w:t>
            </w:r>
            <w:r>
              <w:rPr>
                <w:rFonts w:hint="eastAsia" w:ascii="宋体" w:hAnsi="宋体"/>
                <w:bCs/>
                <w:iCs/>
                <w:color w:val="000000"/>
              </w:rPr>
              <w:t>月</w:t>
            </w:r>
            <w:r>
              <w:rPr>
                <w:rFonts w:hint="eastAsia" w:ascii="宋体" w:hAnsi="宋体"/>
                <w:bCs/>
                <w:iCs/>
                <w:color w:val="000000"/>
                <w:lang w:val="en-US" w:eastAsia="zh-CN"/>
              </w:rPr>
              <w:t>13</w:t>
            </w:r>
            <w:r>
              <w:rPr>
                <w:rFonts w:hint="eastAsia" w:ascii="宋体" w:hAnsi="宋体"/>
                <w:bCs/>
                <w:iCs/>
                <w:color w:val="000000"/>
              </w:rPr>
              <w:t>日</w:t>
            </w:r>
          </w:p>
        </w:tc>
      </w:tr>
    </w:tbl>
    <w:p w14:paraId="173B200B">
      <w:pPr>
        <w:ind w:firstLine="0" w:firstLineChars="0"/>
      </w:pPr>
    </w:p>
    <w:p w14:paraId="5248FCB1">
      <w:pPr>
        <w:ind w:firstLine="48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737" w:footer="680"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D91EA">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2CC53">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80067">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B13A4">
    <w:pPr>
      <w:pStyle w:val="4"/>
      <w:pBdr>
        <w:top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76BBC">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32B2F">
    <w:pPr>
      <w:pStyle w:val="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1CDDD0"/>
    <w:multiLevelType w:val="singleLevel"/>
    <w:tmpl w:val="621CDDD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085"/>
    <w:rsid w:val="000556CB"/>
    <w:rsid w:val="00056581"/>
    <w:rsid w:val="000976B9"/>
    <w:rsid w:val="000A1104"/>
    <w:rsid w:val="000A6467"/>
    <w:rsid w:val="000E6085"/>
    <w:rsid w:val="001170C8"/>
    <w:rsid w:val="00126886"/>
    <w:rsid w:val="002078A6"/>
    <w:rsid w:val="002244E6"/>
    <w:rsid w:val="00232598"/>
    <w:rsid w:val="0025203B"/>
    <w:rsid w:val="002722F7"/>
    <w:rsid w:val="002E47EA"/>
    <w:rsid w:val="002E710B"/>
    <w:rsid w:val="0030054C"/>
    <w:rsid w:val="003A1AA7"/>
    <w:rsid w:val="003A3201"/>
    <w:rsid w:val="003C22FB"/>
    <w:rsid w:val="003C6BD5"/>
    <w:rsid w:val="003D1A89"/>
    <w:rsid w:val="00407727"/>
    <w:rsid w:val="00424494"/>
    <w:rsid w:val="0049001D"/>
    <w:rsid w:val="004C6371"/>
    <w:rsid w:val="004D270C"/>
    <w:rsid w:val="004D6C13"/>
    <w:rsid w:val="004F0D06"/>
    <w:rsid w:val="00573C72"/>
    <w:rsid w:val="005906BD"/>
    <w:rsid w:val="0059386C"/>
    <w:rsid w:val="005C1BC8"/>
    <w:rsid w:val="005E007C"/>
    <w:rsid w:val="00607E55"/>
    <w:rsid w:val="006732DE"/>
    <w:rsid w:val="00681C28"/>
    <w:rsid w:val="007135D8"/>
    <w:rsid w:val="0071455E"/>
    <w:rsid w:val="00717B64"/>
    <w:rsid w:val="00741A8B"/>
    <w:rsid w:val="00750ABC"/>
    <w:rsid w:val="0077423E"/>
    <w:rsid w:val="007B1380"/>
    <w:rsid w:val="007B3DFD"/>
    <w:rsid w:val="007C23C5"/>
    <w:rsid w:val="007E705A"/>
    <w:rsid w:val="008032EE"/>
    <w:rsid w:val="00852B80"/>
    <w:rsid w:val="00862461"/>
    <w:rsid w:val="00863674"/>
    <w:rsid w:val="008C4815"/>
    <w:rsid w:val="008D0E94"/>
    <w:rsid w:val="008D5AC3"/>
    <w:rsid w:val="009056AA"/>
    <w:rsid w:val="00913A5C"/>
    <w:rsid w:val="00913A87"/>
    <w:rsid w:val="00936416"/>
    <w:rsid w:val="00976D60"/>
    <w:rsid w:val="00995708"/>
    <w:rsid w:val="009D31F3"/>
    <w:rsid w:val="009D69F1"/>
    <w:rsid w:val="009F4EAE"/>
    <w:rsid w:val="00A2210A"/>
    <w:rsid w:val="00A2466B"/>
    <w:rsid w:val="00A34261"/>
    <w:rsid w:val="00A9636F"/>
    <w:rsid w:val="00AC38B8"/>
    <w:rsid w:val="00AE6151"/>
    <w:rsid w:val="00B33DD1"/>
    <w:rsid w:val="00B345DD"/>
    <w:rsid w:val="00BB7366"/>
    <w:rsid w:val="00BC270F"/>
    <w:rsid w:val="00BE7BDA"/>
    <w:rsid w:val="00C16F23"/>
    <w:rsid w:val="00C3377D"/>
    <w:rsid w:val="00C35507"/>
    <w:rsid w:val="00C57F38"/>
    <w:rsid w:val="00C819D3"/>
    <w:rsid w:val="00CA1B46"/>
    <w:rsid w:val="00D172CA"/>
    <w:rsid w:val="00D95A0F"/>
    <w:rsid w:val="00DA0DD4"/>
    <w:rsid w:val="00DA5F87"/>
    <w:rsid w:val="00DB69E9"/>
    <w:rsid w:val="00DC7F3A"/>
    <w:rsid w:val="00DF4A67"/>
    <w:rsid w:val="00E032EE"/>
    <w:rsid w:val="00E052E5"/>
    <w:rsid w:val="00E12EB3"/>
    <w:rsid w:val="00E54BAB"/>
    <w:rsid w:val="00E90A2E"/>
    <w:rsid w:val="00EB2E10"/>
    <w:rsid w:val="00EE0060"/>
    <w:rsid w:val="00EF6B6A"/>
    <w:rsid w:val="00F32FAD"/>
    <w:rsid w:val="00F47DEC"/>
    <w:rsid w:val="0B687D9E"/>
    <w:rsid w:val="13DF2531"/>
    <w:rsid w:val="15823158"/>
    <w:rsid w:val="1D1A6E07"/>
    <w:rsid w:val="21473153"/>
    <w:rsid w:val="330E0B2C"/>
    <w:rsid w:val="38715B42"/>
    <w:rsid w:val="3F1245C1"/>
    <w:rsid w:val="43671D5C"/>
    <w:rsid w:val="5B0E447D"/>
    <w:rsid w:val="67BE1003"/>
    <w:rsid w:val="67DF6F78"/>
    <w:rsid w:val="690D7342"/>
    <w:rsid w:val="7FD451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footer"/>
    <w:basedOn w:val="1"/>
    <w:link w:val="11"/>
    <w:qFormat/>
    <w:uiPriority w:val="0"/>
    <w:pPr>
      <w:tabs>
        <w:tab w:val="center" w:pos="4153"/>
        <w:tab w:val="right" w:pos="8306"/>
      </w:tabs>
      <w:snapToGrid w:val="0"/>
      <w:jc w:val="left"/>
    </w:pPr>
    <w:rPr>
      <w:sz w:val="18"/>
    </w:rPr>
  </w:style>
  <w:style w:type="paragraph" w:styleId="4">
    <w:name w:val="header"/>
    <w:basedOn w:val="1"/>
    <w:link w:val="12"/>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semiHidden/>
    <w:unhideWhenUsed/>
    <w:qFormat/>
    <w:uiPriority w:val="99"/>
  </w:style>
  <w:style w:type="paragraph" w:styleId="6">
    <w:name w:val="annotation subject"/>
    <w:basedOn w:val="2"/>
    <w:next w:val="2"/>
    <w:link w:val="16"/>
    <w:semiHidden/>
    <w:unhideWhenUsed/>
    <w:qFormat/>
    <w:uiPriority w:val="99"/>
    <w:rPr>
      <w:b/>
      <w:bCs/>
    </w:rPr>
  </w:style>
  <w:style w:type="table" w:styleId="8">
    <w:name w:val="Table Grid"/>
    <w:basedOn w:val="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annotation reference"/>
    <w:basedOn w:val="9"/>
    <w:semiHidden/>
    <w:unhideWhenUsed/>
    <w:qFormat/>
    <w:uiPriority w:val="99"/>
    <w:rPr>
      <w:sz w:val="21"/>
      <w:szCs w:val="21"/>
    </w:rPr>
  </w:style>
  <w:style w:type="character" w:customStyle="1" w:styleId="11">
    <w:name w:val="页脚 字符"/>
    <w:basedOn w:val="9"/>
    <w:link w:val="3"/>
    <w:qFormat/>
    <w:uiPriority w:val="0"/>
    <w:rPr>
      <w:rFonts w:ascii="Times New Roman" w:hAnsi="Times New Roman" w:eastAsia="宋体" w:cs="Times New Roman"/>
      <w:sz w:val="18"/>
      <w:szCs w:val="24"/>
    </w:rPr>
  </w:style>
  <w:style w:type="character" w:customStyle="1" w:styleId="12">
    <w:name w:val="页眉 字符"/>
    <w:basedOn w:val="9"/>
    <w:link w:val="4"/>
    <w:qFormat/>
    <w:uiPriority w:val="0"/>
    <w:rPr>
      <w:rFonts w:ascii="Times New Roman" w:hAnsi="Times New Roman" w:eastAsia="宋体" w:cs="Times New Roman"/>
      <w:sz w:val="18"/>
      <w:szCs w:val="24"/>
    </w:rPr>
  </w:style>
  <w:style w:type="paragraph" w:styleId="13">
    <w:name w:val="List Paragraph"/>
    <w:basedOn w:val="1"/>
    <w:qFormat/>
    <w:uiPriority w:val="34"/>
    <w:pPr>
      <w:ind w:firstLine="420"/>
    </w:pPr>
  </w:style>
  <w:style w:type="paragraph" w:customStyle="1" w:styleId="14">
    <w:name w:val="修订1"/>
    <w:hidden/>
    <w:unhideWhenUsed/>
    <w:qFormat/>
    <w:uiPriority w:val="99"/>
    <w:rPr>
      <w:rFonts w:ascii="Times New Roman" w:hAnsi="Times New Roman" w:eastAsia="宋体" w:cs="Times New Roman"/>
      <w:kern w:val="2"/>
      <w:sz w:val="24"/>
      <w:szCs w:val="24"/>
      <w:lang w:val="en-US" w:eastAsia="zh-CN" w:bidi="ar-SA"/>
    </w:rPr>
  </w:style>
  <w:style w:type="character" w:customStyle="1" w:styleId="15">
    <w:name w:val="批注文字 字符"/>
    <w:basedOn w:val="9"/>
    <w:link w:val="2"/>
    <w:semiHidden/>
    <w:qFormat/>
    <w:uiPriority w:val="99"/>
    <w:rPr>
      <w:kern w:val="2"/>
      <w:sz w:val="24"/>
      <w:szCs w:val="24"/>
    </w:rPr>
  </w:style>
  <w:style w:type="character" w:customStyle="1" w:styleId="16">
    <w:name w:val="批注主题 字符"/>
    <w:basedOn w:val="15"/>
    <w:link w:val="6"/>
    <w:semiHidden/>
    <w:qFormat/>
    <w:uiPriority w:val="99"/>
    <w:rPr>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3684</Words>
  <Characters>3832</Characters>
  <Lines>23</Lines>
  <Paragraphs>6</Paragraphs>
  <TotalTime>39</TotalTime>
  <ScaleCrop>false</ScaleCrop>
  <LinksUpToDate>false</LinksUpToDate>
  <CharactersWithSpaces>3989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2025-12-04T06:08:00Z</dcterms:created>
  <dc:creator>user</dc:creator>
  <cp:lastModifiedBy>蔡进</cp:lastModifiedBy>
  <dcterms:modified xsi:type="dcterms:W3CDTF">2026-10-14T02:35:16Z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eyJoZGlkIjoiMGVmN2U4NDM5MmVmMmVkOWVhZDQ2YzZmMzVlMjc2MTgiLCJ1c2VySWQiOiIyMDEyMTU1OTEifQ==</vt:lpwstr>
  </property>
  <property fmtid="{D5CDD505-2E9C-101B-9397-08002B2CF9AE}" pid="3" name="KSOProductBuildVer">
    <vt:lpwstr>2052-12.1.0.28505</vt:lpwstr>
  </property>
  <property fmtid="{D5CDD505-2E9C-101B-9397-08002B2CF9AE}" pid="4" name="ICV">
    <vt:lpwstr>3111DF9C9F16400A89AB0A5EAA9959AC_13</vt:lpwstr>
  </property>
</Properties>
</file>