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val="0"/>
        <w:snapToGrid w:val="0"/>
        <w:spacing w:line="600" w:lineRule="exact"/>
        <w:jc w:val="both"/>
        <w:rPr>
          <w:rFonts w:ascii="宋体" w:hAnsi="宋体" w:eastAsia="宋体" w:cs="Times New Roman"/>
          <w:kern w:val="2"/>
          <w:sz w:val="24"/>
          <w:szCs w:val="20"/>
          <w:lang w:val="en-US" w:bidi="ar-SA"/>
        </w:rPr>
      </w:pPr>
      <w:r>
        <w:rPr>
          <w:rFonts w:hint="eastAsia" w:ascii="宋体" w:hAnsi="宋体" w:eastAsia="宋体" w:cs="Times New Roman"/>
          <w:kern w:val="2"/>
          <w:sz w:val="24"/>
          <w:szCs w:val="20"/>
          <w:lang w:val="en-US" w:bidi="ar-SA"/>
        </w:rPr>
        <w:t>证券代码：688</w:t>
      </w:r>
      <w:r>
        <w:rPr>
          <w:rFonts w:ascii="宋体" w:hAnsi="宋体" w:eastAsia="宋体" w:cs="Times New Roman"/>
          <w:kern w:val="2"/>
          <w:sz w:val="24"/>
          <w:szCs w:val="20"/>
          <w:lang w:val="en-US" w:bidi="ar-SA"/>
        </w:rPr>
        <w:t xml:space="preserve">102 </w:t>
      </w:r>
      <w:r>
        <w:rPr>
          <w:rFonts w:hint="eastAsia" w:ascii="宋体" w:hAnsi="宋体" w:eastAsia="宋体" w:cs="Times New Roman"/>
          <w:kern w:val="2"/>
          <w:sz w:val="24"/>
          <w:szCs w:val="20"/>
          <w:lang w:val="en-US" w:bidi="ar-SA"/>
        </w:rPr>
        <w:t xml:space="preserve">                               </w:t>
      </w:r>
      <w:r>
        <w:rPr>
          <w:rFonts w:ascii="宋体" w:hAnsi="宋体" w:eastAsia="宋体" w:cs="Times New Roman"/>
          <w:kern w:val="2"/>
          <w:sz w:val="24"/>
          <w:szCs w:val="20"/>
          <w:lang w:val="en-US" w:bidi="ar-SA"/>
        </w:rPr>
        <w:t xml:space="preserve">  </w:t>
      </w:r>
      <w:r>
        <w:rPr>
          <w:rFonts w:hint="eastAsia" w:ascii="宋体" w:hAnsi="宋体" w:eastAsia="宋体" w:cs="Times New Roman"/>
          <w:kern w:val="2"/>
          <w:sz w:val="24"/>
          <w:szCs w:val="20"/>
          <w:lang w:val="en-US" w:bidi="ar-SA"/>
        </w:rPr>
        <w:t>证券简称：斯瑞新材</w:t>
      </w:r>
    </w:p>
    <w:p>
      <w:pPr>
        <w:autoSpaceDE/>
        <w:autoSpaceDN/>
        <w:adjustRightInd w:val="0"/>
        <w:snapToGrid w:val="0"/>
        <w:spacing w:line="360" w:lineRule="auto"/>
        <w:jc w:val="center"/>
        <w:rPr>
          <w:rFonts w:ascii="黑体" w:hAnsi="黑体" w:eastAsia="黑体" w:cs="Times New Roman"/>
          <w:b/>
          <w:bCs/>
          <w:kern w:val="2"/>
          <w:sz w:val="30"/>
          <w:szCs w:val="30"/>
          <w:lang w:val="en-US" w:bidi="ar-SA"/>
        </w:rPr>
      </w:pPr>
    </w:p>
    <w:p>
      <w:pPr>
        <w:autoSpaceDE/>
        <w:autoSpaceDN/>
        <w:adjustRightInd w:val="0"/>
        <w:snapToGrid w:val="0"/>
        <w:spacing w:line="360" w:lineRule="auto"/>
        <w:jc w:val="center"/>
        <w:rPr>
          <w:rFonts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陕西斯瑞新材料股份有限公司</w:t>
      </w:r>
    </w:p>
    <w:p>
      <w:pPr>
        <w:autoSpaceDE/>
        <w:autoSpaceDN/>
        <w:adjustRightInd w:val="0"/>
        <w:snapToGrid w:val="0"/>
        <w:spacing w:line="360" w:lineRule="auto"/>
        <w:jc w:val="center"/>
        <w:rPr>
          <w:rFonts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投资者关系活动记录表</w:t>
      </w:r>
    </w:p>
    <w:p>
      <w:pPr>
        <w:autoSpaceDE/>
        <w:adjustRightInd w:val="0"/>
        <w:snapToGrid w:val="0"/>
        <w:spacing w:line="600" w:lineRule="exact"/>
        <w:jc w:val="right"/>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bidi="ar-SA"/>
        </w:rPr>
        <w:t>编号：</w:t>
      </w:r>
      <w:r>
        <w:rPr>
          <w:rFonts w:hint="eastAsia" w:ascii="宋体" w:hAnsi="宋体" w:eastAsia="宋体" w:cs="Times New Roman"/>
          <w:kern w:val="2"/>
          <w:sz w:val="24"/>
          <w:szCs w:val="24"/>
          <w:highlight w:val="none"/>
          <w:lang w:val="en-US" w:bidi="ar-SA"/>
        </w:rPr>
        <w:t>20</w:t>
      </w:r>
      <w:r>
        <w:rPr>
          <w:rFonts w:ascii="宋体" w:hAnsi="宋体" w:eastAsia="宋体" w:cs="Times New Roman"/>
          <w:kern w:val="2"/>
          <w:sz w:val="24"/>
          <w:szCs w:val="24"/>
          <w:highlight w:val="none"/>
          <w:lang w:val="en-US" w:bidi="ar-SA"/>
        </w:rPr>
        <w:t>2</w:t>
      </w:r>
      <w:r>
        <w:rPr>
          <w:rFonts w:hint="eastAsia" w:ascii="宋体" w:hAnsi="宋体" w:eastAsia="宋体" w:cs="Times New Roman"/>
          <w:kern w:val="2"/>
          <w:sz w:val="24"/>
          <w:szCs w:val="24"/>
          <w:highlight w:val="none"/>
          <w:lang w:val="en-US" w:eastAsia="zh-CN" w:bidi="ar-SA"/>
        </w:rPr>
        <w:t>6</w:t>
      </w:r>
      <w:r>
        <w:rPr>
          <w:rFonts w:hint="eastAsia" w:ascii="宋体" w:hAnsi="宋体" w:eastAsia="宋体" w:cs="Times New Roman"/>
          <w:kern w:val="2"/>
          <w:sz w:val="24"/>
          <w:szCs w:val="24"/>
          <w:highlight w:val="none"/>
          <w:lang w:val="en-US" w:bidi="ar-SA"/>
        </w:rPr>
        <w:t>-0</w:t>
      </w:r>
      <w:r>
        <w:rPr>
          <w:rFonts w:hint="eastAsia" w:ascii="宋体" w:hAnsi="宋体" w:eastAsia="宋体" w:cs="Times New Roman"/>
          <w:kern w:val="2"/>
          <w:sz w:val="24"/>
          <w:szCs w:val="24"/>
          <w:highlight w:val="none"/>
          <w:lang w:val="en-US" w:eastAsia="zh-CN" w:bidi="ar-SA"/>
        </w:rPr>
        <w:t>05</w:t>
      </w:r>
    </w:p>
    <w:tbl>
      <w:tblPr>
        <w:tblStyle w:val="10"/>
        <w:tblW w:w="8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55"/>
        <w:gridCol w:w="7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9" w:hRule="atLeast"/>
          <w:jc w:val="center"/>
        </w:trPr>
        <w:tc>
          <w:tcPr>
            <w:tcW w:w="1555" w:type="dxa"/>
            <w:vAlign w:val="center"/>
          </w:tcPr>
          <w:p>
            <w:pPr>
              <w:pStyle w:val="14"/>
              <w:spacing w:before="1"/>
              <w:jc w:val="center"/>
              <w:rPr>
                <w:rFonts w:ascii="宋体" w:hAnsi="宋体" w:eastAsia="宋体" w:cs="宋体"/>
                <w:b/>
                <w:bCs/>
                <w:sz w:val="24"/>
                <w:szCs w:val="24"/>
              </w:rPr>
            </w:pPr>
            <w:r>
              <w:rPr>
                <w:rFonts w:hint="eastAsia" w:ascii="宋体" w:hAnsi="宋体" w:eastAsia="宋体" w:cs="宋体"/>
                <w:b/>
                <w:bCs/>
                <w:sz w:val="24"/>
                <w:szCs w:val="24"/>
              </w:rPr>
              <w:t>投资者关系</w:t>
            </w:r>
          </w:p>
          <w:p>
            <w:pPr>
              <w:pStyle w:val="14"/>
              <w:spacing w:before="1"/>
              <w:jc w:val="center"/>
              <w:rPr>
                <w:rFonts w:ascii="宋体" w:hAnsi="宋体" w:eastAsia="宋体" w:cs="宋体"/>
                <w:b/>
                <w:bCs/>
                <w:sz w:val="24"/>
                <w:szCs w:val="24"/>
              </w:rPr>
            </w:pPr>
            <w:r>
              <w:rPr>
                <w:rFonts w:hint="eastAsia" w:ascii="宋体" w:hAnsi="宋体" w:eastAsia="宋体" w:cs="宋体"/>
                <w:b/>
                <w:bCs/>
                <w:sz w:val="24"/>
                <w:szCs w:val="24"/>
              </w:rPr>
              <w:t>活动类别</w:t>
            </w:r>
          </w:p>
        </w:tc>
        <w:tc>
          <w:tcPr>
            <w:tcW w:w="7284" w:type="dxa"/>
          </w:tcPr>
          <w:p>
            <w:pPr>
              <w:pStyle w:val="14"/>
              <w:tabs>
                <w:tab w:val="left" w:pos="2418"/>
              </w:tabs>
              <w:spacing w:before="1"/>
              <w:ind w:left="107"/>
              <w:rPr>
                <w:rFonts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249780449"/>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rPr>
              <w:t>特</w:t>
            </w:r>
            <w:r>
              <w:rPr>
                <w:rFonts w:hint="eastAsia" w:asciiTheme="minorEastAsia" w:hAnsiTheme="minorEastAsia" w:eastAsiaTheme="minorEastAsia" w:cstheme="minorEastAsia"/>
                <w:spacing w:val="-3"/>
                <w:sz w:val="24"/>
                <w:szCs w:val="24"/>
              </w:rPr>
              <w:t>定</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pacing w:val="-3"/>
                <w:sz w:val="24"/>
                <w:szCs w:val="24"/>
              </w:rPr>
              <w:t>象</w:t>
            </w:r>
            <w:r>
              <w:rPr>
                <w:rFonts w:hint="eastAsia" w:asciiTheme="minorEastAsia" w:hAnsiTheme="minorEastAsia" w:eastAsiaTheme="minorEastAsia" w:cstheme="minorEastAsia"/>
                <w:sz w:val="24"/>
                <w:szCs w:val="24"/>
              </w:rPr>
              <w:t>调研</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444412095"/>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Theme="minorEastAsia" w:cstheme="minorEastAsia"/>
                    <w:sz w:val="24"/>
                    <w:szCs w:val="24"/>
                  </w:rPr>
                  <w:t>☐</w:t>
                </w:r>
              </w:sdtContent>
            </w:sdt>
            <w:r>
              <w:rPr>
                <w:rFonts w:hint="eastAsia" w:asciiTheme="minorEastAsia" w:hAnsiTheme="minorEastAsia" w:eastAsiaTheme="minorEastAsia" w:cstheme="minorEastAsia"/>
                <w:sz w:val="24"/>
                <w:szCs w:val="24"/>
              </w:rPr>
              <w:t>分</w:t>
            </w:r>
            <w:r>
              <w:rPr>
                <w:rFonts w:hint="eastAsia" w:asciiTheme="minorEastAsia" w:hAnsiTheme="minorEastAsia" w:eastAsiaTheme="minorEastAsia" w:cstheme="minorEastAsia"/>
                <w:spacing w:val="-3"/>
                <w:sz w:val="24"/>
                <w:szCs w:val="24"/>
              </w:rPr>
              <w:t>析</w:t>
            </w:r>
            <w:r>
              <w:rPr>
                <w:rFonts w:hint="eastAsia" w:asciiTheme="minorEastAsia" w:hAnsiTheme="minorEastAsia" w:eastAsiaTheme="minorEastAsia" w:cstheme="minorEastAsia"/>
                <w:sz w:val="24"/>
                <w:szCs w:val="24"/>
              </w:rPr>
              <w:t>师</w:t>
            </w:r>
            <w:r>
              <w:rPr>
                <w:rFonts w:hint="eastAsia" w:asciiTheme="minorEastAsia" w:hAnsiTheme="minorEastAsia" w:eastAsiaTheme="minorEastAsia" w:cstheme="minorEastAsia"/>
                <w:spacing w:val="-3"/>
                <w:sz w:val="24"/>
                <w:szCs w:val="24"/>
              </w:rPr>
              <w:t>会</w:t>
            </w:r>
            <w:r>
              <w:rPr>
                <w:rFonts w:hint="eastAsia" w:asciiTheme="minorEastAsia" w:hAnsiTheme="minorEastAsia" w:eastAsiaTheme="minorEastAsia" w:cstheme="minorEastAsia"/>
                <w:sz w:val="24"/>
                <w:szCs w:val="24"/>
              </w:rPr>
              <w:t>议</w:t>
            </w:r>
          </w:p>
          <w:p>
            <w:pPr>
              <w:pStyle w:val="14"/>
              <w:spacing w:before="11"/>
              <w:rPr>
                <w:rFonts w:asciiTheme="minorEastAsia" w:hAnsiTheme="minorEastAsia" w:eastAsiaTheme="minorEastAsia" w:cstheme="minorEastAsia"/>
                <w:sz w:val="24"/>
                <w:szCs w:val="24"/>
              </w:rPr>
            </w:pPr>
          </w:p>
          <w:p>
            <w:pPr>
              <w:pStyle w:val="14"/>
              <w:tabs>
                <w:tab w:val="left" w:pos="2418"/>
              </w:tabs>
              <w:ind w:left="107"/>
              <w:rPr>
                <w:rFonts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206906014"/>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媒</w:t>
            </w:r>
            <w:r>
              <w:rPr>
                <w:rFonts w:hint="eastAsia" w:asciiTheme="minorEastAsia" w:hAnsiTheme="minorEastAsia" w:eastAsiaTheme="minorEastAsia" w:cstheme="minorEastAsia"/>
                <w:spacing w:val="-3"/>
                <w:sz w:val="24"/>
                <w:szCs w:val="24"/>
              </w:rPr>
              <w:t>体</w:t>
            </w:r>
            <w:r>
              <w:rPr>
                <w:rFonts w:hint="eastAsia" w:asciiTheme="minorEastAsia" w:hAnsiTheme="minorEastAsia" w:eastAsiaTheme="minorEastAsia" w:cstheme="minorEastAsia"/>
                <w:sz w:val="24"/>
                <w:szCs w:val="24"/>
              </w:rPr>
              <w:t>采访</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193801180"/>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业</w:t>
            </w:r>
            <w:r>
              <w:rPr>
                <w:rFonts w:hint="eastAsia" w:asciiTheme="minorEastAsia" w:hAnsiTheme="minorEastAsia" w:eastAsiaTheme="minorEastAsia" w:cstheme="minorEastAsia"/>
                <w:spacing w:val="-3"/>
                <w:sz w:val="24"/>
                <w:szCs w:val="24"/>
              </w:rPr>
              <w:t>绩</w:t>
            </w:r>
            <w:r>
              <w:rPr>
                <w:rFonts w:hint="eastAsia" w:asciiTheme="minorEastAsia" w:hAnsiTheme="minorEastAsia" w:eastAsiaTheme="minorEastAsia" w:cstheme="minorEastAsia"/>
                <w:sz w:val="24"/>
                <w:szCs w:val="24"/>
              </w:rPr>
              <w:t>说</w:t>
            </w:r>
            <w:r>
              <w:rPr>
                <w:rFonts w:hint="eastAsia" w:asciiTheme="minorEastAsia" w:hAnsiTheme="minorEastAsia" w:eastAsiaTheme="minorEastAsia" w:cstheme="minorEastAsia"/>
                <w:spacing w:val="-3"/>
                <w:sz w:val="24"/>
                <w:szCs w:val="24"/>
              </w:rPr>
              <w:t>明</w:t>
            </w:r>
            <w:r>
              <w:rPr>
                <w:rFonts w:hint="eastAsia" w:asciiTheme="minorEastAsia" w:hAnsiTheme="minorEastAsia" w:eastAsiaTheme="minorEastAsia" w:cstheme="minorEastAsia"/>
                <w:sz w:val="24"/>
                <w:szCs w:val="24"/>
              </w:rPr>
              <w:t>会</w:t>
            </w:r>
          </w:p>
          <w:p>
            <w:pPr>
              <w:pStyle w:val="14"/>
              <w:spacing w:before="8"/>
              <w:rPr>
                <w:rFonts w:asciiTheme="minorEastAsia" w:hAnsiTheme="minorEastAsia" w:eastAsiaTheme="minorEastAsia" w:cstheme="minorEastAsia"/>
                <w:sz w:val="24"/>
                <w:szCs w:val="24"/>
              </w:rPr>
            </w:pPr>
          </w:p>
          <w:p>
            <w:pPr>
              <w:pStyle w:val="14"/>
              <w:tabs>
                <w:tab w:val="left" w:pos="2418"/>
              </w:tabs>
              <w:ind w:left="107"/>
              <w:rPr>
                <w:rFonts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48728546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新</w:t>
            </w:r>
            <w:r>
              <w:rPr>
                <w:rFonts w:hint="eastAsia" w:asciiTheme="minorEastAsia" w:hAnsiTheme="minorEastAsia" w:eastAsiaTheme="minorEastAsia" w:cstheme="minorEastAsia"/>
                <w:spacing w:val="-3"/>
                <w:sz w:val="24"/>
                <w:szCs w:val="24"/>
              </w:rPr>
              <w:t>闻</w:t>
            </w:r>
            <w:r>
              <w:rPr>
                <w:rFonts w:hint="eastAsia" w:asciiTheme="minorEastAsia" w:hAnsiTheme="minorEastAsia" w:eastAsiaTheme="minorEastAsia" w:cstheme="minorEastAsia"/>
                <w:sz w:val="24"/>
                <w:szCs w:val="24"/>
              </w:rPr>
              <w:t>发</w:t>
            </w:r>
            <w:r>
              <w:rPr>
                <w:rFonts w:hint="eastAsia" w:asciiTheme="minorEastAsia" w:hAnsiTheme="minorEastAsia" w:eastAsiaTheme="minorEastAsia" w:cstheme="minorEastAsia"/>
                <w:spacing w:val="-3"/>
                <w:sz w:val="24"/>
                <w:szCs w:val="24"/>
              </w:rPr>
              <w:t>布</w:t>
            </w:r>
            <w:r>
              <w:rPr>
                <w:rFonts w:hint="eastAsia" w:asciiTheme="minorEastAsia" w:hAnsiTheme="minorEastAsia" w:eastAsiaTheme="minorEastAsia" w:cstheme="minorEastAsia"/>
                <w:sz w:val="24"/>
                <w:szCs w:val="24"/>
              </w:rPr>
              <w:t>会</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41204969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路</w:t>
            </w:r>
            <w:r>
              <w:rPr>
                <w:rFonts w:hint="eastAsia" w:asciiTheme="minorEastAsia" w:hAnsiTheme="minorEastAsia" w:eastAsiaTheme="minorEastAsia" w:cstheme="minorEastAsia"/>
                <w:spacing w:val="-3"/>
                <w:sz w:val="24"/>
                <w:szCs w:val="24"/>
              </w:rPr>
              <w:t>演</w:t>
            </w:r>
            <w:r>
              <w:rPr>
                <w:rFonts w:hint="eastAsia" w:asciiTheme="minorEastAsia" w:hAnsiTheme="minorEastAsia" w:eastAsiaTheme="minorEastAsia" w:cstheme="minorEastAsia"/>
                <w:sz w:val="24"/>
                <w:szCs w:val="24"/>
              </w:rPr>
              <w:t>活动</w:t>
            </w:r>
          </w:p>
          <w:p>
            <w:pPr>
              <w:pStyle w:val="14"/>
              <w:spacing w:before="8"/>
              <w:rPr>
                <w:rFonts w:asciiTheme="minorEastAsia" w:hAnsiTheme="minorEastAsia" w:eastAsiaTheme="minorEastAsia" w:cstheme="minorEastAsia"/>
                <w:sz w:val="24"/>
                <w:szCs w:val="24"/>
              </w:rPr>
            </w:pPr>
          </w:p>
          <w:p>
            <w:pPr>
              <w:pStyle w:val="14"/>
              <w:ind w:left="107"/>
              <w:rPr>
                <w:rFonts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075015990"/>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Wingdings 2" w:hAnsi="Wingdings 2" w:eastAsiaTheme="minorEastAsia" w:cstheme="minorEastAsia"/>
                    <w:sz w:val="24"/>
                    <w:szCs w:val="24"/>
                    <w:lang w:val="zh-CN" w:eastAsia="zh-CN" w:bidi="zh-CN"/>
                  </w:rPr>
                  <w:t>R</w:t>
                </w:r>
              </w:sdtContent>
            </w:sdt>
            <w:r>
              <w:rPr>
                <w:rFonts w:hint="eastAsia" w:asciiTheme="minorEastAsia" w:hAnsiTheme="minorEastAsia" w:eastAsiaTheme="minorEastAsia" w:cstheme="minorEastAsia"/>
                <w:sz w:val="24"/>
                <w:szCs w:val="24"/>
              </w:rPr>
              <w:t>现场参观</w:t>
            </w:r>
          </w:p>
          <w:p>
            <w:pPr>
              <w:pStyle w:val="14"/>
              <w:spacing w:before="11"/>
              <w:rPr>
                <w:rFonts w:asciiTheme="minorEastAsia" w:hAnsiTheme="minorEastAsia" w:eastAsiaTheme="minorEastAsia" w:cstheme="minorEastAsia"/>
                <w:sz w:val="24"/>
                <w:szCs w:val="24"/>
              </w:rPr>
            </w:pPr>
          </w:p>
          <w:p>
            <w:pPr>
              <w:pStyle w:val="14"/>
              <w:ind w:left="107"/>
              <w:rPr>
                <w:rFonts w:ascii="宋体" w:hAnsi="宋体" w:eastAsia="宋体" w:cs="宋体"/>
                <w:sz w:val="21"/>
              </w:rPr>
            </w:pPr>
            <w:sdt>
              <w:sdtPr>
                <w:rPr>
                  <w:rFonts w:hint="eastAsia" w:asciiTheme="minorEastAsia" w:hAnsiTheme="minorEastAsia" w:eastAsiaTheme="minorEastAsia" w:cstheme="minorEastAsia"/>
                  <w:sz w:val="24"/>
                  <w:szCs w:val="24"/>
                </w:rPr>
                <w:id w:val="40088521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lang w:val="zh-CN" w:eastAsia="zh-CN" w:bidi="zh-CN"/>
                  </w:rPr>
                  <w:t>☐</w:t>
                </w:r>
              </w:sdtContent>
            </w:sdt>
            <w:r>
              <w:rPr>
                <w:rFonts w:hint="eastAsia" w:asciiTheme="minorEastAsia" w:hAnsiTheme="minorEastAsia" w:eastAsiaTheme="minorEastAsia" w:cstheme="minorEastAsia"/>
                <w:sz w:val="24"/>
                <w:szCs w:val="24"/>
              </w:rPr>
              <w:t>其他（</w:t>
            </w:r>
            <w:r>
              <w:rPr>
                <w:rFonts w:hint="eastAsia" w:asciiTheme="minorEastAsia" w:hAnsiTheme="minorEastAsia" w:eastAsiaTheme="minorEastAsia" w:cstheme="minorEastAsia"/>
                <w:sz w:val="24"/>
                <w:szCs w:val="24"/>
                <w:u w:val="single"/>
              </w:rPr>
              <w:t>请文字说明其他活动内容）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pPr>
              <w:pStyle w:val="14"/>
              <w:spacing w:line="560" w:lineRule="exact"/>
              <w:ind w:right="96"/>
              <w:jc w:val="center"/>
              <w:rPr>
                <w:rFonts w:ascii="宋体" w:hAnsi="宋体" w:eastAsia="宋体" w:cs="宋体"/>
                <w:b/>
                <w:bCs/>
                <w:sz w:val="24"/>
                <w:szCs w:val="24"/>
                <w:lang w:val="en-US"/>
              </w:rPr>
            </w:pPr>
            <w:r>
              <w:rPr>
                <w:rFonts w:hint="eastAsia" w:ascii="宋体" w:hAnsi="宋体" w:eastAsia="宋体" w:cs="宋体"/>
                <w:b/>
                <w:bCs/>
                <w:sz w:val="24"/>
                <w:szCs w:val="24"/>
                <w:lang w:val="en-US"/>
              </w:rPr>
              <w:t>形式</w:t>
            </w:r>
          </w:p>
        </w:tc>
        <w:tc>
          <w:tcPr>
            <w:tcW w:w="7284" w:type="dxa"/>
          </w:tcPr>
          <w:p>
            <w:pPr>
              <w:pStyle w:val="14"/>
              <w:spacing w:before="240" w:beforeLines="100" w:line="360" w:lineRule="auto"/>
              <w:ind w:left="108"/>
              <w:rPr>
                <w:rFonts w:ascii="宋体" w:hAnsi="宋体" w:eastAsia="宋体" w:cs="宋体"/>
                <w:sz w:val="26"/>
                <w:lang w:val="en-US"/>
              </w:rPr>
            </w:pPr>
            <w:sdt>
              <w:sdtPr>
                <w:rPr>
                  <w:rFonts w:hint="eastAsia" w:asciiTheme="minorEastAsia" w:hAnsiTheme="minorEastAsia" w:eastAsiaTheme="minorEastAsia" w:cstheme="minorEastAsia"/>
                  <w:sz w:val="24"/>
                  <w:szCs w:val="24"/>
                </w:rPr>
                <w:id w:val="201993987"/>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lang w:val="en-US"/>
              </w:rPr>
              <w:t xml:space="preserve">现场     </w:t>
            </w:r>
            <w:sdt>
              <w:sdtPr>
                <w:rPr>
                  <w:rFonts w:hint="eastAsia" w:asciiTheme="minorEastAsia" w:hAnsiTheme="minorEastAsia" w:eastAsiaTheme="minorEastAsia" w:cstheme="minorEastAsia"/>
                  <w:sz w:val="24"/>
                  <w:szCs w:val="24"/>
                </w:rPr>
                <w:id w:val="1858075833"/>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lang w:val="zh-CN" w:eastAsia="zh-CN" w:bidi="zh-CN"/>
                  </w:rPr>
                  <w:t>☐</w:t>
                </w:r>
              </w:sdtContent>
            </w:sdt>
            <w:r>
              <w:rPr>
                <w:rFonts w:hint="eastAsia" w:asciiTheme="minorEastAsia" w:hAnsiTheme="minorEastAsia" w:eastAsiaTheme="minorEastAsia" w:cstheme="minorEastAsia"/>
                <w:sz w:val="24"/>
                <w:szCs w:val="24"/>
                <w:lang w:val="en-US"/>
              </w:rPr>
              <w:t xml:space="preserve">网上    </w:t>
            </w:r>
            <w:sdt>
              <w:sdtPr>
                <w:rPr>
                  <w:rFonts w:hint="eastAsia" w:asciiTheme="minorEastAsia" w:hAnsiTheme="minorEastAsia" w:eastAsiaTheme="minorEastAsia" w:cstheme="minorEastAsia"/>
                  <w:sz w:val="24"/>
                  <w:szCs w:val="24"/>
                </w:rPr>
                <w:id w:val="107656179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lang w:val="zh-CN" w:eastAsia="zh-CN" w:bidi="zh-CN"/>
                  </w:rPr>
                  <w:t>☐</w:t>
                </w:r>
              </w:sdtContent>
            </w:sdt>
            <w:r>
              <w:rPr>
                <w:rFonts w:hint="eastAsia" w:asciiTheme="minorEastAsia" w:hAnsiTheme="minorEastAsia" w:eastAsiaTheme="minorEastAsia" w:cstheme="minorEastAsia"/>
                <w:sz w:val="24"/>
                <w:szCs w:val="24"/>
                <w:lang w:val="en-US"/>
              </w:rPr>
              <w:t>电话会议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1555" w:type="dxa"/>
            <w:vAlign w:val="center"/>
          </w:tcPr>
          <w:p>
            <w:pPr>
              <w:pStyle w:val="14"/>
              <w:spacing w:line="360" w:lineRule="auto"/>
              <w:ind w:right="96"/>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参与单位名称</w:t>
            </w:r>
          </w:p>
        </w:tc>
        <w:tc>
          <w:tcPr>
            <w:tcW w:w="7284" w:type="dxa"/>
            <w:vAlign w:val="center"/>
          </w:tcPr>
          <w:p>
            <w:pPr>
              <w:spacing w:line="360" w:lineRule="exact"/>
              <w:ind w:right="96"/>
              <w:jc w:val="both"/>
              <w:rPr>
                <w:rFonts w:hint="default" w:cs="楷体" w:asciiTheme="minorEastAsia" w:hAnsiTheme="minorEastAsia" w:eastAsiaTheme="minorEastAsia"/>
                <w:sz w:val="24"/>
                <w:szCs w:val="24"/>
                <w:lang w:val="en-US" w:eastAsia="zh-CN"/>
              </w:rPr>
            </w:pPr>
            <w:r>
              <w:rPr>
                <w:rFonts w:hint="eastAsia" w:cs="楷体" w:asciiTheme="minorEastAsia" w:hAnsiTheme="minorEastAsia" w:eastAsiaTheme="minorEastAsia"/>
                <w:sz w:val="24"/>
                <w:szCs w:val="24"/>
                <w:highlight w:val="none"/>
                <w:lang w:val="en-US" w:eastAsia="zh-CN"/>
              </w:rPr>
              <w:t>银河证券、信达澳亚基金、华海资本（深圳）、中金银海（香港）基金、领建资本及个人投资者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pPr>
              <w:pStyle w:val="14"/>
              <w:ind w:left="107"/>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时间</w:t>
            </w:r>
          </w:p>
        </w:tc>
        <w:tc>
          <w:tcPr>
            <w:tcW w:w="7284" w:type="dxa"/>
            <w:vAlign w:val="center"/>
          </w:tcPr>
          <w:p>
            <w:pPr>
              <w:pStyle w:val="14"/>
              <w:spacing w:before="50" w:line="360" w:lineRule="exact"/>
              <w:ind w:left="108" w:right="96"/>
              <w:rPr>
                <w:rFonts w:hint="default" w:ascii="宋体" w:hAnsi="宋体" w:eastAsia="宋体"/>
                <w:color w:val="000000"/>
                <w:sz w:val="24"/>
                <w:lang w:val="en-US" w:eastAsia="zh-CN"/>
              </w:rPr>
            </w:pPr>
            <w:r>
              <w:rPr>
                <w:rFonts w:hint="eastAsia" w:ascii="宋体" w:hAnsi="宋体" w:eastAsia="宋体"/>
                <w:color w:val="000000"/>
                <w:sz w:val="24"/>
                <w:lang w:val="en-US" w:eastAsia="zh-CN"/>
              </w:rPr>
              <w:t>2026年10月13日-2026年10月14日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1555" w:type="dxa"/>
            <w:vAlign w:val="center"/>
          </w:tcPr>
          <w:p>
            <w:pPr>
              <w:pStyle w:val="14"/>
              <w:ind w:left="107"/>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地点</w:t>
            </w:r>
          </w:p>
        </w:tc>
        <w:tc>
          <w:tcPr>
            <w:tcW w:w="7284" w:type="dxa"/>
            <w:vAlign w:val="center"/>
          </w:tcPr>
          <w:p>
            <w:pPr>
              <w:pStyle w:val="14"/>
              <w:spacing w:before="50" w:line="360" w:lineRule="exact"/>
              <w:ind w:left="107" w:right="96"/>
              <w:rPr>
                <w:rFonts w:ascii="宋体" w:hAnsi="宋体" w:eastAsia="宋体"/>
                <w:color w:val="000000"/>
                <w:sz w:val="24"/>
                <w:lang w:val="en-US"/>
              </w:rPr>
            </w:pPr>
            <w:r>
              <w:rPr>
                <w:rFonts w:hint="eastAsia" w:ascii="宋体" w:hAnsi="宋体" w:eastAsia="宋体"/>
                <w:color w:val="000000"/>
                <w:sz w:val="24"/>
                <w:lang w:val="en-US"/>
              </w:rPr>
              <w:t>公司会议室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pPr>
              <w:pStyle w:val="14"/>
              <w:spacing w:before="1"/>
              <w:jc w:val="center"/>
              <w:rPr>
                <w:rFonts w:ascii="宋体" w:hAnsi="宋体" w:eastAsia="宋体" w:cs="宋体"/>
                <w:b/>
                <w:bCs/>
                <w:sz w:val="24"/>
                <w:szCs w:val="24"/>
              </w:rPr>
            </w:pPr>
            <w:r>
              <w:rPr>
                <w:rFonts w:hint="eastAsia" w:ascii="宋体" w:hAnsi="宋体" w:eastAsia="宋体" w:cs="宋体"/>
                <w:b/>
                <w:bCs/>
                <w:sz w:val="24"/>
                <w:szCs w:val="24"/>
              </w:rPr>
              <w:t>上市公司接</w:t>
            </w:r>
          </w:p>
          <w:p>
            <w:pPr>
              <w:pStyle w:val="14"/>
              <w:spacing w:before="1"/>
              <w:jc w:val="center"/>
              <w:rPr>
                <w:rFonts w:ascii="宋体" w:hAnsi="宋体" w:eastAsia="宋体" w:cs="宋体"/>
                <w:b/>
                <w:bCs/>
                <w:sz w:val="24"/>
                <w:szCs w:val="24"/>
              </w:rPr>
            </w:pPr>
            <w:r>
              <w:rPr>
                <w:rFonts w:hint="eastAsia" w:ascii="宋体" w:hAnsi="宋体" w:eastAsia="宋体" w:cs="宋体"/>
                <w:b/>
                <w:bCs/>
                <w:sz w:val="24"/>
                <w:szCs w:val="24"/>
              </w:rPr>
              <w:t>待人员姓名</w:t>
            </w:r>
          </w:p>
        </w:tc>
        <w:tc>
          <w:tcPr>
            <w:tcW w:w="7284" w:type="dxa"/>
            <w:vAlign w:val="center"/>
          </w:tcPr>
          <w:p>
            <w:pPr>
              <w:pStyle w:val="14"/>
              <w:spacing w:before="120" w:beforeLines="50" w:after="120" w:afterLines="50" w:line="360" w:lineRule="exact"/>
              <w:ind w:right="96"/>
              <w:rPr>
                <w:rFonts w:hint="eastAsia" w:ascii="宋体" w:hAnsi="宋体" w:eastAsia="宋体"/>
                <w:color w:val="000000"/>
                <w:sz w:val="24"/>
                <w:lang w:val="en-US" w:eastAsia="zh-CN"/>
              </w:rPr>
            </w:pPr>
            <w:r>
              <w:rPr>
                <w:rFonts w:hint="eastAsia" w:ascii="宋体" w:hAnsi="宋体" w:eastAsia="宋体"/>
                <w:color w:val="000000"/>
                <w:sz w:val="24"/>
                <w:lang w:val="en-US" w:eastAsia="zh-CN"/>
              </w:rPr>
              <w:t>董事会秘书：王磊</w:t>
            </w:r>
          </w:p>
          <w:p>
            <w:pPr>
              <w:pStyle w:val="14"/>
              <w:spacing w:before="120" w:beforeLines="50" w:after="120" w:afterLines="50" w:line="360" w:lineRule="exact"/>
              <w:ind w:right="96"/>
              <w:rPr>
                <w:rFonts w:hint="default" w:ascii="宋体" w:hAnsi="宋体" w:eastAsia="宋体"/>
                <w:color w:val="000000"/>
                <w:sz w:val="24"/>
                <w:lang w:val="en-US" w:eastAsia="zh-CN"/>
              </w:rPr>
            </w:pPr>
            <w:r>
              <w:rPr>
                <w:rFonts w:hint="eastAsia" w:ascii="宋体" w:hAnsi="宋体" w:eastAsia="宋体"/>
                <w:color w:val="000000"/>
                <w:sz w:val="24"/>
                <w:lang w:val="en-US" w:eastAsia="zh-CN"/>
              </w:rPr>
              <w:t>投关专员：孙晓媛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jc w:val="center"/>
        </w:trPr>
        <w:tc>
          <w:tcPr>
            <w:tcW w:w="1555" w:type="dxa"/>
            <w:vAlign w:val="center"/>
          </w:tcPr>
          <w:p>
            <w:pPr>
              <w:pStyle w:val="14"/>
              <w:spacing w:before="1" w:line="499" w:lineRule="auto"/>
              <w:ind w:right="96"/>
              <w:jc w:val="center"/>
              <w:rPr>
                <w:rFonts w:ascii="宋体" w:hAnsi="宋体" w:eastAsia="宋体" w:cs="宋体"/>
                <w:b/>
                <w:bCs/>
                <w:sz w:val="24"/>
                <w:szCs w:val="24"/>
              </w:rPr>
            </w:pPr>
            <w:r>
              <w:rPr>
                <w:rFonts w:hint="eastAsia" w:ascii="宋体" w:hAnsi="宋体" w:eastAsia="宋体" w:cs="宋体"/>
                <w:b/>
                <w:bCs/>
                <w:sz w:val="24"/>
                <w:szCs w:val="24"/>
              </w:rPr>
              <w:t>投资者关系活动主要内容介绍</w:t>
            </w:r>
          </w:p>
        </w:tc>
        <w:tc>
          <w:tcPr>
            <w:tcW w:w="7284" w:type="dxa"/>
          </w:tcPr>
          <w:p>
            <w:pPr>
              <w:numPr>
                <w:ilvl w:val="0"/>
                <w:numId w:val="0"/>
              </w:numPr>
              <w:spacing w:line="400" w:lineRule="exact"/>
              <w:ind w:right="96" w:rightChars="0"/>
              <w:rPr>
                <w:rFonts w:hint="eastAsia" w:ascii="宋体" w:hAnsi="宋体" w:eastAsia="宋体" w:cs="宋体"/>
                <w:b/>
                <w:iCs/>
                <w:lang w:val="en-US"/>
              </w:rPr>
            </w:pPr>
            <w:r>
              <w:rPr>
                <w:rFonts w:hint="eastAsia" w:ascii="宋体" w:hAnsi="宋体" w:eastAsia="宋体" w:cs="宋体"/>
                <w:b/>
                <w:iCs/>
                <w:lang w:val="en-US" w:eastAsia="zh-CN"/>
              </w:rPr>
              <w:t>1、介绍一下</w:t>
            </w:r>
            <w:r>
              <w:rPr>
                <w:rFonts w:hint="eastAsia" w:ascii="宋体" w:hAnsi="宋体" w:eastAsia="宋体" w:cs="宋体"/>
                <w:b/>
                <w:iCs/>
                <w:lang w:val="en-US"/>
              </w:rPr>
              <w:t>中高压电接触材料国内市占率情况；特高压、新型电网建设对需求拉动；</w:t>
            </w:r>
          </w:p>
          <w:p>
            <w:pPr>
              <w:numPr>
                <w:ilvl w:val="0"/>
                <w:numId w:val="0"/>
              </w:numPr>
              <w:spacing w:line="400" w:lineRule="exact"/>
              <w:ind w:left="96" w:right="96" w:rightChars="0" w:firstLine="441" w:firstLineChars="0"/>
              <w:rPr>
                <w:rFonts w:hint="eastAsia" w:ascii="宋体" w:hAnsi="宋体" w:eastAsia="宋体" w:cs="宋体"/>
                <w:b w:val="0"/>
                <w:iCs/>
                <w:lang w:val="en-US"/>
              </w:rPr>
            </w:pPr>
            <w:r>
              <w:rPr>
                <w:rFonts w:hint="eastAsia" w:ascii="宋体" w:hAnsi="宋体" w:eastAsia="宋体" w:cs="宋体"/>
                <w:b w:val="0"/>
                <w:iCs/>
                <w:lang w:val="en-US"/>
              </w:rPr>
              <w:t>答：公司中高压电接触制品核心涵盖铜铬触头、铜钨触头两大系列，主要应用于中压、高压、超高压及特高压开关设备，承担电路接通、断开及负载电流承载的功能。公司专注于中高压电接触材料的研发制造，成为全球该细分新材料领域行业第一。公司铜铬系列触头产品经过四代技术升级，创新能力全球领先，发明专利占比全球第一，产品全球市场占有率领先。公司该产品已实现国家电网建设用触头材料的自主供应，有效提升了该领域材料国产化水平，实现了全球市场销售，上半年实现营业收入2.23亿元，同比增长26.25%。</w:t>
            </w:r>
          </w:p>
          <w:p>
            <w:pPr>
              <w:numPr>
                <w:ilvl w:val="0"/>
                <w:numId w:val="0"/>
              </w:numPr>
              <w:spacing w:line="400" w:lineRule="exact"/>
              <w:ind w:left="96" w:right="96" w:rightChars="0" w:firstLine="441" w:firstLineChars="0"/>
              <w:rPr>
                <w:rFonts w:hint="eastAsia" w:ascii="宋体" w:hAnsi="宋体" w:eastAsia="宋体" w:cs="宋体"/>
                <w:b w:val="0"/>
                <w:iCs/>
                <w:lang w:val="en-US"/>
              </w:rPr>
            </w:pPr>
            <w:r>
              <w:rPr>
                <w:rFonts w:hint="eastAsia" w:ascii="宋体" w:hAnsi="宋体" w:eastAsia="宋体" w:cs="宋体"/>
                <w:b w:val="0"/>
                <w:iCs/>
                <w:lang w:val="en-US"/>
              </w:rPr>
              <w:t>铜铬电触头材料及制品国内市场占有率超过60%，该产品获得国家工信部单项冠军产品荣誉。公司持续扩张产能，126kV真空灭弧室触头材料已实现小批量交付客户，12kV及以上充气柜触头材料批量供应市场。</w:t>
            </w:r>
          </w:p>
          <w:p>
            <w:pPr>
              <w:numPr>
                <w:ilvl w:val="0"/>
                <w:numId w:val="0"/>
              </w:numPr>
              <w:spacing w:line="400" w:lineRule="exact"/>
              <w:ind w:left="96" w:right="96" w:rightChars="0" w:firstLine="441" w:firstLineChars="0"/>
              <w:rPr>
                <w:rFonts w:hint="eastAsia" w:ascii="宋体" w:hAnsi="宋体" w:eastAsia="宋体" w:cs="宋体"/>
                <w:b w:val="0"/>
                <w:iCs/>
                <w:lang w:val="en-US"/>
              </w:rPr>
            </w:pPr>
            <w:r>
              <w:rPr>
                <w:rFonts w:hint="eastAsia" w:ascii="宋体" w:hAnsi="宋体" w:eastAsia="宋体" w:cs="宋体"/>
                <w:b w:val="0"/>
                <w:iCs/>
                <w:lang w:val="en-US"/>
              </w:rPr>
              <w:t>公司开发的高电压、大容量高抗烧蚀铜钨触头材料，550kV/80kA高压断路器22次满容量开断寿命达到同类产品最高指标，获两项有色金属工业科学技术奖二等奖。承接了国家重点研发计划中800千伏/80千安大容量交流断路器新型弧触头材料研制与性能检测方法研究项目。</w:t>
            </w:r>
          </w:p>
          <w:p>
            <w:pPr>
              <w:numPr>
                <w:ilvl w:val="0"/>
                <w:numId w:val="0"/>
              </w:numPr>
              <w:spacing w:line="400" w:lineRule="exact"/>
              <w:ind w:left="96" w:right="96" w:rightChars="0" w:firstLine="441" w:firstLineChars="0"/>
              <w:rPr>
                <w:rFonts w:hint="eastAsia" w:ascii="宋体" w:hAnsi="宋体" w:eastAsia="宋体" w:cs="宋体"/>
                <w:b w:val="0"/>
                <w:iCs/>
                <w:lang w:val="en-US" w:eastAsia="zh-CN"/>
              </w:rPr>
            </w:pPr>
            <w:bookmarkStart w:id="0" w:name="_GoBack"/>
            <w:bookmarkEnd w:id="0"/>
          </w:p>
          <w:p>
            <w:pPr>
              <w:numPr>
                <w:ilvl w:val="0"/>
                <w:numId w:val="0"/>
              </w:numPr>
              <w:spacing w:line="400" w:lineRule="exact"/>
              <w:ind w:right="96" w:rightChars="0"/>
              <w:rPr>
                <w:rFonts w:hint="eastAsia" w:ascii="宋体" w:hAnsi="宋体" w:eastAsia="宋体" w:cs="宋体"/>
                <w:b/>
                <w:iCs/>
                <w:lang w:val="en-US" w:eastAsia="zh-CN"/>
              </w:rPr>
            </w:pPr>
            <w:r>
              <w:rPr>
                <w:rFonts w:hint="eastAsia" w:ascii="宋体" w:hAnsi="宋体" w:eastAsia="宋体" w:cs="宋体"/>
                <w:b/>
                <w:iCs/>
                <w:lang w:val="en-US" w:eastAsia="zh-CN"/>
              </w:rPr>
              <w:t>2、液体火箭推力室业务2026年上半年收入达3115万元，同比增长33.77%。现有合作客户订单情况如何？大推力产品交付进展如何？</w:t>
            </w:r>
          </w:p>
          <w:p>
            <w:pPr>
              <w:numPr>
                <w:ilvl w:val="0"/>
                <w:numId w:val="0"/>
              </w:numPr>
              <w:spacing w:line="400" w:lineRule="exact"/>
              <w:ind w:left="96" w:leftChars="0" w:right="96" w:rightChars="0" w:firstLine="441"/>
              <w:rPr>
                <w:rFonts w:hint="eastAsia" w:ascii="宋体" w:hAnsi="宋体" w:eastAsia="宋体" w:cs="宋体"/>
                <w:iCs/>
                <w:lang w:val="en-US" w:eastAsia="zh-CN"/>
              </w:rPr>
            </w:pPr>
            <w:r>
              <w:rPr>
                <w:rFonts w:hint="eastAsia" w:ascii="宋体" w:hAnsi="宋体" w:eastAsia="宋体" w:cs="宋体"/>
                <w:iCs/>
                <w:lang w:val="en-US" w:eastAsia="zh-CN"/>
              </w:rPr>
              <w:t>答：公司生产液体火箭发动机推力室内壁相关产品，推力室是火箭发动机的重要装置，推进剂燃烧产生的高温、高压燃气热能在推力室内转化为动能，在高温高压的极端服役条件下，推力室内壁材料必须具有良好的耐高温、低周疲劳和导热性能，公司研发的耐高温铜合金材料，已通过下游不同客户验证并用于实际的火箭发射。</w:t>
            </w:r>
          </w:p>
          <w:p>
            <w:pPr>
              <w:numPr>
                <w:ilvl w:val="0"/>
                <w:numId w:val="0"/>
              </w:numPr>
              <w:spacing w:line="400" w:lineRule="exact"/>
              <w:ind w:right="96" w:rightChars="0" w:firstLine="440" w:firstLineChars="200"/>
              <w:rPr>
                <w:rFonts w:hint="eastAsia" w:ascii="宋体" w:hAnsi="宋体" w:eastAsia="宋体" w:cs="宋体"/>
                <w:iCs/>
                <w:lang w:val="en-US" w:eastAsia="zh-CN"/>
              </w:rPr>
            </w:pPr>
            <w:r>
              <w:rPr>
                <w:rFonts w:hint="eastAsia" w:ascii="宋体" w:hAnsi="宋体" w:eastAsia="宋体" w:cs="宋体"/>
                <w:iCs/>
                <w:lang w:val="en-US" w:eastAsia="zh-CN"/>
              </w:rPr>
              <w:t>公司已与蓝箭航天、九州云箭等国内头部企业建立深度合作关系，同时在核心关键技术领域实现突破，自主完成大推力液体火箭发动机推力室铜铬铌合金内壁热等静压近净成形核心工艺，并向客户交付样件，该技术可有效提升内壁材料的强度和耐高温性能，提高材料利用率、降低生产成本，推动公司形成液体火箭发动机推力室内壁产品从材料到制品的“全工艺链能力”，提升供应链效率，助力关键部件自主可控。</w:t>
            </w:r>
          </w:p>
          <w:p>
            <w:pPr>
              <w:numPr>
                <w:ilvl w:val="0"/>
                <w:numId w:val="0"/>
              </w:numPr>
              <w:spacing w:line="400" w:lineRule="exact"/>
              <w:ind w:right="96" w:rightChars="0"/>
              <w:rPr>
                <w:rFonts w:hint="eastAsia" w:ascii="宋体" w:hAnsi="宋体" w:eastAsia="宋体" w:cs="宋体"/>
                <w:iCs/>
                <w:lang w:val="en-US" w:eastAsia="zh-CN"/>
              </w:rPr>
            </w:pPr>
          </w:p>
          <w:p>
            <w:pPr>
              <w:numPr>
                <w:ilvl w:val="0"/>
                <w:numId w:val="0"/>
              </w:numPr>
              <w:spacing w:line="400" w:lineRule="exact"/>
              <w:ind w:right="96" w:rightChars="0"/>
              <w:rPr>
                <w:rFonts w:hint="eastAsia" w:ascii="宋体" w:hAnsi="宋体" w:eastAsia="宋体" w:cs="宋体"/>
                <w:b/>
                <w:iCs/>
                <w:lang w:val="en-US" w:eastAsia="zh-CN"/>
              </w:rPr>
            </w:pPr>
            <w:r>
              <w:rPr>
                <w:rFonts w:hint="eastAsia" w:ascii="宋体" w:hAnsi="宋体" w:eastAsia="宋体" w:cs="宋体"/>
                <w:b/>
                <w:iCs/>
                <w:lang w:val="en-US" w:eastAsia="zh-CN"/>
              </w:rPr>
              <w:t>3、年产3万套医疗影像装备零部件募投项目，目前建设进度、产能释放节点，客户情况怎么样？</w:t>
            </w:r>
          </w:p>
          <w:p>
            <w:pPr>
              <w:numPr>
                <w:ilvl w:val="0"/>
                <w:numId w:val="0"/>
              </w:numPr>
              <w:spacing w:line="400" w:lineRule="exact"/>
              <w:ind w:right="96" w:rightChars="0" w:firstLine="440" w:firstLineChars="200"/>
              <w:rPr>
                <w:rFonts w:hint="eastAsia" w:ascii="宋体" w:hAnsi="宋体" w:eastAsia="宋体" w:cs="宋体"/>
                <w:iCs/>
                <w:lang w:val="en-US" w:eastAsia="zh-CN"/>
              </w:rPr>
            </w:pPr>
            <w:r>
              <w:rPr>
                <w:rFonts w:hint="eastAsia" w:ascii="宋体" w:hAnsi="宋体" w:eastAsia="宋体" w:cs="宋体"/>
                <w:iCs/>
                <w:lang w:val="en-US" w:eastAsia="zh-CN"/>
              </w:rPr>
              <w:t>答：</w:t>
            </w:r>
            <w:r>
              <w:rPr>
                <w:rFonts w:hint="default" w:ascii="宋体" w:hAnsi="宋体" w:eastAsia="宋体" w:cs="宋体"/>
                <w:iCs/>
                <w:lang w:val="en-US" w:eastAsia="zh-CN"/>
              </w:rPr>
              <w:t>公司规划投资4亿元用于建设“年产3万套医疗影像装备等电真空用材料、零组件研发及产业化项目”，项目达产后预计实现年产30,000套CT球管零组件、15,000套DR射线管零组件、500套直线加速器零组件及其他产品。项目新厂房建设已于2025年年底完成投入使用，</w:t>
            </w:r>
            <w:r>
              <w:rPr>
                <w:rFonts w:hint="eastAsia" w:ascii="宋体" w:hAnsi="宋体" w:eastAsia="宋体" w:cs="宋体"/>
                <w:iCs/>
                <w:lang w:val="en-US" w:eastAsia="zh-CN"/>
              </w:rPr>
              <w:t>今年上半年</w:t>
            </w:r>
            <w:r>
              <w:rPr>
                <w:rFonts w:hint="default" w:ascii="宋体" w:hAnsi="宋体" w:eastAsia="宋体" w:cs="宋体"/>
                <w:iCs/>
                <w:lang w:val="en-US" w:eastAsia="zh-CN"/>
              </w:rPr>
              <w:t>，设备投资已基本完成，已累计投入29,376.41万元。</w:t>
            </w:r>
            <w:r>
              <w:rPr>
                <w:rFonts w:hint="eastAsia" w:ascii="宋体" w:hAnsi="宋体" w:eastAsia="宋体" w:cs="宋体"/>
                <w:iCs/>
                <w:lang w:val="en-US" w:eastAsia="zh-CN"/>
              </w:rPr>
              <w:t>上半年实现营业收入7,373.65万元，同比增长79.83%。目前主要客户有联影医疗、西门子医疗、昆山医源、科罗诺司、麦默真空、北京智束、电科睿视、IAE等。</w:t>
            </w:r>
          </w:p>
          <w:p>
            <w:pPr>
              <w:numPr>
                <w:ilvl w:val="0"/>
                <w:numId w:val="0"/>
              </w:numPr>
              <w:spacing w:line="400" w:lineRule="exact"/>
              <w:ind w:right="96" w:rightChars="0"/>
              <w:rPr>
                <w:rFonts w:hint="default" w:ascii="宋体" w:hAnsi="宋体" w:eastAsia="宋体" w:cs="宋体"/>
                <w:iCs/>
                <w:lang w:val="en-US" w:eastAsia="zh-CN"/>
              </w:rPr>
            </w:pPr>
          </w:p>
          <w:p>
            <w:pPr>
              <w:numPr>
                <w:ilvl w:val="0"/>
                <w:numId w:val="0"/>
              </w:numPr>
              <w:spacing w:line="400" w:lineRule="exact"/>
              <w:ind w:left="96" w:leftChars="0" w:right="96" w:rightChars="0"/>
              <w:rPr>
                <w:rFonts w:hint="eastAsia" w:ascii="宋体" w:hAnsi="宋体" w:eastAsia="宋体" w:cs="宋体"/>
                <w:b/>
                <w:iCs/>
                <w:lang w:val="en-US" w:eastAsia="zh-CN"/>
              </w:rPr>
            </w:pPr>
            <w:r>
              <w:rPr>
                <w:rFonts w:hint="eastAsia" w:ascii="宋体" w:hAnsi="宋体" w:eastAsia="宋体" w:cs="宋体"/>
                <w:b/>
                <w:iCs/>
                <w:lang w:val="en-US" w:eastAsia="zh-CN"/>
              </w:rPr>
              <w:t>4、光模块芯片基座、壳体当前主要客户有哪些？</w:t>
            </w:r>
          </w:p>
          <w:p>
            <w:pPr>
              <w:numPr>
                <w:ilvl w:val="0"/>
                <w:numId w:val="0"/>
              </w:numPr>
              <w:spacing w:line="400" w:lineRule="exact"/>
              <w:ind w:right="96" w:rightChars="0" w:firstLine="440" w:firstLineChars="200"/>
              <w:rPr>
                <w:rFonts w:hint="eastAsia" w:ascii="宋体" w:hAnsi="宋体" w:eastAsia="宋体" w:cs="宋体"/>
                <w:iCs/>
                <w:lang w:val="en-US" w:eastAsia="zh-CN"/>
              </w:rPr>
            </w:pPr>
            <w:r>
              <w:rPr>
                <w:rFonts w:hint="eastAsia" w:ascii="宋体" w:hAnsi="宋体" w:eastAsia="宋体" w:cs="宋体"/>
                <w:iCs/>
                <w:lang w:val="en-US" w:eastAsia="zh-CN"/>
              </w:rPr>
              <w:t>答：公司主要客户有环球广电、索尔思、剑桥科技、菲尼萨、天孚通信、东莞讯滔等。未来，公司将持续深化技术研发与产能建设，进一步深化与下游标杆客户的合作关系，不断巩固公司在本行业的地位。</w:t>
            </w:r>
          </w:p>
          <w:p>
            <w:pPr>
              <w:numPr>
                <w:ilvl w:val="0"/>
                <w:numId w:val="0"/>
              </w:numPr>
              <w:spacing w:line="400" w:lineRule="exact"/>
              <w:ind w:right="96" w:rightChars="0"/>
              <w:rPr>
                <w:rFonts w:hint="default" w:ascii="宋体" w:hAnsi="宋体" w:eastAsia="宋体" w:cs="宋体"/>
                <w:iCs/>
                <w:lang w:val="en-US" w:eastAsia="zh-CN"/>
              </w:rPr>
            </w:pPr>
          </w:p>
          <w:p>
            <w:pPr>
              <w:numPr>
                <w:ilvl w:val="0"/>
                <w:numId w:val="0"/>
              </w:numPr>
              <w:spacing w:line="400" w:lineRule="exact"/>
              <w:ind w:left="96" w:leftChars="0" w:right="96" w:rightChars="0"/>
              <w:rPr>
                <w:rFonts w:hint="eastAsia" w:ascii="宋体" w:hAnsi="宋体" w:eastAsia="宋体" w:cs="宋体"/>
                <w:b/>
                <w:iCs/>
                <w:lang w:val="en-US" w:eastAsia="zh-CN"/>
              </w:rPr>
            </w:pPr>
            <w:r>
              <w:rPr>
                <w:rFonts w:hint="eastAsia" w:ascii="宋体" w:hAnsi="宋体" w:eastAsia="宋体" w:cs="宋体"/>
                <w:b/>
                <w:iCs/>
                <w:lang w:val="en-US" w:eastAsia="zh-CN"/>
              </w:rPr>
              <w:t>5、800G、1.6T高速光模块对基座、壳体的技术迭代要求，公司产品迭代路线；未来更高速率产品的研发储备？</w:t>
            </w:r>
          </w:p>
          <w:p>
            <w:pPr>
              <w:numPr>
                <w:ilvl w:val="0"/>
                <w:numId w:val="0"/>
              </w:numPr>
              <w:spacing w:line="400" w:lineRule="exact"/>
              <w:ind w:right="96" w:rightChars="0" w:firstLine="440" w:firstLineChars="200"/>
              <w:rPr>
                <w:rFonts w:hint="default" w:ascii="宋体" w:hAnsi="宋体" w:eastAsia="宋体" w:cs="宋体"/>
                <w:iCs/>
                <w:lang w:val="en-US" w:eastAsia="zh-CN"/>
              </w:rPr>
            </w:pPr>
            <w:r>
              <w:rPr>
                <w:rFonts w:hint="eastAsia" w:ascii="宋体" w:hAnsi="宋体" w:eastAsia="宋体" w:cs="宋体"/>
                <w:iCs/>
                <w:lang w:val="en-US" w:eastAsia="zh-CN"/>
              </w:rPr>
              <w:t>答：</w:t>
            </w:r>
            <w:r>
              <w:rPr>
                <w:rFonts w:hint="default" w:ascii="宋体" w:hAnsi="宋体" w:eastAsia="宋体" w:cs="宋体"/>
                <w:iCs/>
                <w:lang w:val="en-US" w:eastAsia="zh-CN"/>
              </w:rPr>
              <w:t>光芯片基座需要在热导率、热膨胀性能上与芯片匹配，上一代可伐合金已难以满足高速光模块的热管理要求，亟需迭代升级钨铜合金材料，新一代钨铜合金、钼铜合金、低成本铜金刚石等复合材料更适配光模块芯片基座工况要求，不同应用环境依据性能、成本选择不同的合金材料。公司在钨铜合金、钼铜合金等领域具备领先的研发与制造实力，拥有真空烧结、压力烧结、气氛烧结、注射成型等先进工艺技术，可规模化生产适配高速光模块的钨铜合金芯片基座。同时，公司积极布局新一代低成本铜金刚石材料批产，为1.6T以上光模块产品提供技术支持。</w:t>
            </w:r>
          </w:p>
          <w:p>
            <w:pPr>
              <w:numPr>
                <w:ilvl w:val="0"/>
                <w:numId w:val="0"/>
              </w:numPr>
              <w:spacing w:line="400" w:lineRule="exact"/>
              <w:ind w:right="96" w:rightChars="0" w:firstLine="440" w:firstLineChars="200"/>
              <w:rPr>
                <w:rFonts w:hint="default" w:ascii="宋体" w:hAnsi="宋体" w:eastAsia="宋体" w:cs="宋体"/>
                <w:iCs/>
                <w:lang w:val="en-US" w:eastAsia="zh-CN"/>
              </w:rPr>
            </w:pPr>
            <w:r>
              <w:rPr>
                <w:rFonts w:hint="default" w:ascii="宋体" w:hAnsi="宋体" w:eastAsia="宋体" w:cs="宋体"/>
                <w:iCs/>
                <w:lang w:val="en-US" w:eastAsia="zh-CN"/>
              </w:rPr>
              <w:t>随着高速光模块的发展，锌合金、铝合金封装外壳的导热性能已经不能满足应用要求，高强度高导热新型铜合金壳体强度与锌合金相当，导热性能更优，是替代锌合金制备光模块壳体的理想材料，再结合精密挤压、3D打印成型等先进技术，优化铜合金壳体的生产，提高其性能优势。</w:t>
            </w:r>
          </w:p>
          <w:p>
            <w:pPr>
              <w:numPr>
                <w:ilvl w:val="0"/>
                <w:numId w:val="0"/>
              </w:numPr>
              <w:spacing w:line="400" w:lineRule="exact"/>
              <w:ind w:right="96" w:rightChars="0"/>
              <w:rPr>
                <w:rFonts w:hint="default" w:ascii="宋体" w:hAnsi="宋体" w:eastAsia="宋体" w:cs="宋体"/>
                <w:iCs/>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1555" w:type="dxa"/>
            <w:vAlign w:val="center"/>
          </w:tcPr>
          <w:p>
            <w:pPr>
              <w:pStyle w:val="14"/>
              <w:spacing w:before="1"/>
              <w:ind w:left="107"/>
              <w:jc w:val="center"/>
              <w:rPr>
                <w:rFonts w:ascii="宋体" w:hAnsi="宋体" w:eastAsia="宋体" w:cs="宋体"/>
                <w:b/>
                <w:bCs/>
                <w:sz w:val="24"/>
                <w:szCs w:val="24"/>
              </w:rPr>
            </w:pPr>
            <w:r>
              <w:rPr>
                <w:rFonts w:hint="eastAsia" w:ascii="宋体" w:hAnsi="宋体" w:eastAsia="宋体" w:cs="宋体"/>
                <w:b/>
                <w:bCs/>
                <w:sz w:val="24"/>
                <w:szCs w:val="24"/>
              </w:rPr>
              <w:t>附件清单</w:t>
            </w:r>
          </w:p>
          <w:p>
            <w:pPr>
              <w:pStyle w:val="14"/>
              <w:spacing w:before="1"/>
              <w:ind w:left="107"/>
              <w:jc w:val="center"/>
              <w:rPr>
                <w:rFonts w:ascii="宋体" w:hAnsi="宋体" w:eastAsia="宋体" w:cs="宋体"/>
                <w:b/>
                <w:bCs/>
                <w:sz w:val="24"/>
                <w:szCs w:val="24"/>
              </w:rPr>
            </w:pPr>
            <w:r>
              <w:rPr>
                <w:rFonts w:hint="eastAsia" w:ascii="宋体" w:hAnsi="宋体" w:eastAsia="宋体" w:cs="宋体"/>
                <w:b/>
                <w:bCs/>
                <w:sz w:val="24"/>
                <w:szCs w:val="24"/>
              </w:rPr>
              <w:t>（如有）</w:t>
            </w:r>
          </w:p>
        </w:tc>
        <w:tc>
          <w:tcPr>
            <w:tcW w:w="7284" w:type="dxa"/>
            <w:vAlign w:val="center"/>
          </w:tcPr>
          <w:p>
            <w:pPr>
              <w:pStyle w:val="14"/>
              <w:spacing w:line="360" w:lineRule="exact"/>
              <w:ind w:left="108" w:right="96"/>
              <w:rPr>
                <w:rFonts w:ascii="宋体" w:hAnsi="宋体" w:eastAsia="宋体" w:cs="宋体"/>
                <w:sz w:val="24"/>
                <w:szCs w:val="24"/>
              </w:rPr>
            </w:pPr>
            <w:r>
              <w:rPr>
                <w:rFonts w:hint="eastAsia" w:ascii="宋体" w:hAnsi="宋体" w:eastAsia="宋体" w:cs="宋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pPr>
              <w:pStyle w:val="14"/>
              <w:spacing w:before="1"/>
              <w:ind w:left="107"/>
              <w:jc w:val="center"/>
              <w:rPr>
                <w:rFonts w:ascii="宋体" w:hAnsi="宋体" w:eastAsia="宋体" w:cs="宋体"/>
                <w:b/>
                <w:bCs/>
                <w:sz w:val="24"/>
                <w:szCs w:val="24"/>
              </w:rPr>
            </w:pPr>
            <w:r>
              <w:rPr>
                <w:rFonts w:hint="eastAsia" w:ascii="宋体" w:hAnsi="宋体" w:eastAsia="宋体" w:cs="宋体"/>
                <w:b/>
                <w:bCs/>
                <w:sz w:val="24"/>
                <w:szCs w:val="24"/>
              </w:rPr>
              <w:t>日期</w:t>
            </w:r>
          </w:p>
        </w:tc>
        <w:tc>
          <w:tcPr>
            <w:tcW w:w="7284" w:type="dxa"/>
            <w:vAlign w:val="center"/>
          </w:tcPr>
          <w:p>
            <w:pPr>
              <w:pStyle w:val="14"/>
              <w:spacing w:line="360" w:lineRule="exact"/>
              <w:ind w:left="108" w:right="96"/>
              <w:rPr>
                <w:rFonts w:hint="default" w:ascii="宋体" w:hAnsi="宋体" w:eastAsia="宋体" w:cs="宋体"/>
                <w:sz w:val="24"/>
                <w:szCs w:val="24"/>
                <w:lang w:val="en-US" w:eastAsia="zh-CN"/>
              </w:rPr>
            </w:pPr>
            <w:r>
              <w:rPr>
                <w:rFonts w:hint="eastAsia" w:ascii="宋体" w:hAnsi="宋体" w:eastAsia="宋体"/>
                <w:color w:val="000000"/>
                <w:sz w:val="24"/>
                <w:lang w:val="en-US" w:eastAsia="zh-CN"/>
              </w:rPr>
              <w:t>2026年10月13日-2026年10月14日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pPr>
              <w:pStyle w:val="14"/>
              <w:spacing w:before="1"/>
              <w:ind w:left="107"/>
              <w:jc w:val="center"/>
              <w:rPr>
                <w:rFonts w:ascii="宋体" w:hAnsi="宋体" w:eastAsia="宋体" w:cs="宋体"/>
                <w:b/>
                <w:bCs/>
                <w:sz w:val="24"/>
                <w:szCs w:val="24"/>
              </w:rPr>
            </w:pPr>
            <w:r>
              <w:rPr>
                <w:rFonts w:hint="eastAsia" w:ascii="宋体" w:hAnsi="宋体" w:eastAsia="宋体" w:cs="宋体"/>
                <w:b/>
                <w:bCs/>
                <w:sz w:val="24"/>
                <w:szCs w:val="24"/>
              </w:rPr>
              <w:t>备注</w:t>
            </w:r>
          </w:p>
        </w:tc>
        <w:tc>
          <w:tcPr>
            <w:tcW w:w="7284" w:type="dxa"/>
            <w:vAlign w:val="center"/>
          </w:tcPr>
          <w:p>
            <w:pPr>
              <w:pStyle w:val="14"/>
              <w:spacing w:before="72" w:beforeLines="30" w:after="72" w:afterLines="30" w:line="400" w:lineRule="exact"/>
              <w:ind w:left="108" w:right="96"/>
              <w:rPr>
                <w:rFonts w:ascii="宋体" w:hAnsi="宋体" w:eastAsia="宋体"/>
                <w:color w:val="000000"/>
                <w:sz w:val="24"/>
                <w:lang w:val="en-US"/>
              </w:rPr>
            </w:pPr>
            <w:r>
              <w:rPr>
                <w:rFonts w:hint="eastAsia" w:ascii="宋体" w:hAnsi="宋体" w:eastAsia="宋体"/>
                <w:color w:val="000000"/>
                <w:sz w:val="24"/>
                <w:lang w:val="en-US"/>
              </w:rPr>
              <w:t>公司与投资者进行了充分的交流与沟通，并严格按照公司《信息披露管理制度》等规定，保证信息披露的真实、准确、完整、及时、公平，没有出现未公开重大信息披露等情况。</w:t>
            </w:r>
          </w:p>
        </w:tc>
      </w:tr>
    </w:tbl>
    <w:p>
      <w:pPr>
        <w:spacing w:line="20" w:lineRule="exact"/>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Times New Roman (标题 CS)">
    <w:altName w:val="宋体"/>
    <w:panose1 w:val="00000000000000000000"/>
    <w:charset w:val="86"/>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楷体">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0Y2NiOWZjYzRmYjQyMTYyMDhkMWIzYmUxNGE4OGMifQ=="/>
    <w:docVar w:name="KSO_WPS_MARK_KEY" w:val="88f27b7e-cb3e-4312-8117-a55fa9a2a2a0"/>
  </w:docVars>
  <w:rsids>
    <w:rsidRoot w:val="00172A27"/>
    <w:rsid w:val="00000F36"/>
    <w:rsid w:val="0000123A"/>
    <w:rsid w:val="00004AE0"/>
    <w:rsid w:val="00006D84"/>
    <w:rsid w:val="00006FD5"/>
    <w:rsid w:val="00010D08"/>
    <w:rsid w:val="00011F28"/>
    <w:rsid w:val="0001532F"/>
    <w:rsid w:val="000154B9"/>
    <w:rsid w:val="00023617"/>
    <w:rsid w:val="00023EB4"/>
    <w:rsid w:val="00023F66"/>
    <w:rsid w:val="000241A7"/>
    <w:rsid w:val="000256EE"/>
    <w:rsid w:val="00025EFE"/>
    <w:rsid w:val="000262AD"/>
    <w:rsid w:val="00026CC3"/>
    <w:rsid w:val="00031AE6"/>
    <w:rsid w:val="00031B76"/>
    <w:rsid w:val="00032E8E"/>
    <w:rsid w:val="0003392B"/>
    <w:rsid w:val="00036089"/>
    <w:rsid w:val="00037BF2"/>
    <w:rsid w:val="00037F2E"/>
    <w:rsid w:val="0004749D"/>
    <w:rsid w:val="000478EE"/>
    <w:rsid w:val="00047912"/>
    <w:rsid w:val="00053CFA"/>
    <w:rsid w:val="000546AA"/>
    <w:rsid w:val="000547D7"/>
    <w:rsid w:val="00055B75"/>
    <w:rsid w:val="00056D89"/>
    <w:rsid w:val="000573D4"/>
    <w:rsid w:val="000579B0"/>
    <w:rsid w:val="0006015D"/>
    <w:rsid w:val="000633EC"/>
    <w:rsid w:val="00063804"/>
    <w:rsid w:val="00064862"/>
    <w:rsid w:val="00065128"/>
    <w:rsid w:val="000665A2"/>
    <w:rsid w:val="00067450"/>
    <w:rsid w:val="00070D37"/>
    <w:rsid w:val="00072B4A"/>
    <w:rsid w:val="000732E9"/>
    <w:rsid w:val="00073BB5"/>
    <w:rsid w:val="00077069"/>
    <w:rsid w:val="0008164A"/>
    <w:rsid w:val="00082737"/>
    <w:rsid w:val="00083350"/>
    <w:rsid w:val="00083F87"/>
    <w:rsid w:val="00084BC4"/>
    <w:rsid w:val="000850A4"/>
    <w:rsid w:val="00086F7D"/>
    <w:rsid w:val="000877AB"/>
    <w:rsid w:val="00090272"/>
    <w:rsid w:val="00092B81"/>
    <w:rsid w:val="00093438"/>
    <w:rsid w:val="00096FCC"/>
    <w:rsid w:val="00097760"/>
    <w:rsid w:val="00097C14"/>
    <w:rsid w:val="000A0400"/>
    <w:rsid w:val="000A0D8E"/>
    <w:rsid w:val="000A1BF7"/>
    <w:rsid w:val="000A1CC9"/>
    <w:rsid w:val="000A4320"/>
    <w:rsid w:val="000A4F57"/>
    <w:rsid w:val="000A51D0"/>
    <w:rsid w:val="000B01BD"/>
    <w:rsid w:val="000B1AE1"/>
    <w:rsid w:val="000B2154"/>
    <w:rsid w:val="000B5EFF"/>
    <w:rsid w:val="000B7C08"/>
    <w:rsid w:val="000C042C"/>
    <w:rsid w:val="000C0742"/>
    <w:rsid w:val="000C1779"/>
    <w:rsid w:val="000C2929"/>
    <w:rsid w:val="000C3FD2"/>
    <w:rsid w:val="000D12CF"/>
    <w:rsid w:val="000D1D93"/>
    <w:rsid w:val="000D2143"/>
    <w:rsid w:val="000D2144"/>
    <w:rsid w:val="000D2CFB"/>
    <w:rsid w:val="000D2D88"/>
    <w:rsid w:val="000D56F5"/>
    <w:rsid w:val="000D6996"/>
    <w:rsid w:val="000D72C5"/>
    <w:rsid w:val="000E00C7"/>
    <w:rsid w:val="000E02EC"/>
    <w:rsid w:val="000E1E77"/>
    <w:rsid w:val="000E4634"/>
    <w:rsid w:val="000E4B20"/>
    <w:rsid w:val="000E5D5A"/>
    <w:rsid w:val="000E7E44"/>
    <w:rsid w:val="000F0233"/>
    <w:rsid w:val="000F06D7"/>
    <w:rsid w:val="000F16EC"/>
    <w:rsid w:val="000F3436"/>
    <w:rsid w:val="000F50E8"/>
    <w:rsid w:val="000F645A"/>
    <w:rsid w:val="00100D98"/>
    <w:rsid w:val="00101074"/>
    <w:rsid w:val="0010173C"/>
    <w:rsid w:val="00101E73"/>
    <w:rsid w:val="00103370"/>
    <w:rsid w:val="0011418F"/>
    <w:rsid w:val="00114FA2"/>
    <w:rsid w:val="00115DDB"/>
    <w:rsid w:val="00116DE4"/>
    <w:rsid w:val="00121BE4"/>
    <w:rsid w:val="0012260F"/>
    <w:rsid w:val="00123697"/>
    <w:rsid w:val="001248A3"/>
    <w:rsid w:val="001259BC"/>
    <w:rsid w:val="001364D0"/>
    <w:rsid w:val="00136E7A"/>
    <w:rsid w:val="00140112"/>
    <w:rsid w:val="00142DEE"/>
    <w:rsid w:val="001434E3"/>
    <w:rsid w:val="001440BD"/>
    <w:rsid w:val="00146BE0"/>
    <w:rsid w:val="00146FDD"/>
    <w:rsid w:val="00147DBE"/>
    <w:rsid w:val="001531FA"/>
    <w:rsid w:val="00154444"/>
    <w:rsid w:val="00156108"/>
    <w:rsid w:val="00157612"/>
    <w:rsid w:val="00161355"/>
    <w:rsid w:val="00166C53"/>
    <w:rsid w:val="00167A51"/>
    <w:rsid w:val="00171B5B"/>
    <w:rsid w:val="00172A27"/>
    <w:rsid w:val="00172C24"/>
    <w:rsid w:val="00174E9F"/>
    <w:rsid w:val="00176664"/>
    <w:rsid w:val="00177D19"/>
    <w:rsid w:val="00177EB4"/>
    <w:rsid w:val="001802C2"/>
    <w:rsid w:val="00180351"/>
    <w:rsid w:val="00180E5F"/>
    <w:rsid w:val="001931DE"/>
    <w:rsid w:val="001958D9"/>
    <w:rsid w:val="00195CCC"/>
    <w:rsid w:val="00197413"/>
    <w:rsid w:val="001A10C7"/>
    <w:rsid w:val="001A3B1C"/>
    <w:rsid w:val="001A50B1"/>
    <w:rsid w:val="001A7104"/>
    <w:rsid w:val="001B00BA"/>
    <w:rsid w:val="001B02C1"/>
    <w:rsid w:val="001B1B06"/>
    <w:rsid w:val="001B26FC"/>
    <w:rsid w:val="001B3337"/>
    <w:rsid w:val="001B4046"/>
    <w:rsid w:val="001C07FF"/>
    <w:rsid w:val="001C1574"/>
    <w:rsid w:val="001C1CE0"/>
    <w:rsid w:val="001C2E9A"/>
    <w:rsid w:val="001C3DA3"/>
    <w:rsid w:val="001C3EC2"/>
    <w:rsid w:val="001C46C8"/>
    <w:rsid w:val="001C6716"/>
    <w:rsid w:val="001D56C1"/>
    <w:rsid w:val="001E59D1"/>
    <w:rsid w:val="001E5E0A"/>
    <w:rsid w:val="001E5EA4"/>
    <w:rsid w:val="001E6967"/>
    <w:rsid w:val="001E6B88"/>
    <w:rsid w:val="001E7455"/>
    <w:rsid w:val="001E7CCD"/>
    <w:rsid w:val="00200D42"/>
    <w:rsid w:val="002015FC"/>
    <w:rsid w:val="002019E0"/>
    <w:rsid w:val="00202BC1"/>
    <w:rsid w:val="00203F56"/>
    <w:rsid w:val="002042A7"/>
    <w:rsid w:val="002046E9"/>
    <w:rsid w:val="00205911"/>
    <w:rsid w:val="00206E5C"/>
    <w:rsid w:val="00210550"/>
    <w:rsid w:val="002120BF"/>
    <w:rsid w:val="00212F3A"/>
    <w:rsid w:val="002142D9"/>
    <w:rsid w:val="002146AD"/>
    <w:rsid w:val="0022254D"/>
    <w:rsid w:val="00222F5B"/>
    <w:rsid w:val="00224EF3"/>
    <w:rsid w:val="00227701"/>
    <w:rsid w:val="00231184"/>
    <w:rsid w:val="002333E1"/>
    <w:rsid w:val="0023533A"/>
    <w:rsid w:val="002413F3"/>
    <w:rsid w:val="00241FFA"/>
    <w:rsid w:val="00242A22"/>
    <w:rsid w:val="00244114"/>
    <w:rsid w:val="00252633"/>
    <w:rsid w:val="00253887"/>
    <w:rsid w:val="002614AE"/>
    <w:rsid w:val="002640E7"/>
    <w:rsid w:val="0026617F"/>
    <w:rsid w:val="00272175"/>
    <w:rsid w:val="00273470"/>
    <w:rsid w:val="0027428E"/>
    <w:rsid w:val="00274F25"/>
    <w:rsid w:val="00275CB6"/>
    <w:rsid w:val="00276904"/>
    <w:rsid w:val="0027742D"/>
    <w:rsid w:val="002800B5"/>
    <w:rsid w:val="00280D26"/>
    <w:rsid w:val="00283F76"/>
    <w:rsid w:val="002868CA"/>
    <w:rsid w:val="00291560"/>
    <w:rsid w:val="00291757"/>
    <w:rsid w:val="00292F5F"/>
    <w:rsid w:val="00295B29"/>
    <w:rsid w:val="00296825"/>
    <w:rsid w:val="002A0602"/>
    <w:rsid w:val="002A27A0"/>
    <w:rsid w:val="002A314E"/>
    <w:rsid w:val="002A5F33"/>
    <w:rsid w:val="002B05D5"/>
    <w:rsid w:val="002B156D"/>
    <w:rsid w:val="002B2007"/>
    <w:rsid w:val="002B363B"/>
    <w:rsid w:val="002B7123"/>
    <w:rsid w:val="002C136B"/>
    <w:rsid w:val="002C22B5"/>
    <w:rsid w:val="002C552E"/>
    <w:rsid w:val="002C7350"/>
    <w:rsid w:val="002D07AB"/>
    <w:rsid w:val="002D2353"/>
    <w:rsid w:val="002D4073"/>
    <w:rsid w:val="002D75ED"/>
    <w:rsid w:val="002E1EED"/>
    <w:rsid w:val="002E27ED"/>
    <w:rsid w:val="002E34E5"/>
    <w:rsid w:val="002E7098"/>
    <w:rsid w:val="002F1AF5"/>
    <w:rsid w:val="002F2BA1"/>
    <w:rsid w:val="002F4EB5"/>
    <w:rsid w:val="002F6728"/>
    <w:rsid w:val="00300919"/>
    <w:rsid w:val="00300B6D"/>
    <w:rsid w:val="00301D32"/>
    <w:rsid w:val="003025A7"/>
    <w:rsid w:val="00302B30"/>
    <w:rsid w:val="00304E4D"/>
    <w:rsid w:val="00305B86"/>
    <w:rsid w:val="00306BE0"/>
    <w:rsid w:val="003077EA"/>
    <w:rsid w:val="0031158F"/>
    <w:rsid w:val="00314BC4"/>
    <w:rsid w:val="00314EBF"/>
    <w:rsid w:val="003152D8"/>
    <w:rsid w:val="00315839"/>
    <w:rsid w:val="00315C58"/>
    <w:rsid w:val="003168CB"/>
    <w:rsid w:val="00316956"/>
    <w:rsid w:val="003278D5"/>
    <w:rsid w:val="003348E8"/>
    <w:rsid w:val="00334B20"/>
    <w:rsid w:val="00340A60"/>
    <w:rsid w:val="00343E19"/>
    <w:rsid w:val="0034680B"/>
    <w:rsid w:val="00347A69"/>
    <w:rsid w:val="00350FB5"/>
    <w:rsid w:val="00351CEB"/>
    <w:rsid w:val="00354E77"/>
    <w:rsid w:val="003560A6"/>
    <w:rsid w:val="00357137"/>
    <w:rsid w:val="0036231E"/>
    <w:rsid w:val="003633A2"/>
    <w:rsid w:val="00363B28"/>
    <w:rsid w:val="00365DDD"/>
    <w:rsid w:val="0036627A"/>
    <w:rsid w:val="00366FAD"/>
    <w:rsid w:val="00367602"/>
    <w:rsid w:val="0037105B"/>
    <w:rsid w:val="00371D42"/>
    <w:rsid w:val="00372209"/>
    <w:rsid w:val="00372900"/>
    <w:rsid w:val="00373B14"/>
    <w:rsid w:val="00373FBA"/>
    <w:rsid w:val="003750FE"/>
    <w:rsid w:val="00377070"/>
    <w:rsid w:val="003803AB"/>
    <w:rsid w:val="003823EA"/>
    <w:rsid w:val="00382FCB"/>
    <w:rsid w:val="00383430"/>
    <w:rsid w:val="003854F2"/>
    <w:rsid w:val="00385EF2"/>
    <w:rsid w:val="003900FD"/>
    <w:rsid w:val="003907D4"/>
    <w:rsid w:val="00392FCA"/>
    <w:rsid w:val="00394A6A"/>
    <w:rsid w:val="00395004"/>
    <w:rsid w:val="00396058"/>
    <w:rsid w:val="003975BA"/>
    <w:rsid w:val="003A0918"/>
    <w:rsid w:val="003A168C"/>
    <w:rsid w:val="003A2FDD"/>
    <w:rsid w:val="003A5E86"/>
    <w:rsid w:val="003A74E6"/>
    <w:rsid w:val="003B15CF"/>
    <w:rsid w:val="003B2091"/>
    <w:rsid w:val="003B598C"/>
    <w:rsid w:val="003B6892"/>
    <w:rsid w:val="003B6A4B"/>
    <w:rsid w:val="003B73DD"/>
    <w:rsid w:val="003C17EF"/>
    <w:rsid w:val="003C437F"/>
    <w:rsid w:val="003C5E03"/>
    <w:rsid w:val="003C608A"/>
    <w:rsid w:val="003C7935"/>
    <w:rsid w:val="003D011C"/>
    <w:rsid w:val="003D15E5"/>
    <w:rsid w:val="003D2433"/>
    <w:rsid w:val="003D6986"/>
    <w:rsid w:val="003E02D3"/>
    <w:rsid w:val="003E33D5"/>
    <w:rsid w:val="003E3531"/>
    <w:rsid w:val="003F350C"/>
    <w:rsid w:val="003F4CBF"/>
    <w:rsid w:val="003F4D18"/>
    <w:rsid w:val="003F7049"/>
    <w:rsid w:val="003F7793"/>
    <w:rsid w:val="0040091D"/>
    <w:rsid w:val="00402169"/>
    <w:rsid w:val="00403F8A"/>
    <w:rsid w:val="00405FC9"/>
    <w:rsid w:val="004108C7"/>
    <w:rsid w:val="00411258"/>
    <w:rsid w:val="00412DC2"/>
    <w:rsid w:val="004141A3"/>
    <w:rsid w:val="00416EDE"/>
    <w:rsid w:val="0042274C"/>
    <w:rsid w:val="004251D4"/>
    <w:rsid w:val="00431132"/>
    <w:rsid w:val="00434D16"/>
    <w:rsid w:val="00435DB4"/>
    <w:rsid w:val="004370C5"/>
    <w:rsid w:val="00437F2E"/>
    <w:rsid w:val="00440041"/>
    <w:rsid w:val="00440A8B"/>
    <w:rsid w:val="00443F22"/>
    <w:rsid w:val="00451268"/>
    <w:rsid w:val="004515AD"/>
    <w:rsid w:val="00451857"/>
    <w:rsid w:val="00452205"/>
    <w:rsid w:val="00453516"/>
    <w:rsid w:val="00454347"/>
    <w:rsid w:val="00454A7F"/>
    <w:rsid w:val="004561BC"/>
    <w:rsid w:val="00457548"/>
    <w:rsid w:val="0046276F"/>
    <w:rsid w:val="00463DA5"/>
    <w:rsid w:val="00470DB2"/>
    <w:rsid w:val="00474FA6"/>
    <w:rsid w:val="00476C25"/>
    <w:rsid w:val="00481D0C"/>
    <w:rsid w:val="0048480D"/>
    <w:rsid w:val="004915E8"/>
    <w:rsid w:val="00491E66"/>
    <w:rsid w:val="0049258A"/>
    <w:rsid w:val="004925E7"/>
    <w:rsid w:val="00492E8F"/>
    <w:rsid w:val="00494F07"/>
    <w:rsid w:val="00494F89"/>
    <w:rsid w:val="00495B11"/>
    <w:rsid w:val="004A3803"/>
    <w:rsid w:val="004A5DCF"/>
    <w:rsid w:val="004A625D"/>
    <w:rsid w:val="004A7A43"/>
    <w:rsid w:val="004B418C"/>
    <w:rsid w:val="004C0DB3"/>
    <w:rsid w:val="004C2FC1"/>
    <w:rsid w:val="004C418D"/>
    <w:rsid w:val="004C50B4"/>
    <w:rsid w:val="004C56B6"/>
    <w:rsid w:val="004C779D"/>
    <w:rsid w:val="004D526E"/>
    <w:rsid w:val="004D65FC"/>
    <w:rsid w:val="004D747B"/>
    <w:rsid w:val="004D7CE7"/>
    <w:rsid w:val="004E037F"/>
    <w:rsid w:val="004E063A"/>
    <w:rsid w:val="004E1935"/>
    <w:rsid w:val="004E3A06"/>
    <w:rsid w:val="004E3E59"/>
    <w:rsid w:val="004F33D7"/>
    <w:rsid w:val="004F54A2"/>
    <w:rsid w:val="004F6C0D"/>
    <w:rsid w:val="004F6FF3"/>
    <w:rsid w:val="00502C22"/>
    <w:rsid w:val="00503A91"/>
    <w:rsid w:val="00504623"/>
    <w:rsid w:val="00505E7E"/>
    <w:rsid w:val="005062F2"/>
    <w:rsid w:val="00510AAB"/>
    <w:rsid w:val="005123CE"/>
    <w:rsid w:val="0051316B"/>
    <w:rsid w:val="00513201"/>
    <w:rsid w:val="00513D7D"/>
    <w:rsid w:val="00516F5F"/>
    <w:rsid w:val="00517C90"/>
    <w:rsid w:val="0052000C"/>
    <w:rsid w:val="0052564B"/>
    <w:rsid w:val="00534C88"/>
    <w:rsid w:val="0053709E"/>
    <w:rsid w:val="00541BC7"/>
    <w:rsid w:val="005423B1"/>
    <w:rsid w:val="005424FD"/>
    <w:rsid w:val="00542EAD"/>
    <w:rsid w:val="00542EE1"/>
    <w:rsid w:val="00543BCB"/>
    <w:rsid w:val="00544E39"/>
    <w:rsid w:val="00547340"/>
    <w:rsid w:val="0055133D"/>
    <w:rsid w:val="00555B86"/>
    <w:rsid w:val="00556043"/>
    <w:rsid w:val="00570702"/>
    <w:rsid w:val="005714DA"/>
    <w:rsid w:val="00571B49"/>
    <w:rsid w:val="00571D58"/>
    <w:rsid w:val="0057223A"/>
    <w:rsid w:val="0057347C"/>
    <w:rsid w:val="005743AE"/>
    <w:rsid w:val="00574970"/>
    <w:rsid w:val="00574DEB"/>
    <w:rsid w:val="005756D5"/>
    <w:rsid w:val="005764FF"/>
    <w:rsid w:val="00577F83"/>
    <w:rsid w:val="00580EF2"/>
    <w:rsid w:val="005815DD"/>
    <w:rsid w:val="00581A41"/>
    <w:rsid w:val="005833FE"/>
    <w:rsid w:val="005842E4"/>
    <w:rsid w:val="00585B96"/>
    <w:rsid w:val="005902E9"/>
    <w:rsid w:val="00591929"/>
    <w:rsid w:val="005935E5"/>
    <w:rsid w:val="00594B0A"/>
    <w:rsid w:val="005950BB"/>
    <w:rsid w:val="0059631A"/>
    <w:rsid w:val="005A316B"/>
    <w:rsid w:val="005A354B"/>
    <w:rsid w:val="005A62E8"/>
    <w:rsid w:val="005B0A94"/>
    <w:rsid w:val="005B1580"/>
    <w:rsid w:val="005B217E"/>
    <w:rsid w:val="005B333F"/>
    <w:rsid w:val="005B4A34"/>
    <w:rsid w:val="005B55DD"/>
    <w:rsid w:val="005B67A8"/>
    <w:rsid w:val="005B784F"/>
    <w:rsid w:val="005B7C55"/>
    <w:rsid w:val="005C0259"/>
    <w:rsid w:val="005C0766"/>
    <w:rsid w:val="005C08C1"/>
    <w:rsid w:val="005C12B8"/>
    <w:rsid w:val="005C173D"/>
    <w:rsid w:val="005C2FE6"/>
    <w:rsid w:val="005C4862"/>
    <w:rsid w:val="005C570B"/>
    <w:rsid w:val="005C641B"/>
    <w:rsid w:val="005D032F"/>
    <w:rsid w:val="005D1A34"/>
    <w:rsid w:val="005D2F9E"/>
    <w:rsid w:val="005D2FA0"/>
    <w:rsid w:val="005D3B30"/>
    <w:rsid w:val="005D64CA"/>
    <w:rsid w:val="005D6C0F"/>
    <w:rsid w:val="005E038A"/>
    <w:rsid w:val="005E3A53"/>
    <w:rsid w:val="005E45C2"/>
    <w:rsid w:val="005E5717"/>
    <w:rsid w:val="005E57C0"/>
    <w:rsid w:val="005E60B6"/>
    <w:rsid w:val="005E6803"/>
    <w:rsid w:val="005E6DB2"/>
    <w:rsid w:val="005E77F2"/>
    <w:rsid w:val="005F04D0"/>
    <w:rsid w:val="005F443B"/>
    <w:rsid w:val="005F67D6"/>
    <w:rsid w:val="005F73CB"/>
    <w:rsid w:val="005F7BAD"/>
    <w:rsid w:val="00600ED6"/>
    <w:rsid w:val="00602349"/>
    <w:rsid w:val="00606697"/>
    <w:rsid w:val="006070BA"/>
    <w:rsid w:val="00607EDE"/>
    <w:rsid w:val="0061087D"/>
    <w:rsid w:val="00611ABE"/>
    <w:rsid w:val="00612F7B"/>
    <w:rsid w:val="0061433E"/>
    <w:rsid w:val="00615BBE"/>
    <w:rsid w:val="00616778"/>
    <w:rsid w:val="00616CE9"/>
    <w:rsid w:val="00620324"/>
    <w:rsid w:val="00621F02"/>
    <w:rsid w:val="00622832"/>
    <w:rsid w:val="006234E3"/>
    <w:rsid w:val="00624DAC"/>
    <w:rsid w:val="00625C46"/>
    <w:rsid w:val="0062751D"/>
    <w:rsid w:val="00627DE6"/>
    <w:rsid w:val="00634D91"/>
    <w:rsid w:val="006354AA"/>
    <w:rsid w:val="00635BCD"/>
    <w:rsid w:val="00635E03"/>
    <w:rsid w:val="006422F0"/>
    <w:rsid w:val="00643069"/>
    <w:rsid w:val="006512B2"/>
    <w:rsid w:val="00652650"/>
    <w:rsid w:val="00652C01"/>
    <w:rsid w:val="0065304B"/>
    <w:rsid w:val="00653146"/>
    <w:rsid w:val="00653884"/>
    <w:rsid w:val="00653914"/>
    <w:rsid w:val="00655993"/>
    <w:rsid w:val="0065604C"/>
    <w:rsid w:val="00657503"/>
    <w:rsid w:val="00661AFA"/>
    <w:rsid w:val="00662C42"/>
    <w:rsid w:val="006633F5"/>
    <w:rsid w:val="00666955"/>
    <w:rsid w:val="00667155"/>
    <w:rsid w:val="00667A45"/>
    <w:rsid w:val="006726BF"/>
    <w:rsid w:val="006727AF"/>
    <w:rsid w:val="00673718"/>
    <w:rsid w:val="00676495"/>
    <w:rsid w:val="00677B77"/>
    <w:rsid w:val="00682CF9"/>
    <w:rsid w:val="00684163"/>
    <w:rsid w:val="0068509A"/>
    <w:rsid w:val="00685D94"/>
    <w:rsid w:val="0068718A"/>
    <w:rsid w:val="00687D61"/>
    <w:rsid w:val="00690748"/>
    <w:rsid w:val="006933D8"/>
    <w:rsid w:val="00693BB9"/>
    <w:rsid w:val="00693DAE"/>
    <w:rsid w:val="0069666A"/>
    <w:rsid w:val="00697579"/>
    <w:rsid w:val="006A1CC0"/>
    <w:rsid w:val="006A2739"/>
    <w:rsid w:val="006A54F2"/>
    <w:rsid w:val="006A5651"/>
    <w:rsid w:val="006B23FB"/>
    <w:rsid w:val="006B2C73"/>
    <w:rsid w:val="006B5C95"/>
    <w:rsid w:val="006B6CD6"/>
    <w:rsid w:val="006B7BD6"/>
    <w:rsid w:val="006C0F29"/>
    <w:rsid w:val="006C1C35"/>
    <w:rsid w:val="006C3879"/>
    <w:rsid w:val="006C5361"/>
    <w:rsid w:val="006C5D43"/>
    <w:rsid w:val="006D2B24"/>
    <w:rsid w:val="006D5BBC"/>
    <w:rsid w:val="006D6286"/>
    <w:rsid w:val="006E0DB1"/>
    <w:rsid w:val="006E14B0"/>
    <w:rsid w:val="006E178C"/>
    <w:rsid w:val="006E5255"/>
    <w:rsid w:val="006E623E"/>
    <w:rsid w:val="006F0108"/>
    <w:rsid w:val="006F01C0"/>
    <w:rsid w:val="006F1F32"/>
    <w:rsid w:val="006F40E4"/>
    <w:rsid w:val="006F437F"/>
    <w:rsid w:val="006F49E0"/>
    <w:rsid w:val="006F6CC6"/>
    <w:rsid w:val="00700A5C"/>
    <w:rsid w:val="00702772"/>
    <w:rsid w:val="00702E6C"/>
    <w:rsid w:val="00704704"/>
    <w:rsid w:val="00704AE6"/>
    <w:rsid w:val="00704E36"/>
    <w:rsid w:val="00704EB6"/>
    <w:rsid w:val="00710DB3"/>
    <w:rsid w:val="0071153A"/>
    <w:rsid w:val="00712FD9"/>
    <w:rsid w:val="00713576"/>
    <w:rsid w:val="007140BD"/>
    <w:rsid w:val="007153A2"/>
    <w:rsid w:val="00724A68"/>
    <w:rsid w:val="00724B29"/>
    <w:rsid w:val="00725FA6"/>
    <w:rsid w:val="00726623"/>
    <w:rsid w:val="00726B41"/>
    <w:rsid w:val="00726CB9"/>
    <w:rsid w:val="007271BF"/>
    <w:rsid w:val="00730DD3"/>
    <w:rsid w:val="00733224"/>
    <w:rsid w:val="007342F4"/>
    <w:rsid w:val="0073431E"/>
    <w:rsid w:val="00736412"/>
    <w:rsid w:val="00736ECC"/>
    <w:rsid w:val="0074525F"/>
    <w:rsid w:val="007467A3"/>
    <w:rsid w:val="00747386"/>
    <w:rsid w:val="00752D32"/>
    <w:rsid w:val="0075350A"/>
    <w:rsid w:val="007538ED"/>
    <w:rsid w:val="00755946"/>
    <w:rsid w:val="00757D8E"/>
    <w:rsid w:val="007618D9"/>
    <w:rsid w:val="00761D5D"/>
    <w:rsid w:val="00761F60"/>
    <w:rsid w:val="0076223F"/>
    <w:rsid w:val="007637C6"/>
    <w:rsid w:val="00764128"/>
    <w:rsid w:val="0076666E"/>
    <w:rsid w:val="00770994"/>
    <w:rsid w:val="00773018"/>
    <w:rsid w:val="0077635D"/>
    <w:rsid w:val="007806C6"/>
    <w:rsid w:val="00781C87"/>
    <w:rsid w:val="007824B8"/>
    <w:rsid w:val="00785001"/>
    <w:rsid w:val="00786546"/>
    <w:rsid w:val="00786CD2"/>
    <w:rsid w:val="007904F7"/>
    <w:rsid w:val="007910DD"/>
    <w:rsid w:val="00791C41"/>
    <w:rsid w:val="007943C8"/>
    <w:rsid w:val="00795E8F"/>
    <w:rsid w:val="00797242"/>
    <w:rsid w:val="007977CE"/>
    <w:rsid w:val="007A00BB"/>
    <w:rsid w:val="007A0661"/>
    <w:rsid w:val="007A13EC"/>
    <w:rsid w:val="007A16CF"/>
    <w:rsid w:val="007A2EAA"/>
    <w:rsid w:val="007A3EC1"/>
    <w:rsid w:val="007A5367"/>
    <w:rsid w:val="007A5EF3"/>
    <w:rsid w:val="007B2ABC"/>
    <w:rsid w:val="007B3368"/>
    <w:rsid w:val="007B4071"/>
    <w:rsid w:val="007B5B42"/>
    <w:rsid w:val="007C0382"/>
    <w:rsid w:val="007D0A69"/>
    <w:rsid w:val="007D5103"/>
    <w:rsid w:val="007D58B3"/>
    <w:rsid w:val="007D6420"/>
    <w:rsid w:val="007D6DC4"/>
    <w:rsid w:val="007E2D91"/>
    <w:rsid w:val="007E3582"/>
    <w:rsid w:val="007E66DF"/>
    <w:rsid w:val="007E6CFA"/>
    <w:rsid w:val="007F1FBB"/>
    <w:rsid w:val="007F275F"/>
    <w:rsid w:val="007F4E67"/>
    <w:rsid w:val="00800108"/>
    <w:rsid w:val="00803DFD"/>
    <w:rsid w:val="00805487"/>
    <w:rsid w:val="00811E44"/>
    <w:rsid w:val="00811F7D"/>
    <w:rsid w:val="008134EC"/>
    <w:rsid w:val="0081458B"/>
    <w:rsid w:val="00814DCA"/>
    <w:rsid w:val="00817D20"/>
    <w:rsid w:val="00820C82"/>
    <w:rsid w:val="008214B6"/>
    <w:rsid w:val="00822357"/>
    <w:rsid w:val="008239FC"/>
    <w:rsid w:val="008256D8"/>
    <w:rsid w:val="00826C28"/>
    <w:rsid w:val="00831783"/>
    <w:rsid w:val="00831CB6"/>
    <w:rsid w:val="00834E46"/>
    <w:rsid w:val="00836F1E"/>
    <w:rsid w:val="00837D80"/>
    <w:rsid w:val="0084201D"/>
    <w:rsid w:val="00842026"/>
    <w:rsid w:val="008422BC"/>
    <w:rsid w:val="00843356"/>
    <w:rsid w:val="008530E1"/>
    <w:rsid w:val="00853463"/>
    <w:rsid w:val="008573DD"/>
    <w:rsid w:val="00857AB9"/>
    <w:rsid w:val="008601F3"/>
    <w:rsid w:val="008621EC"/>
    <w:rsid w:val="00862D04"/>
    <w:rsid w:val="0087335F"/>
    <w:rsid w:val="00873450"/>
    <w:rsid w:val="00876146"/>
    <w:rsid w:val="008773CC"/>
    <w:rsid w:val="00880508"/>
    <w:rsid w:val="00881FED"/>
    <w:rsid w:val="00884E3F"/>
    <w:rsid w:val="008907B7"/>
    <w:rsid w:val="00893F25"/>
    <w:rsid w:val="00895035"/>
    <w:rsid w:val="00897549"/>
    <w:rsid w:val="008A051E"/>
    <w:rsid w:val="008A0996"/>
    <w:rsid w:val="008A0F32"/>
    <w:rsid w:val="008A1231"/>
    <w:rsid w:val="008A1672"/>
    <w:rsid w:val="008A304D"/>
    <w:rsid w:val="008A60D8"/>
    <w:rsid w:val="008A7326"/>
    <w:rsid w:val="008B2B14"/>
    <w:rsid w:val="008B2B2E"/>
    <w:rsid w:val="008B44A7"/>
    <w:rsid w:val="008B5292"/>
    <w:rsid w:val="008B5C5A"/>
    <w:rsid w:val="008C050E"/>
    <w:rsid w:val="008C0980"/>
    <w:rsid w:val="008C2B6F"/>
    <w:rsid w:val="008C2F2E"/>
    <w:rsid w:val="008C302D"/>
    <w:rsid w:val="008C339C"/>
    <w:rsid w:val="008C69BE"/>
    <w:rsid w:val="008C6AED"/>
    <w:rsid w:val="008C6B0F"/>
    <w:rsid w:val="008C73AA"/>
    <w:rsid w:val="008C7604"/>
    <w:rsid w:val="008D4AC5"/>
    <w:rsid w:val="008D6C70"/>
    <w:rsid w:val="008D79BF"/>
    <w:rsid w:val="008E0979"/>
    <w:rsid w:val="008E1B27"/>
    <w:rsid w:val="008E4911"/>
    <w:rsid w:val="008E4B14"/>
    <w:rsid w:val="008E6330"/>
    <w:rsid w:val="008E7548"/>
    <w:rsid w:val="008F0522"/>
    <w:rsid w:val="008F3E5E"/>
    <w:rsid w:val="008F42DC"/>
    <w:rsid w:val="008F4AA3"/>
    <w:rsid w:val="008F7B09"/>
    <w:rsid w:val="0090240F"/>
    <w:rsid w:val="00903379"/>
    <w:rsid w:val="009045B1"/>
    <w:rsid w:val="0090619F"/>
    <w:rsid w:val="00906975"/>
    <w:rsid w:val="009070E6"/>
    <w:rsid w:val="00907570"/>
    <w:rsid w:val="00913423"/>
    <w:rsid w:val="009136DC"/>
    <w:rsid w:val="009145B4"/>
    <w:rsid w:val="00914ACD"/>
    <w:rsid w:val="009159D1"/>
    <w:rsid w:val="00915BE5"/>
    <w:rsid w:val="009160D5"/>
    <w:rsid w:val="00916102"/>
    <w:rsid w:val="0091651F"/>
    <w:rsid w:val="00916B39"/>
    <w:rsid w:val="00917F0B"/>
    <w:rsid w:val="00917F8B"/>
    <w:rsid w:val="00920E6B"/>
    <w:rsid w:val="00921FF4"/>
    <w:rsid w:val="00922534"/>
    <w:rsid w:val="00924E88"/>
    <w:rsid w:val="009254F1"/>
    <w:rsid w:val="00927038"/>
    <w:rsid w:val="009310C7"/>
    <w:rsid w:val="0093360A"/>
    <w:rsid w:val="009343EF"/>
    <w:rsid w:val="00934C93"/>
    <w:rsid w:val="009403C9"/>
    <w:rsid w:val="00943361"/>
    <w:rsid w:val="00944EC5"/>
    <w:rsid w:val="009452B6"/>
    <w:rsid w:val="00945CF7"/>
    <w:rsid w:val="00945D45"/>
    <w:rsid w:val="00946436"/>
    <w:rsid w:val="00947CCD"/>
    <w:rsid w:val="00952DCE"/>
    <w:rsid w:val="00954140"/>
    <w:rsid w:val="009571E1"/>
    <w:rsid w:val="00957C57"/>
    <w:rsid w:val="00957F33"/>
    <w:rsid w:val="00960964"/>
    <w:rsid w:val="009634B1"/>
    <w:rsid w:val="00964AC1"/>
    <w:rsid w:val="00965422"/>
    <w:rsid w:val="00965E4D"/>
    <w:rsid w:val="009660A8"/>
    <w:rsid w:val="00967992"/>
    <w:rsid w:val="00967BE8"/>
    <w:rsid w:val="00970237"/>
    <w:rsid w:val="00971793"/>
    <w:rsid w:val="00972E84"/>
    <w:rsid w:val="00974F5E"/>
    <w:rsid w:val="009753FE"/>
    <w:rsid w:val="00976937"/>
    <w:rsid w:val="00983C06"/>
    <w:rsid w:val="009843B4"/>
    <w:rsid w:val="00984A00"/>
    <w:rsid w:val="00984D11"/>
    <w:rsid w:val="00985CFB"/>
    <w:rsid w:val="00985D84"/>
    <w:rsid w:val="00985E93"/>
    <w:rsid w:val="00987C6B"/>
    <w:rsid w:val="0099392E"/>
    <w:rsid w:val="009950E9"/>
    <w:rsid w:val="009A3D08"/>
    <w:rsid w:val="009A3D18"/>
    <w:rsid w:val="009A49DB"/>
    <w:rsid w:val="009A4E3D"/>
    <w:rsid w:val="009A5CF5"/>
    <w:rsid w:val="009A70EA"/>
    <w:rsid w:val="009B001A"/>
    <w:rsid w:val="009B1307"/>
    <w:rsid w:val="009B1819"/>
    <w:rsid w:val="009B1D5C"/>
    <w:rsid w:val="009B4EB3"/>
    <w:rsid w:val="009B628E"/>
    <w:rsid w:val="009C0189"/>
    <w:rsid w:val="009C2CA6"/>
    <w:rsid w:val="009C2E31"/>
    <w:rsid w:val="009C31C8"/>
    <w:rsid w:val="009C4709"/>
    <w:rsid w:val="009C7264"/>
    <w:rsid w:val="009D179C"/>
    <w:rsid w:val="009D6C8C"/>
    <w:rsid w:val="009E1955"/>
    <w:rsid w:val="009E1F75"/>
    <w:rsid w:val="009E2D4B"/>
    <w:rsid w:val="009E2EBC"/>
    <w:rsid w:val="009E386F"/>
    <w:rsid w:val="009E5764"/>
    <w:rsid w:val="009F02AC"/>
    <w:rsid w:val="009F1B8E"/>
    <w:rsid w:val="009F661B"/>
    <w:rsid w:val="00A030CC"/>
    <w:rsid w:val="00A05358"/>
    <w:rsid w:val="00A06600"/>
    <w:rsid w:val="00A136A7"/>
    <w:rsid w:val="00A14480"/>
    <w:rsid w:val="00A22C91"/>
    <w:rsid w:val="00A241E7"/>
    <w:rsid w:val="00A26666"/>
    <w:rsid w:val="00A2793F"/>
    <w:rsid w:val="00A31701"/>
    <w:rsid w:val="00A31AE3"/>
    <w:rsid w:val="00A32E92"/>
    <w:rsid w:val="00A33CC3"/>
    <w:rsid w:val="00A34296"/>
    <w:rsid w:val="00A3518D"/>
    <w:rsid w:val="00A362E8"/>
    <w:rsid w:val="00A409E1"/>
    <w:rsid w:val="00A414A2"/>
    <w:rsid w:val="00A41A42"/>
    <w:rsid w:val="00A426E4"/>
    <w:rsid w:val="00A44A75"/>
    <w:rsid w:val="00A46470"/>
    <w:rsid w:val="00A46666"/>
    <w:rsid w:val="00A50D75"/>
    <w:rsid w:val="00A527AA"/>
    <w:rsid w:val="00A52B93"/>
    <w:rsid w:val="00A52DD6"/>
    <w:rsid w:val="00A5684D"/>
    <w:rsid w:val="00A57260"/>
    <w:rsid w:val="00A57A1C"/>
    <w:rsid w:val="00A62FAA"/>
    <w:rsid w:val="00A64EA3"/>
    <w:rsid w:val="00A66E69"/>
    <w:rsid w:val="00A6738D"/>
    <w:rsid w:val="00A7014F"/>
    <w:rsid w:val="00A70E6D"/>
    <w:rsid w:val="00A7151F"/>
    <w:rsid w:val="00A71F0B"/>
    <w:rsid w:val="00A73DCD"/>
    <w:rsid w:val="00A75C35"/>
    <w:rsid w:val="00A75C61"/>
    <w:rsid w:val="00A809ED"/>
    <w:rsid w:val="00A81F75"/>
    <w:rsid w:val="00A8746E"/>
    <w:rsid w:val="00A903BD"/>
    <w:rsid w:val="00A926CE"/>
    <w:rsid w:val="00A92AEA"/>
    <w:rsid w:val="00A9334C"/>
    <w:rsid w:val="00A9601B"/>
    <w:rsid w:val="00A968AF"/>
    <w:rsid w:val="00AA3593"/>
    <w:rsid w:val="00AA5454"/>
    <w:rsid w:val="00AA5B18"/>
    <w:rsid w:val="00AA5D7E"/>
    <w:rsid w:val="00AB1BCB"/>
    <w:rsid w:val="00AB2C8F"/>
    <w:rsid w:val="00AB2E01"/>
    <w:rsid w:val="00AB738A"/>
    <w:rsid w:val="00AB74C9"/>
    <w:rsid w:val="00AC06A7"/>
    <w:rsid w:val="00AC29D0"/>
    <w:rsid w:val="00AC2E15"/>
    <w:rsid w:val="00AC65C2"/>
    <w:rsid w:val="00AC68C5"/>
    <w:rsid w:val="00AC7EE9"/>
    <w:rsid w:val="00AD100E"/>
    <w:rsid w:val="00AD282A"/>
    <w:rsid w:val="00AD4B93"/>
    <w:rsid w:val="00AE0316"/>
    <w:rsid w:val="00AE1E36"/>
    <w:rsid w:val="00AE3194"/>
    <w:rsid w:val="00AE4196"/>
    <w:rsid w:val="00AE5336"/>
    <w:rsid w:val="00AE536B"/>
    <w:rsid w:val="00AE6B16"/>
    <w:rsid w:val="00AE728C"/>
    <w:rsid w:val="00AE73BD"/>
    <w:rsid w:val="00AF13AE"/>
    <w:rsid w:val="00AF74AA"/>
    <w:rsid w:val="00B00AC7"/>
    <w:rsid w:val="00B03C2F"/>
    <w:rsid w:val="00B0416E"/>
    <w:rsid w:val="00B04276"/>
    <w:rsid w:val="00B04A16"/>
    <w:rsid w:val="00B067DB"/>
    <w:rsid w:val="00B06F30"/>
    <w:rsid w:val="00B139A5"/>
    <w:rsid w:val="00B15064"/>
    <w:rsid w:val="00B153EC"/>
    <w:rsid w:val="00B16867"/>
    <w:rsid w:val="00B16D3F"/>
    <w:rsid w:val="00B240A4"/>
    <w:rsid w:val="00B247E6"/>
    <w:rsid w:val="00B307E3"/>
    <w:rsid w:val="00B340A3"/>
    <w:rsid w:val="00B3539F"/>
    <w:rsid w:val="00B364CA"/>
    <w:rsid w:val="00B36A82"/>
    <w:rsid w:val="00B36DB2"/>
    <w:rsid w:val="00B410F5"/>
    <w:rsid w:val="00B41D18"/>
    <w:rsid w:val="00B41EF9"/>
    <w:rsid w:val="00B42E5E"/>
    <w:rsid w:val="00B45630"/>
    <w:rsid w:val="00B46786"/>
    <w:rsid w:val="00B53448"/>
    <w:rsid w:val="00B56C48"/>
    <w:rsid w:val="00B57327"/>
    <w:rsid w:val="00B61AC2"/>
    <w:rsid w:val="00B6280C"/>
    <w:rsid w:val="00B646D1"/>
    <w:rsid w:val="00B661C5"/>
    <w:rsid w:val="00B66F15"/>
    <w:rsid w:val="00B671A4"/>
    <w:rsid w:val="00B70AD0"/>
    <w:rsid w:val="00B72CD4"/>
    <w:rsid w:val="00B7469A"/>
    <w:rsid w:val="00B762E3"/>
    <w:rsid w:val="00B766A6"/>
    <w:rsid w:val="00B771F5"/>
    <w:rsid w:val="00B77ACC"/>
    <w:rsid w:val="00B80634"/>
    <w:rsid w:val="00B81EB0"/>
    <w:rsid w:val="00B85B00"/>
    <w:rsid w:val="00B86210"/>
    <w:rsid w:val="00B86D03"/>
    <w:rsid w:val="00B870BB"/>
    <w:rsid w:val="00B90AEE"/>
    <w:rsid w:val="00B91A3B"/>
    <w:rsid w:val="00B9201B"/>
    <w:rsid w:val="00B93C82"/>
    <w:rsid w:val="00B94937"/>
    <w:rsid w:val="00B9751C"/>
    <w:rsid w:val="00BA08CB"/>
    <w:rsid w:val="00BA1E1E"/>
    <w:rsid w:val="00BA63A0"/>
    <w:rsid w:val="00BA64CD"/>
    <w:rsid w:val="00BA79F8"/>
    <w:rsid w:val="00BB631B"/>
    <w:rsid w:val="00BB6B87"/>
    <w:rsid w:val="00BC748F"/>
    <w:rsid w:val="00BD6509"/>
    <w:rsid w:val="00BD6BD0"/>
    <w:rsid w:val="00BE061A"/>
    <w:rsid w:val="00BE1270"/>
    <w:rsid w:val="00BE18AE"/>
    <w:rsid w:val="00BE1BCC"/>
    <w:rsid w:val="00BE1CB0"/>
    <w:rsid w:val="00BE2205"/>
    <w:rsid w:val="00BE2B3A"/>
    <w:rsid w:val="00BE3BA6"/>
    <w:rsid w:val="00BE42F2"/>
    <w:rsid w:val="00BE709F"/>
    <w:rsid w:val="00BF132F"/>
    <w:rsid w:val="00BF1FEB"/>
    <w:rsid w:val="00BF2687"/>
    <w:rsid w:val="00BF2885"/>
    <w:rsid w:val="00BF2909"/>
    <w:rsid w:val="00BF6D2E"/>
    <w:rsid w:val="00C0123B"/>
    <w:rsid w:val="00C03678"/>
    <w:rsid w:val="00C0563A"/>
    <w:rsid w:val="00C0594F"/>
    <w:rsid w:val="00C06E06"/>
    <w:rsid w:val="00C07912"/>
    <w:rsid w:val="00C1102B"/>
    <w:rsid w:val="00C12B9A"/>
    <w:rsid w:val="00C13878"/>
    <w:rsid w:val="00C2594D"/>
    <w:rsid w:val="00C26297"/>
    <w:rsid w:val="00C2633E"/>
    <w:rsid w:val="00C312A2"/>
    <w:rsid w:val="00C31708"/>
    <w:rsid w:val="00C33BB8"/>
    <w:rsid w:val="00C37A16"/>
    <w:rsid w:val="00C41206"/>
    <w:rsid w:val="00C41529"/>
    <w:rsid w:val="00C4294B"/>
    <w:rsid w:val="00C440D2"/>
    <w:rsid w:val="00C47CDE"/>
    <w:rsid w:val="00C50B26"/>
    <w:rsid w:val="00C51D0D"/>
    <w:rsid w:val="00C53475"/>
    <w:rsid w:val="00C549A6"/>
    <w:rsid w:val="00C60533"/>
    <w:rsid w:val="00C60D1E"/>
    <w:rsid w:val="00C60E30"/>
    <w:rsid w:val="00C610FB"/>
    <w:rsid w:val="00C64FE1"/>
    <w:rsid w:val="00C65B9F"/>
    <w:rsid w:val="00C74066"/>
    <w:rsid w:val="00C74283"/>
    <w:rsid w:val="00C742CA"/>
    <w:rsid w:val="00C76AC0"/>
    <w:rsid w:val="00C77F79"/>
    <w:rsid w:val="00C8138A"/>
    <w:rsid w:val="00C861E4"/>
    <w:rsid w:val="00C870EF"/>
    <w:rsid w:val="00C94235"/>
    <w:rsid w:val="00C964F8"/>
    <w:rsid w:val="00C96CC0"/>
    <w:rsid w:val="00C96DF9"/>
    <w:rsid w:val="00CA1705"/>
    <w:rsid w:val="00CA1763"/>
    <w:rsid w:val="00CA5FC3"/>
    <w:rsid w:val="00CB3DA3"/>
    <w:rsid w:val="00CB4F91"/>
    <w:rsid w:val="00CC3730"/>
    <w:rsid w:val="00CC4CC4"/>
    <w:rsid w:val="00CC73A6"/>
    <w:rsid w:val="00CC7E64"/>
    <w:rsid w:val="00CD1CE6"/>
    <w:rsid w:val="00CD2619"/>
    <w:rsid w:val="00CD293D"/>
    <w:rsid w:val="00CD5229"/>
    <w:rsid w:val="00CD5547"/>
    <w:rsid w:val="00CD7AD0"/>
    <w:rsid w:val="00CE0728"/>
    <w:rsid w:val="00CE1A54"/>
    <w:rsid w:val="00CE65F4"/>
    <w:rsid w:val="00CE7C96"/>
    <w:rsid w:val="00CF1270"/>
    <w:rsid w:val="00CF1B9D"/>
    <w:rsid w:val="00CF2B80"/>
    <w:rsid w:val="00CF3F0C"/>
    <w:rsid w:val="00CF597A"/>
    <w:rsid w:val="00CF5FB6"/>
    <w:rsid w:val="00D003D5"/>
    <w:rsid w:val="00D00EB4"/>
    <w:rsid w:val="00D02518"/>
    <w:rsid w:val="00D03AED"/>
    <w:rsid w:val="00D10494"/>
    <w:rsid w:val="00D1093D"/>
    <w:rsid w:val="00D1124E"/>
    <w:rsid w:val="00D1329C"/>
    <w:rsid w:val="00D16D63"/>
    <w:rsid w:val="00D17454"/>
    <w:rsid w:val="00D202EC"/>
    <w:rsid w:val="00D22542"/>
    <w:rsid w:val="00D2296E"/>
    <w:rsid w:val="00D268A5"/>
    <w:rsid w:val="00D26BA1"/>
    <w:rsid w:val="00D27C65"/>
    <w:rsid w:val="00D30465"/>
    <w:rsid w:val="00D30BAD"/>
    <w:rsid w:val="00D31823"/>
    <w:rsid w:val="00D31E88"/>
    <w:rsid w:val="00D33FBC"/>
    <w:rsid w:val="00D35B37"/>
    <w:rsid w:val="00D35B4A"/>
    <w:rsid w:val="00D36464"/>
    <w:rsid w:val="00D3647C"/>
    <w:rsid w:val="00D41F58"/>
    <w:rsid w:val="00D43227"/>
    <w:rsid w:val="00D45908"/>
    <w:rsid w:val="00D50212"/>
    <w:rsid w:val="00D51E7E"/>
    <w:rsid w:val="00D556D8"/>
    <w:rsid w:val="00D568C2"/>
    <w:rsid w:val="00D60ABC"/>
    <w:rsid w:val="00D640F7"/>
    <w:rsid w:val="00D64ABD"/>
    <w:rsid w:val="00D73603"/>
    <w:rsid w:val="00D73871"/>
    <w:rsid w:val="00D7535C"/>
    <w:rsid w:val="00D756E8"/>
    <w:rsid w:val="00D76302"/>
    <w:rsid w:val="00D80306"/>
    <w:rsid w:val="00D81D5D"/>
    <w:rsid w:val="00D82556"/>
    <w:rsid w:val="00D845E2"/>
    <w:rsid w:val="00D86358"/>
    <w:rsid w:val="00D86CEE"/>
    <w:rsid w:val="00D902BC"/>
    <w:rsid w:val="00D90AB3"/>
    <w:rsid w:val="00D91A5F"/>
    <w:rsid w:val="00D958FE"/>
    <w:rsid w:val="00DA5AFF"/>
    <w:rsid w:val="00DA5CE2"/>
    <w:rsid w:val="00DA7EAB"/>
    <w:rsid w:val="00DB01DF"/>
    <w:rsid w:val="00DB2E5D"/>
    <w:rsid w:val="00DB57BA"/>
    <w:rsid w:val="00DB60BF"/>
    <w:rsid w:val="00DC1044"/>
    <w:rsid w:val="00DC20CE"/>
    <w:rsid w:val="00DC2F4C"/>
    <w:rsid w:val="00DC422D"/>
    <w:rsid w:val="00DC73D1"/>
    <w:rsid w:val="00DD0C14"/>
    <w:rsid w:val="00DD1027"/>
    <w:rsid w:val="00DD5984"/>
    <w:rsid w:val="00DD7847"/>
    <w:rsid w:val="00DE10E8"/>
    <w:rsid w:val="00DE3BCC"/>
    <w:rsid w:val="00DE3FA7"/>
    <w:rsid w:val="00DE434C"/>
    <w:rsid w:val="00DE5CC8"/>
    <w:rsid w:val="00DE770B"/>
    <w:rsid w:val="00DF140E"/>
    <w:rsid w:val="00DF14BB"/>
    <w:rsid w:val="00DF23C5"/>
    <w:rsid w:val="00DF291E"/>
    <w:rsid w:val="00DF3DB0"/>
    <w:rsid w:val="00DF6AE2"/>
    <w:rsid w:val="00E01871"/>
    <w:rsid w:val="00E02238"/>
    <w:rsid w:val="00E02D0A"/>
    <w:rsid w:val="00E0450F"/>
    <w:rsid w:val="00E0525A"/>
    <w:rsid w:val="00E05C17"/>
    <w:rsid w:val="00E10A13"/>
    <w:rsid w:val="00E110DB"/>
    <w:rsid w:val="00E14CD8"/>
    <w:rsid w:val="00E161DD"/>
    <w:rsid w:val="00E16FDA"/>
    <w:rsid w:val="00E17A8E"/>
    <w:rsid w:val="00E21D4C"/>
    <w:rsid w:val="00E239B3"/>
    <w:rsid w:val="00E266E7"/>
    <w:rsid w:val="00E30108"/>
    <w:rsid w:val="00E320FB"/>
    <w:rsid w:val="00E35F58"/>
    <w:rsid w:val="00E367A8"/>
    <w:rsid w:val="00E36BD9"/>
    <w:rsid w:val="00E43B68"/>
    <w:rsid w:val="00E459BE"/>
    <w:rsid w:val="00E45BD9"/>
    <w:rsid w:val="00E47200"/>
    <w:rsid w:val="00E50F27"/>
    <w:rsid w:val="00E51246"/>
    <w:rsid w:val="00E53ECA"/>
    <w:rsid w:val="00E54BCA"/>
    <w:rsid w:val="00E61C23"/>
    <w:rsid w:val="00E637B1"/>
    <w:rsid w:val="00E63F5B"/>
    <w:rsid w:val="00E64ADF"/>
    <w:rsid w:val="00E653BC"/>
    <w:rsid w:val="00E65747"/>
    <w:rsid w:val="00E66693"/>
    <w:rsid w:val="00E66FFC"/>
    <w:rsid w:val="00E67474"/>
    <w:rsid w:val="00E67970"/>
    <w:rsid w:val="00E759D6"/>
    <w:rsid w:val="00E77D23"/>
    <w:rsid w:val="00E81195"/>
    <w:rsid w:val="00E81C37"/>
    <w:rsid w:val="00E81E1F"/>
    <w:rsid w:val="00E835E9"/>
    <w:rsid w:val="00E838EB"/>
    <w:rsid w:val="00E84A8C"/>
    <w:rsid w:val="00E84BC3"/>
    <w:rsid w:val="00E8547B"/>
    <w:rsid w:val="00E93440"/>
    <w:rsid w:val="00E94622"/>
    <w:rsid w:val="00E95D51"/>
    <w:rsid w:val="00E95E01"/>
    <w:rsid w:val="00E96372"/>
    <w:rsid w:val="00E976DE"/>
    <w:rsid w:val="00EA0076"/>
    <w:rsid w:val="00EA1443"/>
    <w:rsid w:val="00EA5461"/>
    <w:rsid w:val="00EA6AF3"/>
    <w:rsid w:val="00EB2107"/>
    <w:rsid w:val="00EB5A97"/>
    <w:rsid w:val="00EB6869"/>
    <w:rsid w:val="00EB7EB8"/>
    <w:rsid w:val="00EC0F83"/>
    <w:rsid w:val="00EC24A7"/>
    <w:rsid w:val="00EC73F0"/>
    <w:rsid w:val="00ED0C88"/>
    <w:rsid w:val="00ED1248"/>
    <w:rsid w:val="00ED17C6"/>
    <w:rsid w:val="00ED45BD"/>
    <w:rsid w:val="00ED4868"/>
    <w:rsid w:val="00ED7346"/>
    <w:rsid w:val="00EE0150"/>
    <w:rsid w:val="00EE3187"/>
    <w:rsid w:val="00EE3785"/>
    <w:rsid w:val="00EE40B4"/>
    <w:rsid w:val="00EE6C00"/>
    <w:rsid w:val="00EE7CE9"/>
    <w:rsid w:val="00EF077B"/>
    <w:rsid w:val="00EF1F78"/>
    <w:rsid w:val="00EF480B"/>
    <w:rsid w:val="00EF499B"/>
    <w:rsid w:val="00EF4AFE"/>
    <w:rsid w:val="00EF65A4"/>
    <w:rsid w:val="00EF773F"/>
    <w:rsid w:val="00F00733"/>
    <w:rsid w:val="00F04F6D"/>
    <w:rsid w:val="00F075E1"/>
    <w:rsid w:val="00F076B8"/>
    <w:rsid w:val="00F14977"/>
    <w:rsid w:val="00F162DE"/>
    <w:rsid w:val="00F166A4"/>
    <w:rsid w:val="00F20E47"/>
    <w:rsid w:val="00F23CB5"/>
    <w:rsid w:val="00F267A2"/>
    <w:rsid w:val="00F26AD0"/>
    <w:rsid w:val="00F27F31"/>
    <w:rsid w:val="00F344A9"/>
    <w:rsid w:val="00F36AEF"/>
    <w:rsid w:val="00F41C4F"/>
    <w:rsid w:val="00F43A54"/>
    <w:rsid w:val="00F44F6A"/>
    <w:rsid w:val="00F4530F"/>
    <w:rsid w:val="00F45762"/>
    <w:rsid w:val="00F52D37"/>
    <w:rsid w:val="00F60AA2"/>
    <w:rsid w:val="00F610B9"/>
    <w:rsid w:val="00F64DFF"/>
    <w:rsid w:val="00F6632E"/>
    <w:rsid w:val="00F67ACF"/>
    <w:rsid w:val="00F7022F"/>
    <w:rsid w:val="00F70F91"/>
    <w:rsid w:val="00F71BB2"/>
    <w:rsid w:val="00F74638"/>
    <w:rsid w:val="00F75C89"/>
    <w:rsid w:val="00F771A1"/>
    <w:rsid w:val="00F849B8"/>
    <w:rsid w:val="00F85358"/>
    <w:rsid w:val="00F92F0F"/>
    <w:rsid w:val="00F93A1B"/>
    <w:rsid w:val="00F97E5E"/>
    <w:rsid w:val="00FA25B9"/>
    <w:rsid w:val="00FA416E"/>
    <w:rsid w:val="00FB0364"/>
    <w:rsid w:val="00FB223F"/>
    <w:rsid w:val="00FB24D0"/>
    <w:rsid w:val="00FB479D"/>
    <w:rsid w:val="00FB4A08"/>
    <w:rsid w:val="00FB5B87"/>
    <w:rsid w:val="00FB79ED"/>
    <w:rsid w:val="00FB7F5F"/>
    <w:rsid w:val="00FC0B0D"/>
    <w:rsid w:val="00FC0C2A"/>
    <w:rsid w:val="00FC7465"/>
    <w:rsid w:val="00FD0DE8"/>
    <w:rsid w:val="00FD39AD"/>
    <w:rsid w:val="00FD4FFF"/>
    <w:rsid w:val="00FD5241"/>
    <w:rsid w:val="00FD6226"/>
    <w:rsid w:val="00FD71E8"/>
    <w:rsid w:val="00FD73C5"/>
    <w:rsid w:val="00FD7AF2"/>
    <w:rsid w:val="00FD7F8E"/>
    <w:rsid w:val="00FE09F9"/>
    <w:rsid w:val="00FE31F1"/>
    <w:rsid w:val="00FE3466"/>
    <w:rsid w:val="00FE3C76"/>
    <w:rsid w:val="00FE46D3"/>
    <w:rsid w:val="00FE630E"/>
    <w:rsid w:val="00FF036A"/>
    <w:rsid w:val="00FF11E4"/>
    <w:rsid w:val="00FF244F"/>
    <w:rsid w:val="00FF2616"/>
    <w:rsid w:val="00FF7024"/>
    <w:rsid w:val="00FF7A43"/>
    <w:rsid w:val="01483505"/>
    <w:rsid w:val="01630EE9"/>
    <w:rsid w:val="020D090D"/>
    <w:rsid w:val="022140CB"/>
    <w:rsid w:val="02AA762D"/>
    <w:rsid w:val="02DA018C"/>
    <w:rsid w:val="03CA0871"/>
    <w:rsid w:val="03EE5963"/>
    <w:rsid w:val="04051239"/>
    <w:rsid w:val="046C750A"/>
    <w:rsid w:val="0478216E"/>
    <w:rsid w:val="04B072D4"/>
    <w:rsid w:val="05171224"/>
    <w:rsid w:val="05F575D4"/>
    <w:rsid w:val="061600EE"/>
    <w:rsid w:val="063B6430"/>
    <w:rsid w:val="06414674"/>
    <w:rsid w:val="064249C6"/>
    <w:rsid w:val="06581AF4"/>
    <w:rsid w:val="06824DC3"/>
    <w:rsid w:val="069D2D0F"/>
    <w:rsid w:val="06B255BD"/>
    <w:rsid w:val="06EB0BBA"/>
    <w:rsid w:val="073267E9"/>
    <w:rsid w:val="07B471FE"/>
    <w:rsid w:val="07D77390"/>
    <w:rsid w:val="08641132"/>
    <w:rsid w:val="08940D0B"/>
    <w:rsid w:val="08F57ACE"/>
    <w:rsid w:val="09047D11"/>
    <w:rsid w:val="09186774"/>
    <w:rsid w:val="0945438F"/>
    <w:rsid w:val="0966277A"/>
    <w:rsid w:val="09DC0A30"/>
    <w:rsid w:val="09E217B2"/>
    <w:rsid w:val="0A333029"/>
    <w:rsid w:val="0A3A39FA"/>
    <w:rsid w:val="0A71587A"/>
    <w:rsid w:val="0B25541E"/>
    <w:rsid w:val="0B792C38"/>
    <w:rsid w:val="0BC42DA1"/>
    <w:rsid w:val="0BD065D0"/>
    <w:rsid w:val="0C28640C"/>
    <w:rsid w:val="0C4867C0"/>
    <w:rsid w:val="0C650BD6"/>
    <w:rsid w:val="0D0B777A"/>
    <w:rsid w:val="0D957270"/>
    <w:rsid w:val="0DE25B7D"/>
    <w:rsid w:val="0E90599A"/>
    <w:rsid w:val="0ED40902"/>
    <w:rsid w:val="0ED720CD"/>
    <w:rsid w:val="0F096F10"/>
    <w:rsid w:val="0F390735"/>
    <w:rsid w:val="0F933B9D"/>
    <w:rsid w:val="0FA45DAA"/>
    <w:rsid w:val="0FA964A5"/>
    <w:rsid w:val="0FE4089C"/>
    <w:rsid w:val="0FF7237E"/>
    <w:rsid w:val="100E1475"/>
    <w:rsid w:val="105A46BB"/>
    <w:rsid w:val="10B931CD"/>
    <w:rsid w:val="110C3C07"/>
    <w:rsid w:val="11FF19BD"/>
    <w:rsid w:val="12070CAE"/>
    <w:rsid w:val="12403D1B"/>
    <w:rsid w:val="12582B20"/>
    <w:rsid w:val="127F2161"/>
    <w:rsid w:val="129E4D32"/>
    <w:rsid w:val="12E017EF"/>
    <w:rsid w:val="1380268A"/>
    <w:rsid w:val="13CE5AEB"/>
    <w:rsid w:val="13F13588"/>
    <w:rsid w:val="145F688C"/>
    <w:rsid w:val="148B12E6"/>
    <w:rsid w:val="14A8633C"/>
    <w:rsid w:val="15DD2205"/>
    <w:rsid w:val="15FB468B"/>
    <w:rsid w:val="161A5018"/>
    <w:rsid w:val="165A18B8"/>
    <w:rsid w:val="168C5DC3"/>
    <w:rsid w:val="16B438BD"/>
    <w:rsid w:val="16EF3DAF"/>
    <w:rsid w:val="17065FEC"/>
    <w:rsid w:val="173619DD"/>
    <w:rsid w:val="17591B70"/>
    <w:rsid w:val="17A67110"/>
    <w:rsid w:val="18221B75"/>
    <w:rsid w:val="1864189B"/>
    <w:rsid w:val="18D73A7D"/>
    <w:rsid w:val="19297320"/>
    <w:rsid w:val="192F69BC"/>
    <w:rsid w:val="19557370"/>
    <w:rsid w:val="197A4F64"/>
    <w:rsid w:val="1A181B0C"/>
    <w:rsid w:val="1A4E1523"/>
    <w:rsid w:val="1A7E6258"/>
    <w:rsid w:val="1AF22E73"/>
    <w:rsid w:val="1B010A21"/>
    <w:rsid w:val="1B8B6070"/>
    <w:rsid w:val="1BB7255E"/>
    <w:rsid w:val="1BD06B6A"/>
    <w:rsid w:val="1BE0016A"/>
    <w:rsid w:val="1C47450A"/>
    <w:rsid w:val="1C4C1CA3"/>
    <w:rsid w:val="1C633D09"/>
    <w:rsid w:val="1C6B44E3"/>
    <w:rsid w:val="1D7D523F"/>
    <w:rsid w:val="1D8F0333"/>
    <w:rsid w:val="1DBE04B0"/>
    <w:rsid w:val="1DE95394"/>
    <w:rsid w:val="1E05210A"/>
    <w:rsid w:val="1E0D0252"/>
    <w:rsid w:val="1EBF79AF"/>
    <w:rsid w:val="1EEE7042"/>
    <w:rsid w:val="1F4B189E"/>
    <w:rsid w:val="1F5F3A9B"/>
    <w:rsid w:val="1F782BDE"/>
    <w:rsid w:val="1FFE264A"/>
    <w:rsid w:val="20032679"/>
    <w:rsid w:val="20250841"/>
    <w:rsid w:val="20452C91"/>
    <w:rsid w:val="206C2914"/>
    <w:rsid w:val="20D64231"/>
    <w:rsid w:val="21004E0A"/>
    <w:rsid w:val="216F099D"/>
    <w:rsid w:val="21BC3427"/>
    <w:rsid w:val="21FE57EE"/>
    <w:rsid w:val="23317869"/>
    <w:rsid w:val="235061E8"/>
    <w:rsid w:val="23D9206E"/>
    <w:rsid w:val="244B0A92"/>
    <w:rsid w:val="24744536"/>
    <w:rsid w:val="24F04149"/>
    <w:rsid w:val="25137BD7"/>
    <w:rsid w:val="25650CAE"/>
    <w:rsid w:val="25930DDA"/>
    <w:rsid w:val="26406598"/>
    <w:rsid w:val="265E1D2F"/>
    <w:rsid w:val="26793695"/>
    <w:rsid w:val="27693596"/>
    <w:rsid w:val="28080056"/>
    <w:rsid w:val="28274CC4"/>
    <w:rsid w:val="28381974"/>
    <w:rsid w:val="28734C1A"/>
    <w:rsid w:val="28C72DDD"/>
    <w:rsid w:val="294F5D66"/>
    <w:rsid w:val="296C128F"/>
    <w:rsid w:val="29791CCE"/>
    <w:rsid w:val="297A7E50"/>
    <w:rsid w:val="29BF079F"/>
    <w:rsid w:val="29EE0E64"/>
    <w:rsid w:val="2A273408"/>
    <w:rsid w:val="2A7B2EDB"/>
    <w:rsid w:val="2AC76ABE"/>
    <w:rsid w:val="2ACF7D27"/>
    <w:rsid w:val="2AF7181A"/>
    <w:rsid w:val="2C567FD4"/>
    <w:rsid w:val="2CAF6062"/>
    <w:rsid w:val="2CBC2F0D"/>
    <w:rsid w:val="2CFA7050"/>
    <w:rsid w:val="2D173798"/>
    <w:rsid w:val="2D356C58"/>
    <w:rsid w:val="2D752406"/>
    <w:rsid w:val="2DC378EB"/>
    <w:rsid w:val="2DE5106D"/>
    <w:rsid w:val="2E494294"/>
    <w:rsid w:val="2EF90F16"/>
    <w:rsid w:val="2F125C63"/>
    <w:rsid w:val="2F666780"/>
    <w:rsid w:val="2F6F7D2B"/>
    <w:rsid w:val="2FB6213D"/>
    <w:rsid w:val="2FFD0E93"/>
    <w:rsid w:val="301306B6"/>
    <w:rsid w:val="302C3D0A"/>
    <w:rsid w:val="30751371"/>
    <w:rsid w:val="30A532D8"/>
    <w:rsid w:val="30DF3357"/>
    <w:rsid w:val="32054C26"/>
    <w:rsid w:val="322E57C9"/>
    <w:rsid w:val="32A41A99"/>
    <w:rsid w:val="331134C5"/>
    <w:rsid w:val="33B2589D"/>
    <w:rsid w:val="33D53ED4"/>
    <w:rsid w:val="33DE31BB"/>
    <w:rsid w:val="33E81E5A"/>
    <w:rsid w:val="34441786"/>
    <w:rsid w:val="34D120DE"/>
    <w:rsid w:val="34D80120"/>
    <w:rsid w:val="353D61D5"/>
    <w:rsid w:val="35415CF9"/>
    <w:rsid w:val="356B2D84"/>
    <w:rsid w:val="357F2555"/>
    <w:rsid w:val="358931C8"/>
    <w:rsid w:val="36080591"/>
    <w:rsid w:val="364354F6"/>
    <w:rsid w:val="36EE59D9"/>
    <w:rsid w:val="374101FF"/>
    <w:rsid w:val="37555A58"/>
    <w:rsid w:val="383657B7"/>
    <w:rsid w:val="389C49C0"/>
    <w:rsid w:val="38B90269"/>
    <w:rsid w:val="39BC78F4"/>
    <w:rsid w:val="3A225A50"/>
    <w:rsid w:val="3A2F4608"/>
    <w:rsid w:val="3AD153F6"/>
    <w:rsid w:val="3B111C96"/>
    <w:rsid w:val="3B1B48C3"/>
    <w:rsid w:val="3BA27653"/>
    <w:rsid w:val="3BDE1E79"/>
    <w:rsid w:val="3C8A61A4"/>
    <w:rsid w:val="3CE22CBB"/>
    <w:rsid w:val="3D0870C9"/>
    <w:rsid w:val="3D5F1032"/>
    <w:rsid w:val="3DC47494"/>
    <w:rsid w:val="3E4A5C08"/>
    <w:rsid w:val="3E4E31FF"/>
    <w:rsid w:val="3EE37DED"/>
    <w:rsid w:val="3EF1250A"/>
    <w:rsid w:val="3F0C4A6A"/>
    <w:rsid w:val="3F512FA9"/>
    <w:rsid w:val="3F5B5BD6"/>
    <w:rsid w:val="3FB7862D"/>
    <w:rsid w:val="3FFD0985"/>
    <w:rsid w:val="403E6056"/>
    <w:rsid w:val="40567DB0"/>
    <w:rsid w:val="40FF5CD2"/>
    <w:rsid w:val="42444AD8"/>
    <w:rsid w:val="42DB40B0"/>
    <w:rsid w:val="43727992"/>
    <w:rsid w:val="439873F8"/>
    <w:rsid w:val="43B71B0A"/>
    <w:rsid w:val="43C71A8C"/>
    <w:rsid w:val="43F403A7"/>
    <w:rsid w:val="449851D6"/>
    <w:rsid w:val="449B6576"/>
    <w:rsid w:val="44C9029A"/>
    <w:rsid w:val="44FA0589"/>
    <w:rsid w:val="456F4189"/>
    <w:rsid w:val="45A1630C"/>
    <w:rsid w:val="45A663E3"/>
    <w:rsid w:val="465670F7"/>
    <w:rsid w:val="465A2F8B"/>
    <w:rsid w:val="4665558C"/>
    <w:rsid w:val="4682613E"/>
    <w:rsid w:val="469F09AF"/>
    <w:rsid w:val="46BA7686"/>
    <w:rsid w:val="47121270"/>
    <w:rsid w:val="472D7E58"/>
    <w:rsid w:val="47835EAB"/>
    <w:rsid w:val="47906638"/>
    <w:rsid w:val="47AB5C99"/>
    <w:rsid w:val="47E14131"/>
    <w:rsid w:val="485D651B"/>
    <w:rsid w:val="48C06A4A"/>
    <w:rsid w:val="494D2A33"/>
    <w:rsid w:val="498B6799"/>
    <w:rsid w:val="49D56585"/>
    <w:rsid w:val="49FE5ADB"/>
    <w:rsid w:val="4A445BB8"/>
    <w:rsid w:val="4A9D7706"/>
    <w:rsid w:val="4B2038C4"/>
    <w:rsid w:val="4B756271"/>
    <w:rsid w:val="4C1C1A73"/>
    <w:rsid w:val="4C8E1CA8"/>
    <w:rsid w:val="4CD74C68"/>
    <w:rsid w:val="4CE865CF"/>
    <w:rsid w:val="4D6D36A4"/>
    <w:rsid w:val="4D7E4017"/>
    <w:rsid w:val="4EC55959"/>
    <w:rsid w:val="4FD70F36"/>
    <w:rsid w:val="50342257"/>
    <w:rsid w:val="50B67FB7"/>
    <w:rsid w:val="50C8299F"/>
    <w:rsid w:val="50CA5A8F"/>
    <w:rsid w:val="510903EF"/>
    <w:rsid w:val="51F966D2"/>
    <w:rsid w:val="52B21B59"/>
    <w:rsid w:val="52EA12F3"/>
    <w:rsid w:val="53327727"/>
    <w:rsid w:val="536A5F90"/>
    <w:rsid w:val="53A72D40"/>
    <w:rsid w:val="53DF072C"/>
    <w:rsid w:val="53F137F4"/>
    <w:rsid w:val="541C5459"/>
    <w:rsid w:val="54316AAD"/>
    <w:rsid w:val="543A6906"/>
    <w:rsid w:val="54B5148C"/>
    <w:rsid w:val="55410F3D"/>
    <w:rsid w:val="55576E2C"/>
    <w:rsid w:val="55AC288F"/>
    <w:rsid w:val="55D373ED"/>
    <w:rsid w:val="56680AA6"/>
    <w:rsid w:val="567B6D4A"/>
    <w:rsid w:val="56850CBB"/>
    <w:rsid w:val="56921A85"/>
    <w:rsid w:val="57623B4D"/>
    <w:rsid w:val="57DD1426"/>
    <w:rsid w:val="57EC5EE9"/>
    <w:rsid w:val="58381C29"/>
    <w:rsid w:val="58AB1173"/>
    <w:rsid w:val="595B0854"/>
    <w:rsid w:val="595E6596"/>
    <w:rsid w:val="595F38FA"/>
    <w:rsid w:val="59A40218"/>
    <w:rsid w:val="59BE5287"/>
    <w:rsid w:val="5A666D76"/>
    <w:rsid w:val="5A7051BF"/>
    <w:rsid w:val="5AA90E03"/>
    <w:rsid w:val="5AC752A1"/>
    <w:rsid w:val="5AF70A51"/>
    <w:rsid w:val="5B0514E5"/>
    <w:rsid w:val="5B2253C2"/>
    <w:rsid w:val="5B5163B3"/>
    <w:rsid w:val="5B9558E9"/>
    <w:rsid w:val="5B9E24B5"/>
    <w:rsid w:val="5BE251E0"/>
    <w:rsid w:val="5C89415A"/>
    <w:rsid w:val="5CF27722"/>
    <w:rsid w:val="5D467A6D"/>
    <w:rsid w:val="5D476B64"/>
    <w:rsid w:val="5E0D27AC"/>
    <w:rsid w:val="5E36363E"/>
    <w:rsid w:val="5E7922CB"/>
    <w:rsid w:val="5EAB42F7"/>
    <w:rsid w:val="5EAD2468"/>
    <w:rsid w:val="5EBD5B0D"/>
    <w:rsid w:val="5F105C3D"/>
    <w:rsid w:val="5F4F0E5B"/>
    <w:rsid w:val="5F681F1D"/>
    <w:rsid w:val="5F9335B0"/>
    <w:rsid w:val="5FB46F10"/>
    <w:rsid w:val="60067040"/>
    <w:rsid w:val="603269D2"/>
    <w:rsid w:val="60762418"/>
    <w:rsid w:val="608368E3"/>
    <w:rsid w:val="60FB46CB"/>
    <w:rsid w:val="612155A1"/>
    <w:rsid w:val="619E1C26"/>
    <w:rsid w:val="61A52BCA"/>
    <w:rsid w:val="61FFE166"/>
    <w:rsid w:val="622930FA"/>
    <w:rsid w:val="622E6ED9"/>
    <w:rsid w:val="62775FD3"/>
    <w:rsid w:val="62795021"/>
    <w:rsid w:val="62922E0D"/>
    <w:rsid w:val="62CC631F"/>
    <w:rsid w:val="62DA47CE"/>
    <w:rsid w:val="62E775FD"/>
    <w:rsid w:val="62EA6377"/>
    <w:rsid w:val="631D06CC"/>
    <w:rsid w:val="633B1701"/>
    <w:rsid w:val="63500CFE"/>
    <w:rsid w:val="63587FF4"/>
    <w:rsid w:val="635F53E5"/>
    <w:rsid w:val="63BB5908"/>
    <w:rsid w:val="63BE5D15"/>
    <w:rsid w:val="64460353"/>
    <w:rsid w:val="646A4041"/>
    <w:rsid w:val="646C7CD0"/>
    <w:rsid w:val="647E189B"/>
    <w:rsid w:val="656569C2"/>
    <w:rsid w:val="65985B50"/>
    <w:rsid w:val="65A62C59"/>
    <w:rsid w:val="66A9405E"/>
    <w:rsid w:val="66BE682F"/>
    <w:rsid w:val="66CD4D5B"/>
    <w:rsid w:val="66E70103"/>
    <w:rsid w:val="67095496"/>
    <w:rsid w:val="677569FB"/>
    <w:rsid w:val="67EC43D0"/>
    <w:rsid w:val="67ED7463"/>
    <w:rsid w:val="681A546A"/>
    <w:rsid w:val="686F7E78"/>
    <w:rsid w:val="692426B2"/>
    <w:rsid w:val="69AF24F6"/>
    <w:rsid w:val="69CB37D4"/>
    <w:rsid w:val="6A0D5B9B"/>
    <w:rsid w:val="6A3B23B1"/>
    <w:rsid w:val="6A4B1DB7"/>
    <w:rsid w:val="6A4E61B3"/>
    <w:rsid w:val="6AEA32DC"/>
    <w:rsid w:val="6B101F13"/>
    <w:rsid w:val="6B6B01C8"/>
    <w:rsid w:val="6B8005EE"/>
    <w:rsid w:val="6BC04E8F"/>
    <w:rsid w:val="6C042FCD"/>
    <w:rsid w:val="6C7D68DC"/>
    <w:rsid w:val="6CC249AA"/>
    <w:rsid w:val="6CC24AB5"/>
    <w:rsid w:val="6CD472E6"/>
    <w:rsid w:val="6D082649"/>
    <w:rsid w:val="6D094746"/>
    <w:rsid w:val="6D6D6950"/>
    <w:rsid w:val="6D9271B2"/>
    <w:rsid w:val="6DC36570"/>
    <w:rsid w:val="6DE2733E"/>
    <w:rsid w:val="6DFD4599"/>
    <w:rsid w:val="6E0A1FF1"/>
    <w:rsid w:val="6E160D96"/>
    <w:rsid w:val="6E304C46"/>
    <w:rsid w:val="6E453CB7"/>
    <w:rsid w:val="6EC319C3"/>
    <w:rsid w:val="6F134790"/>
    <w:rsid w:val="6F285225"/>
    <w:rsid w:val="6F2D321B"/>
    <w:rsid w:val="6F5B73A8"/>
    <w:rsid w:val="6FB371C8"/>
    <w:rsid w:val="6FD26F3F"/>
    <w:rsid w:val="70030B0E"/>
    <w:rsid w:val="7080699B"/>
    <w:rsid w:val="70AE50FA"/>
    <w:rsid w:val="70EB650A"/>
    <w:rsid w:val="70F4130B"/>
    <w:rsid w:val="71347EB1"/>
    <w:rsid w:val="713A4D9B"/>
    <w:rsid w:val="71842467"/>
    <w:rsid w:val="71867FE1"/>
    <w:rsid w:val="71B67774"/>
    <w:rsid w:val="71E01DE7"/>
    <w:rsid w:val="723914F7"/>
    <w:rsid w:val="72446028"/>
    <w:rsid w:val="72584610"/>
    <w:rsid w:val="72640322"/>
    <w:rsid w:val="73076EC0"/>
    <w:rsid w:val="730905A8"/>
    <w:rsid w:val="7399224D"/>
    <w:rsid w:val="73B14415"/>
    <w:rsid w:val="74210CA6"/>
    <w:rsid w:val="746E5488"/>
    <w:rsid w:val="74B17A6A"/>
    <w:rsid w:val="74C432FA"/>
    <w:rsid w:val="750F58D3"/>
    <w:rsid w:val="753F10F6"/>
    <w:rsid w:val="75422471"/>
    <w:rsid w:val="758006EA"/>
    <w:rsid w:val="7606301F"/>
    <w:rsid w:val="760B2F52"/>
    <w:rsid w:val="764A782F"/>
    <w:rsid w:val="76E71507"/>
    <w:rsid w:val="77101DD8"/>
    <w:rsid w:val="77E27A63"/>
    <w:rsid w:val="7819395D"/>
    <w:rsid w:val="788C25F5"/>
    <w:rsid w:val="791E4FA3"/>
    <w:rsid w:val="794C5FB4"/>
    <w:rsid w:val="79D858ED"/>
    <w:rsid w:val="79F72AA9"/>
    <w:rsid w:val="7A15284A"/>
    <w:rsid w:val="7AE74920"/>
    <w:rsid w:val="7B7A4F7D"/>
    <w:rsid w:val="7BF02C26"/>
    <w:rsid w:val="7C596A1E"/>
    <w:rsid w:val="7C923B05"/>
    <w:rsid w:val="7CCC5441"/>
    <w:rsid w:val="7CCD740C"/>
    <w:rsid w:val="7D034BDB"/>
    <w:rsid w:val="7D2F59D0"/>
    <w:rsid w:val="7D3F20B7"/>
    <w:rsid w:val="7D690EE2"/>
    <w:rsid w:val="7DD37FAE"/>
    <w:rsid w:val="7DD547CA"/>
    <w:rsid w:val="7DE22A43"/>
    <w:rsid w:val="7DFA4230"/>
    <w:rsid w:val="7E064983"/>
    <w:rsid w:val="7E6E5B25"/>
    <w:rsid w:val="7EE121A6"/>
    <w:rsid w:val="7F3D0160"/>
    <w:rsid w:val="7F3E1EFB"/>
    <w:rsid w:val="7FA77AA0"/>
    <w:rsid w:val="DFADC93D"/>
    <w:rsid w:val="FD7E5497"/>
    <w:rsid w:val="FFF39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autoRedefine/>
    <w:qFormat/>
    <w:uiPriority w:val="1"/>
    <w:pPr>
      <w:outlineLvl w:val="0"/>
    </w:pPr>
    <w:rPr>
      <w:rFonts w:ascii="PMingLiU" w:hAnsi="PMingLiU" w:eastAsia="PMingLiU" w:cs="PMingLiU"/>
      <w:sz w:val="44"/>
      <w:szCs w:val="44"/>
    </w:rPr>
  </w:style>
  <w:style w:type="paragraph" w:styleId="3">
    <w:name w:val="heading 4"/>
    <w:basedOn w:val="1"/>
    <w:next w:val="1"/>
    <w:autoRedefine/>
    <w:unhideWhenUsed/>
    <w:qFormat/>
    <w:uiPriority w:val="0"/>
    <w:pPr>
      <w:keepNext/>
      <w:keepLines/>
      <w:widowControl/>
      <w:spacing w:line="360" w:lineRule="auto"/>
      <w:ind w:firstLine="200" w:firstLineChars="200"/>
      <w:outlineLvl w:val="3"/>
    </w:pPr>
    <w:rPr>
      <w:rFonts w:ascii="Times New Roman" w:hAnsi="Times New Roman" w:eastAsia="宋体" w:cs="Times New Roman (标题 CS)"/>
      <w:b/>
      <w:bCs/>
      <w:sz w:val="24"/>
      <w:szCs w:val="28"/>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17"/>
    <w:autoRedefine/>
    <w:qFormat/>
    <w:uiPriority w:val="0"/>
  </w:style>
  <w:style w:type="paragraph" w:styleId="5">
    <w:name w:val="Body Text"/>
    <w:basedOn w:val="1"/>
    <w:autoRedefine/>
    <w:qFormat/>
    <w:uiPriority w:val="1"/>
    <w:pPr>
      <w:ind w:left="220"/>
    </w:pPr>
    <w:rPr>
      <w:sz w:val="32"/>
      <w:szCs w:val="32"/>
    </w:rPr>
  </w:style>
  <w:style w:type="paragraph" w:styleId="6">
    <w:name w:val="Balloon Text"/>
    <w:basedOn w:val="1"/>
    <w:link w:val="19"/>
    <w:autoRedefine/>
    <w:qFormat/>
    <w:uiPriority w:val="0"/>
    <w:rPr>
      <w:sz w:val="18"/>
      <w:szCs w:val="18"/>
    </w:rPr>
  </w:style>
  <w:style w:type="paragraph" w:styleId="7">
    <w:name w:val="footer"/>
    <w:basedOn w:val="1"/>
    <w:link w:val="16"/>
    <w:autoRedefine/>
    <w:qFormat/>
    <w:uiPriority w:val="0"/>
    <w:pPr>
      <w:tabs>
        <w:tab w:val="center" w:pos="4153"/>
        <w:tab w:val="right" w:pos="8306"/>
      </w:tabs>
      <w:snapToGrid w:val="0"/>
    </w:pPr>
    <w:rPr>
      <w:sz w:val="18"/>
      <w:szCs w:val="18"/>
    </w:rPr>
  </w:style>
  <w:style w:type="paragraph" w:styleId="8">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autoRedefine/>
    <w:qFormat/>
    <w:uiPriority w:val="0"/>
    <w:rPr>
      <w:b/>
      <w:bCs/>
    </w:rPr>
  </w:style>
  <w:style w:type="table" w:styleId="11">
    <w:name w:val="Table Grid"/>
    <w:basedOn w:val="1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autoRedefine/>
    <w:qFormat/>
    <w:uiPriority w:val="0"/>
    <w:rPr>
      <w:sz w:val="21"/>
      <w:szCs w:val="21"/>
    </w:rPr>
  </w:style>
  <w:style w:type="paragraph" w:customStyle="1" w:styleId="14">
    <w:name w:val="Table Paragraph"/>
    <w:basedOn w:val="1"/>
    <w:autoRedefine/>
    <w:qFormat/>
    <w:uiPriority w:val="1"/>
  </w:style>
  <w:style w:type="character" w:customStyle="1" w:styleId="15">
    <w:name w:val="页眉 字符"/>
    <w:basedOn w:val="12"/>
    <w:link w:val="8"/>
    <w:autoRedefine/>
    <w:qFormat/>
    <w:uiPriority w:val="0"/>
    <w:rPr>
      <w:rFonts w:ascii="仿宋" w:hAnsi="仿宋" w:eastAsia="仿宋" w:cs="仿宋"/>
      <w:sz w:val="18"/>
      <w:szCs w:val="18"/>
      <w:lang w:val="zh-CN" w:bidi="zh-CN"/>
    </w:rPr>
  </w:style>
  <w:style w:type="character" w:customStyle="1" w:styleId="16">
    <w:name w:val="页脚 字符"/>
    <w:basedOn w:val="12"/>
    <w:link w:val="7"/>
    <w:autoRedefine/>
    <w:qFormat/>
    <w:uiPriority w:val="0"/>
    <w:rPr>
      <w:rFonts w:ascii="仿宋" w:hAnsi="仿宋" w:eastAsia="仿宋" w:cs="仿宋"/>
      <w:sz w:val="18"/>
      <w:szCs w:val="18"/>
      <w:lang w:val="zh-CN" w:bidi="zh-CN"/>
    </w:rPr>
  </w:style>
  <w:style w:type="character" w:customStyle="1" w:styleId="17">
    <w:name w:val="批注文字 字符"/>
    <w:basedOn w:val="12"/>
    <w:link w:val="4"/>
    <w:autoRedefine/>
    <w:qFormat/>
    <w:uiPriority w:val="0"/>
    <w:rPr>
      <w:rFonts w:ascii="仿宋" w:hAnsi="仿宋" w:eastAsia="仿宋" w:cs="仿宋"/>
      <w:sz w:val="22"/>
      <w:szCs w:val="22"/>
      <w:lang w:val="zh-CN" w:bidi="zh-CN"/>
    </w:rPr>
  </w:style>
  <w:style w:type="character" w:customStyle="1" w:styleId="18">
    <w:name w:val="批注主题 字符"/>
    <w:basedOn w:val="17"/>
    <w:link w:val="9"/>
    <w:autoRedefine/>
    <w:qFormat/>
    <w:uiPriority w:val="0"/>
    <w:rPr>
      <w:rFonts w:ascii="仿宋" w:hAnsi="仿宋" w:eastAsia="仿宋" w:cs="仿宋"/>
      <w:b/>
      <w:bCs/>
      <w:sz w:val="22"/>
      <w:szCs w:val="22"/>
      <w:lang w:val="zh-CN" w:bidi="zh-CN"/>
    </w:rPr>
  </w:style>
  <w:style w:type="character" w:customStyle="1" w:styleId="19">
    <w:name w:val="批注框文本 字符"/>
    <w:basedOn w:val="12"/>
    <w:link w:val="6"/>
    <w:autoRedefine/>
    <w:qFormat/>
    <w:uiPriority w:val="0"/>
    <w:rPr>
      <w:rFonts w:ascii="仿宋" w:hAnsi="仿宋" w:eastAsia="仿宋" w:cs="仿宋"/>
      <w:sz w:val="18"/>
      <w:szCs w:val="18"/>
      <w:lang w:val="zh-CN" w:bidi="zh-CN"/>
    </w:rPr>
  </w:style>
  <w:style w:type="paragraph" w:customStyle="1" w:styleId="20">
    <w:name w:val="修订1"/>
    <w:autoRedefine/>
    <w:hidden/>
    <w:semiHidden/>
    <w:qFormat/>
    <w:uiPriority w:val="99"/>
    <w:rPr>
      <w:rFonts w:ascii="仿宋" w:hAnsi="仿宋" w:eastAsia="仿宋" w:cs="仿宋"/>
      <w:sz w:val="22"/>
      <w:szCs w:val="22"/>
      <w:lang w:val="zh-CN" w:eastAsia="zh-CN" w:bidi="zh-CN"/>
    </w:rPr>
  </w:style>
  <w:style w:type="paragraph" w:customStyle="1" w:styleId="21">
    <w:name w:val="修订2"/>
    <w:autoRedefine/>
    <w:hidden/>
    <w:semiHidden/>
    <w:qFormat/>
    <w:uiPriority w:val="99"/>
    <w:rPr>
      <w:rFonts w:ascii="仿宋" w:hAnsi="仿宋" w:eastAsia="仿宋" w:cs="仿宋"/>
      <w:sz w:val="22"/>
      <w:szCs w:val="22"/>
      <w:lang w:val="zh-CN" w:eastAsia="zh-CN" w:bidi="zh-CN"/>
    </w:rPr>
  </w:style>
  <w:style w:type="paragraph" w:customStyle="1" w:styleId="22">
    <w:name w:val="修订3"/>
    <w:autoRedefine/>
    <w:hidden/>
    <w:semiHidden/>
    <w:qFormat/>
    <w:uiPriority w:val="99"/>
    <w:rPr>
      <w:rFonts w:ascii="仿宋" w:hAnsi="仿宋" w:eastAsia="仿宋" w:cs="仿宋"/>
      <w:sz w:val="22"/>
      <w:szCs w:val="22"/>
      <w:lang w:val="zh-CN" w:eastAsia="zh-CN" w:bidi="zh-CN"/>
    </w:rPr>
  </w:style>
  <w:style w:type="paragraph" w:customStyle="1" w:styleId="23">
    <w:name w:val="修订4"/>
    <w:autoRedefine/>
    <w:hidden/>
    <w:semiHidden/>
    <w:qFormat/>
    <w:uiPriority w:val="99"/>
    <w:rPr>
      <w:rFonts w:ascii="仿宋" w:hAnsi="仿宋" w:eastAsia="仿宋" w:cs="仿宋"/>
      <w:sz w:val="22"/>
      <w:szCs w:val="22"/>
      <w:lang w:val="zh-CN" w:eastAsia="zh-CN" w:bidi="zh-CN"/>
    </w:rPr>
  </w:style>
  <w:style w:type="paragraph" w:customStyle="1" w:styleId="24">
    <w:name w:val="修订5"/>
    <w:autoRedefine/>
    <w:hidden/>
    <w:semiHidden/>
    <w:qFormat/>
    <w:uiPriority w:val="99"/>
    <w:rPr>
      <w:rFonts w:ascii="仿宋" w:hAnsi="仿宋" w:eastAsia="仿宋" w:cs="仿宋"/>
      <w:sz w:val="22"/>
      <w:szCs w:val="22"/>
      <w:lang w:val="zh-CN" w:eastAsia="zh-CN" w:bidi="zh-CN"/>
    </w:rPr>
  </w:style>
  <w:style w:type="paragraph" w:customStyle="1" w:styleId="25">
    <w:name w:val="修订6"/>
    <w:autoRedefine/>
    <w:hidden/>
    <w:semiHidden/>
    <w:qFormat/>
    <w:uiPriority w:val="99"/>
    <w:rPr>
      <w:rFonts w:ascii="仿宋" w:hAnsi="仿宋" w:eastAsia="仿宋" w:cs="仿宋"/>
      <w:sz w:val="22"/>
      <w:szCs w:val="22"/>
      <w:lang w:val="zh-CN" w:eastAsia="zh-CN" w:bidi="zh-CN"/>
    </w:rPr>
  </w:style>
  <w:style w:type="paragraph" w:customStyle="1" w:styleId="26">
    <w:name w:val="修订7"/>
    <w:autoRedefine/>
    <w:hidden/>
    <w:semiHidden/>
    <w:qFormat/>
    <w:uiPriority w:val="99"/>
    <w:rPr>
      <w:rFonts w:ascii="仿宋" w:hAnsi="仿宋" w:eastAsia="仿宋" w:cs="仿宋"/>
      <w:sz w:val="22"/>
      <w:szCs w:val="22"/>
      <w:lang w:val="zh-CN" w:eastAsia="zh-CN" w:bidi="zh-CN"/>
    </w:rPr>
  </w:style>
  <w:style w:type="paragraph" w:customStyle="1" w:styleId="27">
    <w:name w:val="修订8"/>
    <w:autoRedefine/>
    <w:hidden/>
    <w:semiHidden/>
    <w:qFormat/>
    <w:uiPriority w:val="99"/>
    <w:rPr>
      <w:rFonts w:ascii="仿宋" w:hAnsi="仿宋" w:eastAsia="仿宋" w:cs="仿宋"/>
      <w:sz w:val="22"/>
      <w:szCs w:val="22"/>
      <w:lang w:val="zh-CN" w:eastAsia="zh-CN" w:bidi="zh-CN"/>
    </w:rPr>
  </w:style>
  <w:style w:type="paragraph" w:customStyle="1" w:styleId="28">
    <w:name w:val="修订9"/>
    <w:autoRedefine/>
    <w:hidden/>
    <w:semiHidden/>
    <w:qFormat/>
    <w:uiPriority w:val="99"/>
    <w:rPr>
      <w:rFonts w:ascii="仿宋" w:hAnsi="仿宋" w:eastAsia="仿宋" w:cs="仿宋"/>
      <w:sz w:val="22"/>
      <w:szCs w:val="22"/>
      <w:lang w:val="zh-CN" w:eastAsia="zh-CN" w:bidi="zh-CN"/>
    </w:rPr>
  </w:style>
  <w:style w:type="paragraph" w:customStyle="1" w:styleId="29">
    <w:name w:val="修订10"/>
    <w:autoRedefine/>
    <w:hidden/>
    <w:semiHidden/>
    <w:qFormat/>
    <w:uiPriority w:val="99"/>
    <w:rPr>
      <w:rFonts w:ascii="仿宋" w:hAnsi="仿宋" w:eastAsia="仿宋" w:cs="仿宋"/>
      <w:sz w:val="22"/>
      <w:szCs w:val="22"/>
      <w:lang w:val="zh-CN" w:eastAsia="zh-CN" w:bidi="zh-CN"/>
    </w:rPr>
  </w:style>
  <w:style w:type="paragraph" w:customStyle="1" w:styleId="30">
    <w:name w:val="修订11"/>
    <w:autoRedefine/>
    <w:hidden/>
    <w:semiHidden/>
    <w:qFormat/>
    <w:uiPriority w:val="99"/>
    <w:rPr>
      <w:rFonts w:ascii="仿宋" w:hAnsi="仿宋" w:eastAsia="仿宋" w:cs="仿宋"/>
      <w:sz w:val="22"/>
      <w:szCs w:val="22"/>
      <w:lang w:val="zh-CN" w:eastAsia="zh-CN" w:bidi="zh-CN"/>
    </w:rPr>
  </w:style>
  <w:style w:type="paragraph" w:customStyle="1" w:styleId="31">
    <w:name w:val="修订12"/>
    <w:autoRedefine/>
    <w:hidden/>
    <w:semiHidden/>
    <w:qFormat/>
    <w:uiPriority w:val="99"/>
    <w:rPr>
      <w:rFonts w:ascii="仿宋" w:hAnsi="仿宋" w:eastAsia="仿宋" w:cs="仿宋"/>
      <w:sz w:val="22"/>
      <w:szCs w:val="22"/>
      <w:lang w:val="zh-CN" w:eastAsia="zh-CN" w:bidi="zh-CN"/>
    </w:rPr>
  </w:style>
  <w:style w:type="paragraph" w:customStyle="1" w:styleId="32">
    <w:name w:val="修订13"/>
    <w:autoRedefine/>
    <w:hidden/>
    <w:semiHidden/>
    <w:qFormat/>
    <w:uiPriority w:val="99"/>
    <w:rPr>
      <w:rFonts w:ascii="仿宋" w:hAnsi="仿宋" w:eastAsia="仿宋" w:cs="仿宋"/>
      <w:sz w:val="22"/>
      <w:szCs w:val="22"/>
      <w:lang w:val="zh-CN" w:eastAsia="zh-CN" w:bidi="zh-CN"/>
    </w:rPr>
  </w:style>
  <w:style w:type="paragraph" w:customStyle="1" w:styleId="33">
    <w:name w:val="修订14"/>
    <w:autoRedefine/>
    <w:hidden/>
    <w:semiHidden/>
    <w:qFormat/>
    <w:uiPriority w:val="99"/>
    <w:rPr>
      <w:rFonts w:ascii="仿宋" w:hAnsi="仿宋" w:eastAsia="仿宋" w:cs="仿宋"/>
      <w:sz w:val="22"/>
      <w:szCs w:val="22"/>
      <w:lang w:val="zh-CN" w:eastAsia="zh-CN" w:bidi="zh-CN"/>
    </w:rPr>
  </w:style>
  <w:style w:type="paragraph" w:customStyle="1" w:styleId="34">
    <w:name w:val="修订15"/>
    <w:autoRedefine/>
    <w:hidden/>
    <w:semiHidden/>
    <w:qFormat/>
    <w:uiPriority w:val="99"/>
    <w:rPr>
      <w:rFonts w:ascii="仿宋" w:hAnsi="仿宋" w:eastAsia="仿宋" w:cs="仿宋"/>
      <w:sz w:val="22"/>
      <w:szCs w:val="22"/>
      <w:lang w:val="zh-CN" w:eastAsia="zh-CN" w:bidi="zh-CN"/>
    </w:rPr>
  </w:style>
  <w:style w:type="paragraph" w:customStyle="1" w:styleId="35">
    <w:name w:val="修订16"/>
    <w:autoRedefine/>
    <w:hidden/>
    <w:semiHidden/>
    <w:qFormat/>
    <w:uiPriority w:val="99"/>
    <w:rPr>
      <w:rFonts w:ascii="仿宋" w:hAnsi="仿宋" w:eastAsia="仿宋" w:cs="仿宋"/>
      <w:sz w:val="22"/>
      <w:szCs w:val="22"/>
      <w:lang w:val="zh-CN" w:eastAsia="zh-CN" w:bidi="zh-CN"/>
    </w:rPr>
  </w:style>
  <w:style w:type="paragraph" w:customStyle="1" w:styleId="36">
    <w:name w:val="修订17"/>
    <w:autoRedefine/>
    <w:hidden/>
    <w:semiHidden/>
    <w:qFormat/>
    <w:uiPriority w:val="99"/>
    <w:rPr>
      <w:rFonts w:ascii="仿宋" w:hAnsi="仿宋" w:eastAsia="仿宋" w:cs="仿宋"/>
      <w:sz w:val="22"/>
      <w:szCs w:val="22"/>
      <w:lang w:val="zh-CN" w:eastAsia="zh-CN" w:bidi="zh-CN"/>
    </w:rPr>
  </w:style>
  <w:style w:type="paragraph" w:customStyle="1" w:styleId="37">
    <w:name w:val="修订18"/>
    <w:autoRedefine/>
    <w:hidden/>
    <w:semiHidden/>
    <w:qFormat/>
    <w:uiPriority w:val="99"/>
    <w:rPr>
      <w:rFonts w:ascii="仿宋" w:hAnsi="仿宋" w:eastAsia="仿宋" w:cs="仿宋"/>
      <w:sz w:val="22"/>
      <w:szCs w:val="22"/>
      <w:lang w:val="zh-CN" w:eastAsia="zh-CN" w:bidi="zh-CN"/>
    </w:rPr>
  </w:style>
  <w:style w:type="paragraph" w:customStyle="1" w:styleId="38">
    <w:name w:val="修订19"/>
    <w:autoRedefine/>
    <w:hidden/>
    <w:semiHidden/>
    <w:qFormat/>
    <w:uiPriority w:val="99"/>
    <w:rPr>
      <w:rFonts w:ascii="仿宋" w:hAnsi="仿宋" w:eastAsia="仿宋" w:cs="仿宋"/>
      <w:sz w:val="22"/>
      <w:szCs w:val="22"/>
      <w:lang w:val="zh-CN" w:eastAsia="zh-CN" w:bidi="zh-CN"/>
    </w:rPr>
  </w:style>
  <w:style w:type="paragraph" w:customStyle="1" w:styleId="39">
    <w:name w:val="修订20"/>
    <w:autoRedefine/>
    <w:hidden/>
    <w:semiHidden/>
    <w:qFormat/>
    <w:uiPriority w:val="99"/>
    <w:rPr>
      <w:rFonts w:ascii="仿宋" w:hAnsi="仿宋" w:eastAsia="仿宋" w:cs="仿宋"/>
      <w:sz w:val="22"/>
      <w:szCs w:val="22"/>
      <w:lang w:val="zh-CN" w:eastAsia="zh-CN" w:bidi="zh-CN"/>
    </w:rPr>
  </w:style>
  <w:style w:type="paragraph" w:customStyle="1" w:styleId="40">
    <w:name w:val="修订21"/>
    <w:autoRedefine/>
    <w:hidden/>
    <w:semiHidden/>
    <w:qFormat/>
    <w:uiPriority w:val="99"/>
    <w:rPr>
      <w:rFonts w:ascii="仿宋" w:hAnsi="仿宋" w:eastAsia="仿宋" w:cs="仿宋"/>
      <w:sz w:val="22"/>
      <w:szCs w:val="22"/>
      <w:lang w:val="zh-CN" w:eastAsia="zh-CN" w:bidi="zh-CN"/>
    </w:rPr>
  </w:style>
  <w:style w:type="paragraph" w:customStyle="1" w:styleId="41">
    <w:name w:val="修订22"/>
    <w:autoRedefine/>
    <w:hidden/>
    <w:unhideWhenUsed/>
    <w:qFormat/>
    <w:uiPriority w:val="99"/>
    <w:rPr>
      <w:rFonts w:ascii="仿宋" w:hAnsi="仿宋" w:eastAsia="仿宋" w:cs="仿宋"/>
      <w:sz w:val="22"/>
      <w:szCs w:val="22"/>
      <w:lang w:val="zh-CN" w:eastAsia="zh-CN" w:bidi="zh-CN"/>
    </w:rPr>
  </w:style>
  <w:style w:type="paragraph" w:customStyle="1" w:styleId="42">
    <w:name w:val="修订23"/>
    <w:autoRedefine/>
    <w:hidden/>
    <w:unhideWhenUsed/>
    <w:qFormat/>
    <w:uiPriority w:val="99"/>
    <w:rPr>
      <w:rFonts w:ascii="仿宋" w:hAnsi="仿宋" w:eastAsia="仿宋" w:cs="仿宋"/>
      <w:sz w:val="22"/>
      <w:szCs w:val="22"/>
      <w:lang w:val="zh-CN" w:eastAsia="zh-CN" w:bidi="zh-CN"/>
    </w:rPr>
  </w:style>
  <w:style w:type="paragraph" w:customStyle="1" w:styleId="43">
    <w:name w:val="修订24"/>
    <w:autoRedefine/>
    <w:hidden/>
    <w:unhideWhenUsed/>
    <w:qFormat/>
    <w:uiPriority w:val="99"/>
    <w:rPr>
      <w:rFonts w:ascii="仿宋" w:hAnsi="仿宋" w:eastAsia="仿宋" w:cs="仿宋"/>
      <w:sz w:val="22"/>
      <w:szCs w:val="22"/>
      <w:lang w:val="zh-CN" w:eastAsia="zh-CN" w:bidi="zh-CN"/>
    </w:rPr>
  </w:style>
  <w:style w:type="paragraph" w:customStyle="1" w:styleId="44">
    <w:name w:val="大象正文"/>
    <w:basedOn w:val="5"/>
    <w:autoRedefine/>
    <w:qFormat/>
    <w:uiPriority w:val="0"/>
    <w:pPr>
      <w:widowControl/>
      <w:spacing w:before="30" w:beforeLines="30" w:after="30" w:afterLines="30" w:line="360" w:lineRule="auto"/>
      <w:ind w:firstLine="420" w:firstLineChars="200"/>
    </w:pPr>
    <w:rPr>
      <w:rFonts w:hint="eastAsia" w:ascii="Times New Roman" w:hAnsi="Times New Roman" w:eastAsia="宋体" w:cs="Arial"/>
      <w:sz w:val="24"/>
      <w:szCs w:val="21"/>
    </w:rPr>
  </w:style>
  <w:style w:type="paragraph" w:customStyle="1" w:styleId="45">
    <w:name w:val="修订25"/>
    <w:autoRedefine/>
    <w:hidden/>
    <w:unhideWhenUsed/>
    <w:qFormat/>
    <w:uiPriority w:val="99"/>
    <w:rPr>
      <w:rFonts w:ascii="仿宋" w:hAnsi="仿宋" w:eastAsia="仿宋" w:cs="仿宋"/>
      <w:sz w:val="22"/>
      <w:szCs w:val="22"/>
      <w:lang w:val="zh-CN" w:eastAsia="zh-CN" w:bidi="zh-CN"/>
    </w:rPr>
  </w:style>
  <w:style w:type="paragraph" w:customStyle="1" w:styleId="46">
    <w:name w:val="修订26"/>
    <w:autoRedefine/>
    <w:hidden/>
    <w:unhideWhenUsed/>
    <w:qFormat/>
    <w:uiPriority w:val="99"/>
    <w:rPr>
      <w:rFonts w:ascii="仿宋" w:hAnsi="仿宋" w:eastAsia="仿宋" w:cs="仿宋"/>
      <w:sz w:val="22"/>
      <w:szCs w:val="22"/>
      <w:lang w:val="zh-CN" w:eastAsia="zh-CN" w:bidi="zh-CN"/>
    </w:rPr>
  </w:style>
  <w:style w:type="paragraph" w:customStyle="1" w:styleId="47">
    <w:name w:val="修订27"/>
    <w:autoRedefine/>
    <w:hidden/>
    <w:unhideWhenUsed/>
    <w:qFormat/>
    <w:uiPriority w:val="99"/>
    <w:rPr>
      <w:rFonts w:ascii="仿宋" w:hAnsi="仿宋" w:eastAsia="仿宋" w:cs="仿宋"/>
      <w:sz w:val="22"/>
      <w:szCs w:val="22"/>
      <w:lang w:val="zh-CN" w:eastAsia="zh-CN" w:bidi="zh-CN"/>
    </w:rPr>
  </w:style>
  <w:style w:type="paragraph" w:customStyle="1" w:styleId="48">
    <w:name w:val="修订28"/>
    <w:autoRedefine/>
    <w:hidden/>
    <w:unhideWhenUsed/>
    <w:qFormat/>
    <w:uiPriority w:val="99"/>
    <w:rPr>
      <w:rFonts w:ascii="仿宋" w:hAnsi="仿宋" w:eastAsia="仿宋" w:cs="仿宋"/>
      <w:sz w:val="22"/>
      <w:szCs w:val="22"/>
      <w:lang w:val="zh-CN" w:eastAsia="zh-CN" w:bidi="zh-CN"/>
    </w:rPr>
  </w:style>
  <w:style w:type="paragraph" w:customStyle="1" w:styleId="49">
    <w:name w:val="修订29"/>
    <w:autoRedefine/>
    <w:hidden/>
    <w:unhideWhenUsed/>
    <w:qFormat/>
    <w:uiPriority w:val="99"/>
    <w:rPr>
      <w:rFonts w:ascii="仿宋" w:hAnsi="仿宋" w:eastAsia="仿宋" w:cs="仿宋"/>
      <w:sz w:val="22"/>
      <w:szCs w:val="22"/>
      <w:lang w:val="zh-CN" w:eastAsia="zh-CN" w:bidi="zh-CN"/>
    </w:rPr>
  </w:style>
  <w:style w:type="paragraph" w:customStyle="1" w:styleId="50">
    <w:name w:val="修订30"/>
    <w:autoRedefine/>
    <w:hidden/>
    <w:unhideWhenUsed/>
    <w:qFormat/>
    <w:uiPriority w:val="99"/>
    <w:rPr>
      <w:rFonts w:ascii="仿宋" w:hAnsi="仿宋" w:eastAsia="仿宋" w:cs="仿宋"/>
      <w:sz w:val="22"/>
      <w:szCs w:val="22"/>
      <w:lang w:val="zh-CN" w:eastAsia="zh-CN" w:bidi="zh-CN"/>
    </w:rPr>
  </w:style>
  <w:style w:type="paragraph" w:customStyle="1" w:styleId="51">
    <w:name w:val="Revision"/>
    <w:autoRedefine/>
    <w:hidden/>
    <w:unhideWhenUsed/>
    <w:qFormat/>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102096\AppData\Roaming\Microsoft\Templates\SSEReport.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8E572-ED15-43CC-9A40-7E04648EF2D3}">
  <ds:schemaRefs/>
</ds:datastoreItem>
</file>

<file path=docProps/app.xml><?xml version="1.0" encoding="utf-8"?>
<Properties xmlns="http://schemas.openxmlformats.org/officeDocument/2006/extended-properties" xmlns:vt="http://schemas.openxmlformats.org/officeDocument/2006/docPropsVTypes">
  <Template>SSEReport</Template>
  <Pages>4</Pages>
  <Words>1976</Words>
  <Characters>2179</Characters>
  <Lines>14</Lines>
  <Paragraphs>4</Paragraphs>
  <TotalTime>158</TotalTime>
  <ScaleCrop>false</ScaleCrop>
  <LinksUpToDate>false</LinksUpToDate>
  <CharactersWithSpaces>2241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2022-06-03T20:33:00Z</dcterms:created>
  <dc:creator>jie.huang</dc:creator>
  <cp:lastModifiedBy>Samantha丶木子</cp:lastModifiedBy>
  <cp:lastPrinted>2024-05-24T08:57:00Z</cp:lastPrinted>
  <dcterms:modified xsi:type="dcterms:W3CDTF">2026-10-15T07:35:06Z</dcterms:modified>
  <cp:revision>471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97D85897F92F472A92D9C6C683E27893_13</vt:lpwstr>
  </property>
</Properties>
</file>