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609D">
      <w:pPr>
        <w:autoSpaceDE/>
        <w:autoSpaceDN/>
        <w:spacing w:line="360" w:lineRule="auto"/>
        <w:jc w:val="center"/>
        <w:outlineLvl w:val="0"/>
        <w:rPr>
          <w:rFonts w:ascii="Times New Roman" w:hAnsi="Times New Roman" w:eastAsia="宋体" w:cs="宋体"/>
          <w:b/>
          <w:bCs/>
          <w:spacing w:val="-3"/>
          <w:sz w:val="28"/>
          <w:szCs w:val="28"/>
          <w:lang w:eastAsia="zh-CN"/>
        </w:rPr>
      </w:pPr>
      <w:r>
        <w:rPr>
          <w:rFonts w:ascii="Times New Roman" w:hAnsi="Times New Roman" w:eastAsia="宋体" w:cs="宋体"/>
          <w:b/>
          <w:bCs/>
          <w:spacing w:val="-3"/>
          <w:sz w:val="28"/>
          <w:szCs w:val="28"/>
          <w:lang w:eastAsia="zh-CN"/>
        </w:rPr>
        <w:t>北京九州一轨环境科技股份有限公司</w:t>
      </w:r>
    </w:p>
    <w:p w14:paraId="5682AACC">
      <w:pPr>
        <w:autoSpaceDE/>
        <w:autoSpaceDN/>
        <w:spacing w:line="360" w:lineRule="auto"/>
        <w:jc w:val="center"/>
        <w:outlineLvl w:val="0"/>
        <w:rPr>
          <w:rFonts w:ascii="Times New Roman" w:hAnsi="Times New Roman" w:eastAsia="宋体" w:cs="宋体"/>
          <w:sz w:val="28"/>
          <w:szCs w:val="28"/>
          <w:lang w:eastAsia="zh-CN"/>
        </w:rPr>
      </w:pPr>
      <w:r>
        <w:rPr>
          <w:rFonts w:ascii="Times New Roman" w:hAnsi="Times New Roman" w:eastAsia="宋体" w:cs="宋体"/>
          <w:b/>
          <w:bCs/>
          <w:spacing w:val="-4"/>
          <w:sz w:val="28"/>
          <w:szCs w:val="28"/>
          <w:lang w:eastAsia="zh-CN"/>
        </w:rPr>
        <w:t>投资者关系活动记录表</w:t>
      </w:r>
    </w:p>
    <w:p w14:paraId="6DDF452C">
      <w:pPr>
        <w:spacing w:after="120" w:afterLines="50" w:line="360" w:lineRule="auto"/>
        <w:jc w:val="both"/>
        <w:rPr>
          <w:rFonts w:ascii="Times New Roman" w:hAnsi="Times New Roman" w:cs="Times New Roman" w:eastAsiaTheme="minorEastAsia"/>
          <w:sz w:val="24"/>
          <w:szCs w:val="24"/>
          <w:highlight w:val="yellow"/>
          <w:lang w:eastAsia="zh-CN"/>
        </w:rPr>
      </w:pPr>
      <w:r>
        <w:rPr>
          <w:rFonts w:ascii="Times New Roman" w:hAnsi="Times New Roman" w:eastAsia="宋体" w:cs="宋体"/>
          <w:b/>
          <w:bCs/>
          <w:sz w:val="24"/>
          <w:szCs w:val="24"/>
          <w:lang w:eastAsia="zh-CN"/>
        </w:rPr>
        <w:t>证券简称：</w:t>
      </w:r>
      <w:r>
        <w:rPr>
          <w:rFonts w:ascii="Times New Roman" w:hAnsi="Times New Roman" w:eastAsia="宋体" w:cs="宋体"/>
          <w:sz w:val="24"/>
          <w:szCs w:val="24"/>
          <w:lang w:eastAsia="zh-CN"/>
        </w:rPr>
        <w:t>九州一轨</w:t>
      </w:r>
      <w:r>
        <w:rPr>
          <w:rFonts w:hint="eastAsia" w:ascii="Times New Roman" w:hAnsi="Times New Roman" w:eastAsia="宋体" w:cs="宋体"/>
          <w:b/>
          <w:bCs/>
          <w:sz w:val="24"/>
          <w:szCs w:val="24"/>
          <w:lang w:eastAsia="zh-CN"/>
        </w:rPr>
        <w:t xml:space="preserve">         </w:t>
      </w:r>
      <w:r>
        <w:rPr>
          <w:rFonts w:ascii="Times New Roman" w:hAnsi="Times New Roman" w:eastAsia="宋体" w:cs="宋体"/>
          <w:b/>
          <w:bCs/>
          <w:sz w:val="24"/>
          <w:szCs w:val="24"/>
          <w:lang w:eastAsia="zh-CN"/>
        </w:rPr>
        <w:t>证券代</w:t>
      </w:r>
      <w:r>
        <w:rPr>
          <w:rFonts w:ascii="Times New Roman" w:hAnsi="Times New Roman" w:eastAsia="宋体" w:cs="宋体"/>
          <w:b/>
          <w:bCs/>
          <w:spacing w:val="-1"/>
          <w:sz w:val="24"/>
          <w:szCs w:val="24"/>
          <w:lang w:eastAsia="zh-CN"/>
        </w:rPr>
        <w:t>码：</w:t>
      </w:r>
      <w:r>
        <w:rPr>
          <w:rFonts w:ascii="Times New Roman" w:hAnsi="Times New Roman" w:eastAsia="Times New Roman" w:cs="Times New Roman"/>
          <w:spacing w:val="-1"/>
          <w:sz w:val="24"/>
          <w:szCs w:val="24"/>
          <w:lang w:eastAsia="zh-CN"/>
        </w:rPr>
        <w:t>688485</w:t>
      </w:r>
      <w:r>
        <w:rPr>
          <w:rFonts w:hint="eastAsia" w:ascii="Times New Roman" w:hAnsi="Times New Roman" w:eastAsia="宋体" w:cs="Times New Roman"/>
          <w:b/>
          <w:bCs/>
          <w:spacing w:val="-1"/>
          <w:sz w:val="24"/>
          <w:szCs w:val="24"/>
          <w:lang w:eastAsia="zh-CN"/>
        </w:rPr>
        <w:t xml:space="preserve">             </w:t>
      </w:r>
      <w:r>
        <w:rPr>
          <w:rFonts w:ascii="Times New Roman" w:hAnsi="Times New Roman" w:eastAsia="宋体" w:cs="宋体"/>
          <w:b/>
          <w:bCs/>
          <w:spacing w:val="-1"/>
          <w:sz w:val="24"/>
          <w:szCs w:val="24"/>
          <w:lang w:eastAsia="zh-CN"/>
        </w:rPr>
        <w:t>编号：</w:t>
      </w:r>
      <w:r>
        <w:rPr>
          <w:rFonts w:ascii="Times New Roman" w:hAnsi="Times New Roman" w:eastAsia="宋体" w:cs="Times New Roman"/>
          <w:spacing w:val="-1"/>
          <w:sz w:val="24"/>
          <w:szCs w:val="24"/>
          <w:lang w:eastAsia="zh-CN"/>
        </w:rPr>
        <w:t>202</w:t>
      </w:r>
      <w:r>
        <w:rPr>
          <w:rFonts w:hint="eastAsia" w:ascii="Times New Roman" w:hAnsi="Times New Roman" w:eastAsia="宋体" w:cs="Times New Roman"/>
          <w:spacing w:val="-1"/>
          <w:sz w:val="24"/>
          <w:szCs w:val="24"/>
          <w:lang w:eastAsia="zh-CN"/>
        </w:rPr>
        <w:t>6</w:t>
      </w:r>
      <w:r>
        <w:rPr>
          <w:rFonts w:ascii="Times New Roman" w:hAnsi="Times New Roman" w:eastAsia="宋体" w:cs="Times New Roman"/>
          <w:spacing w:val="-1"/>
          <w:sz w:val="24"/>
          <w:szCs w:val="24"/>
          <w:lang w:eastAsia="zh-CN"/>
        </w:rPr>
        <w:t>-0</w:t>
      </w:r>
      <w:r>
        <w:rPr>
          <w:rFonts w:hint="eastAsia" w:ascii="Times New Roman" w:hAnsi="Times New Roman" w:eastAsia="宋体" w:cs="Times New Roman"/>
          <w:spacing w:val="-1"/>
          <w:sz w:val="24"/>
          <w:szCs w:val="24"/>
          <w:lang w:eastAsia="zh-CN"/>
        </w:rPr>
        <w:t>04</w:t>
      </w:r>
    </w:p>
    <w:tbl>
      <w:tblPr>
        <w:tblStyle w:val="15"/>
        <w:tblW w:w="8295"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1"/>
        <w:gridCol w:w="3189"/>
        <w:gridCol w:w="2935"/>
      </w:tblGrid>
      <w:tr w14:paraId="7AD1C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171" w:type="dxa"/>
            <w:vAlign w:val="center"/>
          </w:tcPr>
          <w:p w14:paraId="6F8D41C5">
            <w:pPr>
              <w:pStyle w:val="16"/>
              <w:spacing w:line="360" w:lineRule="auto"/>
              <w:jc w:val="center"/>
              <w:rPr>
                <w:rFonts w:ascii="Times New Roman" w:hAnsi="Times New Roman"/>
                <w:b/>
                <w:bCs/>
              </w:rPr>
            </w:pPr>
            <w:r>
              <w:rPr>
                <w:rFonts w:hint="eastAsia" w:ascii="Times New Roman" w:hAnsi="Times New Roman"/>
                <w:b/>
                <w:bCs/>
              </w:rPr>
              <w:t>投资者关系活动类别</w:t>
            </w:r>
          </w:p>
        </w:tc>
        <w:tc>
          <w:tcPr>
            <w:tcW w:w="3189" w:type="dxa"/>
            <w:tcBorders>
              <w:bottom w:val="nil"/>
              <w:right w:val="nil"/>
            </w:tcBorders>
            <w:vAlign w:val="center"/>
          </w:tcPr>
          <w:p w14:paraId="6CD66F7D">
            <w:pPr>
              <w:pStyle w:val="16"/>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特定对象调研</w:t>
            </w:r>
          </w:p>
          <w:p w14:paraId="3C799993">
            <w:pPr>
              <w:pStyle w:val="16"/>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媒体采访</w:t>
            </w:r>
          </w:p>
          <w:p w14:paraId="0D74F8FF">
            <w:pPr>
              <w:pStyle w:val="16"/>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新闻发布会</w:t>
            </w:r>
          </w:p>
          <w:p w14:paraId="19211835">
            <w:pPr>
              <w:pStyle w:val="16"/>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rPr>
              <w:t>现场参观</w:t>
            </w:r>
          </w:p>
        </w:tc>
        <w:tc>
          <w:tcPr>
            <w:tcW w:w="2935" w:type="dxa"/>
            <w:tcBorders>
              <w:left w:val="nil"/>
              <w:bottom w:val="nil"/>
            </w:tcBorders>
            <w:vAlign w:val="center"/>
          </w:tcPr>
          <w:p w14:paraId="4F009989">
            <w:pPr>
              <w:pStyle w:val="16"/>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分析师会议</w:t>
            </w:r>
          </w:p>
          <w:p w14:paraId="01616EAD">
            <w:pPr>
              <w:pStyle w:val="16"/>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业绩说明会</w:t>
            </w:r>
          </w:p>
          <w:p w14:paraId="762AEE12">
            <w:pPr>
              <w:pStyle w:val="16"/>
              <w:tabs>
                <w:tab w:val="center" w:pos="1465"/>
              </w:tabs>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路演活动</w:t>
            </w:r>
          </w:p>
          <w:p w14:paraId="397800D4">
            <w:pPr>
              <w:pStyle w:val="16"/>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其他</w:t>
            </w:r>
          </w:p>
        </w:tc>
      </w:tr>
      <w:tr w14:paraId="73928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171" w:type="dxa"/>
            <w:vAlign w:val="center"/>
          </w:tcPr>
          <w:p w14:paraId="6615185F">
            <w:pPr>
              <w:pStyle w:val="16"/>
              <w:spacing w:line="360" w:lineRule="auto"/>
              <w:jc w:val="center"/>
              <w:rPr>
                <w:rFonts w:ascii="Times New Roman" w:hAnsi="Times New Roman"/>
                <w:lang w:eastAsia="zh-CN"/>
              </w:rPr>
            </w:pPr>
            <w:r>
              <w:rPr>
                <w:rFonts w:hint="eastAsia" w:ascii="Times New Roman" w:hAnsi="Times New Roman"/>
                <w:b/>
                <w:bCs/>
                <w:lang w:eastAsia="zh-CN"/>
              </w:rPr>
              <w:t>参与单位名称</w:t>
            </w:r>
          </w:p>
          <w:p w14:paraId="5254F3E4">
            <w:pPr>
              <w:pStyle w:val="16"/>
              <w:spacing w:line="360" w:lineRule="auto"/>
              <w:jc w:val="center"/>
              <w:rPr>
                <w:rFonts w:ascii="Times New Roman" w:hAnsi="Times New Roman"/>
                <w:lang w:eastAsia="zh-CN"/>
              </w:rPr>
            </w:pPr>
            <w:r>
              <w:rPr>
                <w:rFonts w:hint="eastAsia" w:ascii="Times New Roman" w:hAnsi="Times New Roman"/>
                <w:b/>
                <w:bCs/>
                <w:lang w:eastAsia="zh-CN"/>
              </w:rPr>
              <w:t>及人员姓名</w:t>
            </w:r>
          </w:p>
        </w:tc>
        <w:tc>
          <w:tcPr>
            <w:tcW w:w="6124" w:type="dxa"/>
            <w:gridSpan w:val="2"/>
            <w:vAlign w:val="center"/>
          </w:tcPr>
          <w:p w14:paraId="2742539D">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国寿股份 刘革峰</w:t>
            </w:r>
          </w:p>
          <w:p w14:paraId="4218155E">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国寿资产 姜盼宇</w:t>
            </w:r>
          </w:p>
          <w:p w14:paraId="58F0B06E">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国寿养老 黎阳</w:t>
            </w:r>
          </w:p>
          <w:p w14:paraId="7B1CA6C5">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国寿安保 孟亦佳</w:t>
            </w:r>
          </w:p>
          <w:p w14:paraId="35163485">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国寿安保 肖佳琪</w:t>
            </w:r>
          </w:p>
          <w:p w14:paraId="7C23B9E7">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平安基金 宁特林</w:t>
            </w:r>
          </w:p>
          <w:p w14:paraId="49A28C17">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平安基金 要文强</w:t>
            </w:r>
          </w:p>
          <w:p w14:paraId="75EF0C1C">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中信建投基金 钱博文</w:t>
            </w:r>
          </w:p>
          <w:p w14:paraId="12673764">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工银瑞信 张杭</w:t>
            </w:r>
          </w:p>
          <w:p w14:paraId="62CA7D7D">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广发基金 金泽润</w:t>
            </w:r>
          </w:p>
          <w:p w14:paraId="08992A9C">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新华资产 姜新月</w:t>
            </w:r>
          </w:p>
          <w:p w14:paraId="1770E59B">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新华资产 杨佳妮</w:t>
            </w:r>
          </w:p>
          <w:p w14:paraId="133EAC0E">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新华基金 李业彬</w:t>
            </w:r>
          </w:p>
          <w:p w14:paraId="4A7DEAC7">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建信养老 王国信</w:t>
            </w:r>
          </w:p>
          <w:p w14:paraId="56E2142B">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建信基金 许晴晖</w:t>
            </w:r>
          </w:p>
          <w:p w14:paraId="53BA7A54">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中汇人寿 孙海波</w:t>
            </w:r>
          </w:p>
          <w:p w14:paraId="4F91CCAE">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国联基金 蒙维洒</w:t>
            </w:r>
          </w:p>
          <w:p w14:paraId="64659DE8">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招商信诺 郁琦</w:t>
            </w:r>
          </w:p>
          <w:p w14:paraId="417A527E">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大家资产 曾文传</w:t>
            </w:r>
          </w:p>
          <w:p w14:paraId="78ACF069">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华商基金 商家宁</w:t>
            </w:r>
          </w:p>
          <w:p w14:paraId="1B7D0D7E">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诺安基金 李玉良</w:t>
            </w:r>
          </w:p>
          <w:p w14:paraId="1C6DB199">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鹏扬基金 邢浩</w:t>
            </w:r>
          </w:p>
          <w:p w14:paraId="74B721F6">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长盛基金 郭堃</w:t>
            </w:r>
          </w:p>
          <w:p w14:paraId="32963CFD">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长盛基金 赵万隆</w:t>
            </w:r>
          </w:p>
          <w:p w14:paraId="155F93CF">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浙商证券 王华君</w:t>
            </w:r>
          </w:p>
          <w:p w14:paraId="1723A9D2">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浙商证券 蒋逸</w:t>
            </w:r>
            <w:bookmarkStart w:id="2" w:name="_GoBack"/>
            <w:bookmarkEnd w:id="2"/>
          </w:p>
          <w:p w14:paraId="67EF2B13">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国联民生证券 李思韦</w:t>
            </w:r>
          </w:p>
          <w:p w14:paraId="286422DB">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西南证券 邰桂龙</w:t>
            </w:r>
          </w:p>
          <w:p w14:paraId="07047198">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国海证券 闫智</w:t>
            </w:r>
          </w:p>
          <w:p w14:paraId="5608C35E">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国泰海通 蔡昕妤</w:t>
            </w:r>
          </w:p>
          <w:p w14:paraId="7DECFDC2">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温氏投资 房志宇</w:t>
            </w:r>
          </w:p>
          <w:p w14:paraId="30771DDF">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禾永投资 顾义河</w:t>
            </w:r>
          </w:p>
          <w:p w14:paraId="3F431A00">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禾永投资 马哲峰</w:t>
            </w:r>
          </w:p>
          <w:p w14:paraId="5591B80F">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禾永投资 杨正陶</w:t>
            </w:r>
          </w:p>
          <w:p w14:paraId="25451CB8">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艳珍投资 王翔</w:t>
            </w:r>
          </w:p>
          <w:p w14:paraId="550EFCF3">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博普资产 刘世昌</w:t>
            </w:r>
          </w:p>
          <w:p w14:paraId="1CDCE10E">
            <w:pPr>
              <w:pStyle w:val="16"/>
              <w:autoSpaceDE/>
              <w:autoSpaceDN/>
              <w:spacing w:before="120" w:beforeLines="50" w:after="120" w:afterLines="50"/>
              <w:jc w:val="cente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上一世家 程浩楠</w:t>
            </w:r>
          </w:p>
        </w:tc>
      </w:tr>
      <w:tr w14:paraId="6A22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171" w:type="dxa"/>
            <w:vAlign w:val="center"/>
          </w:tcPr>
          <w:p w14:paraId="579C780A">
            <w:pPr>
              <w:pStyle w:val="16"/>
              <w:autoSpaceDE/>
              <w:autoSpaceDN/>
              <w:jc w:val="center"/>
              <w:rPr>
                <w:rFonts w:ascii="Times New Roman" w:hAnsi="Times New Roman"/>
              </w:rPr>
            </w:pPr>
            <w:r>
              <w:rPr>
                <w:rFonts w:hint="eastAsia" w:ascii="Times New Roman" w:hAnsi="Times New Roman"/>
                <w:b/>
                <w:bCs/>
              </w:rPr>
              <w:t>时间</w:t>
            </w:r>
          </w:p>
        </w:tc>
        <w:tc>
          <w:tcPr>
            <w:tcW w:w="6124" w:type="dxa"/>
            <w:gridSpan w:val="2"/>
          </w:tcPr>
          <w:p w14:paraId="28B60674">
            <w:pPr>
              <w:pStyle w:val="16"/>
              <w:autoSpaceDE/>
              <w:autoSpaceDN/>
              <w:spacing w:before="139" w:line="221" w:lineRule="auto"/>
              <w:jc w:val="center"/>
              <w:rPr>
                <w:rFonts w:ascii="Times New Roman" w:hAnsi="Times New Roman"/>
                <w:lang w:eastAsia="zh-CN"/>
              </w:rPr>
            </w:pPr>
            <w:r>
              <w:rPr>
                <w:rFonts w:hint="eastAsia" w:ascii="Times New Roman" w:hAnsi="Times New Roman"/>
                <w:lang w:eastAsia="zh-CN"/>
              </w:rPr>
              <w:t>2026年10月19日</w:t>
            </w:r>
          </w:p>
        </w:tc>
      </w:tr>
      <w:tr w14:paraId="1491B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71" w:type="dxa"/>
            <w:vAlign w:val="center"/>
          </w:tcPr>
          <w:p w14:paraId="43404B43">
            <w:pPr>
              <w:pStyle w:val="16"/>
              <w:autoSpaceDE/>
              <w:autoSpaceDN/>
              <w:jc w:val="center"/>
              <w:rPr>
                <w:rFonts w:ascii="Times New Roman" w:hAnsi="Times New Roman"/>
              </w:rPr>
            </w:pPr>
            <w:r>
              <w:rPr>
                <w:rFonts w:hint="eastAsia" w:ascii="Times New Roman" w:hAnsi="Times New Roman"/>
                <w:b/>
                <w:bCs/>
              </w:rPr>
              <w:t>地点</w:t>
            </w:r>
          </w:p>
        </w:tc>
        <w:tc>
          <w:tcPr>
            <w:tcW w:w="6124" w:type="dxa"/>
            <w:gridSpan w:val="2"/>
            <w:vAlign w:val="center"/>
          </w:tcPr>
          <w:p w14:paraId="149433BE">
            <w:pPr>
              <w:pStyle w:val="16"/>
              <w:spacing w:before="78" w:line="219" w:lineRule="auto"/>
              <w:jc w:val="center"/>
              <w:rPr>
                <w:rFonts w:ascii="Times New Roman" w:hAnsi="Times New Roman"/>
                <w:lang w:eastAsia="zh-CN"/>
              </w:rPr>
            </w:pPr>
            <w:r>
              <w:rPr>
                <w:rFonts w:hint="eastAsia" w:ascii="Times New Roman" w:hAnsi="Times New Roman"/>
                <w:lang w:eastAsia="zh-CN"/>
              </w:rPr>
              <w:t>北京</w:t>
            </w:r>
          </w:p>
        </w:tc>
      </w:tr>
      <w:tr w14:paraId="3AAFB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171" w:type="dxa"/>
            <w:vAlign w:val="center"/>
          </w:tcPr>
          <w:p w14:paraId="7859184F">
            <w:pPr>
              <w:pStyle w:val="16"/>
              <w:autoSpaceDE/>
              <w:autoSpaceDN/>
              <w:jc w:val="center"/>
              <w:rPr>
                <w:rFonts w:ascii="Times New Roman" w:hAnsi="Times New Roman"/>
                <w:lang w:eastAsia="zh-CN"/>
              </w:rPr>
            </w:pPr>
            <w:r>
              <w:rPr>
                <w:rFonts w:hint="eastAsia" w:ascii="Times New Roman" w:hAnsi="Times New Roman"/>
                <w:b/>
                <w:bCs/>
                <w:lang w:eastAsia="zh-CN"/>
              </w:rPr>
              <w:t>上市公司接待人员姓名</w:t>
            </w:r>
          </w:p>
        </w:tc>
        <w:tc>
          <w:tcPr>
            <w:tcW w:w="6124" w:type="dxa"/>
            <w:gridSpan w:val="2"/>
            <w:vAlign w:val="center"/>
          </w:tcPr>
          <w:p w14:paraId="42FE4C5C">
            <w:pPr>
              <w:pStyle w:val="16"/>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副总裁、子公司晶禧半导体总经理</w:t>
            </w:r>
            <w:r>
              <w:rPr>
                <w:rFonts w:ascii="Times New Roman" w:hAnsi="Times New Roman"/>
                <w:lang w:eastAsia="zh-CN"/>
              </w:rPr>
              <w:t xml:space="preserve"> </w:t>
            </w:r>
            <w:r>
              <w:rPr>
                <w:rFonts w:hint="eastAsia" w:ascii="Times New Roman" w:hAnsi="Times New Roman"/>
                <w:lang w:eastAsia="zh-CN"/>
              </w:rPr>
              <w:t>陶为银</w:t>
            </w:r>
          </w:p>
          <w:p w14:paraId="30C44675">
            <w:pPr>
              <w:pStyle w:val="16"/>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副总裁、财务总监兼董事会秘书</w:t>
            </w:r>
            <w:r>
              <w:rPr>
                <w:rFonts w:ascii="Times New Roman" w:hAnsi="Times New Roman"/>
                <w:lang w:eastAsia="zh-CN"/>
              </w:rPr>
              <w:t xml:space="preserve"> </w:t>
            </w:r>
            <w:r>
              <w:rPr>
                <w:rFonts w:hint="eastAsia" w:ascii="Times New Roman" w:hAnsi="Times New Roman"/>
                <w:lang w:eastAsia="zh-CN"/>
              </w:rPr>
              <w:t>张侃</w:t>
            </w:r>
          </w:p>
          <w:p w14:paraId="74CFB298">
            <w:pPr>
              <w:pStyle w:val="16"/>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子公司晶禧半导体执行董事兼常务副总经理</w:t>
            </w:r>
            <w:r>
              <w:rPr>
                <w:rFonts w:ascii="Times New Roman" w:hAnsi="Times New Roman"/>
                <w:lang w:eastAsia="zh-CN"/>
              </w:rPr>
              <w:t xml:space="preserve"> </w:t>
            </w:r>
            <w:r>
              <w:rPr>
                <w:rFonts w:hint="eastAsia" w:ascii="Times New Roman" w:hAnsi="Times New Roman"/>
                <w:lang w:eastAsia="zh-CN"/>
              </w:rPr>
              <w:t>林静</w:t>
            </w:r>
          </w:p>
          <w:p w14:paraId="3ED33D1C">
            <w:pPr>
              <w:pStyle w:val="16"/>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子公司晶禧半导体副总经理</w:t>
            </w:r>
            <w:r>
              <w:rPr>
                <w:rFonts w:ascii="Times New Roman" w:hAnsi="Times New Roman"/>
                <w:lang w:eastAsia="zh-CN"/>
              </w:rPr>
              <w:t xml:space="preserve"> </w:t>
            </w:r>
            <w:r>
              <w:rPr>
                <w:rFonts w:hint="eastAsia" w:ascii="Times New Roman" w:hAnsi="Times New Roman"/>
                <w:lang w:eastAsia="zh-CN"/>
              </w:rPr>
              <w:t>陶明远</w:t>
            </w:r>
          </w:p>
          <w:p w14:paraId="5F0364FB">
            <w:pPr>
              <w:pStyle w:val="16"/>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董事会办公室副主任、证券事务代表</w:t>
            </w:r>
            <w:r>
              <w:rPr>
                <w:rFonts w:ascii="Times New Roman" w:hAnsi="Times New Roman"/>
                <w:lang w:eastAsia="zh-CN"/>
              </w:rPr>
              <w:t xml:space="preserve"> </w:t>
            </w:r>
            <w:r>
              <w:rPr>
                <w:rFonts w:hint="eastAsia" w:ascii="Times New Roman" w:hAnsi="Times New Roman"/>
                <w:lang w:eastAsia="zh-CN"/>
              </w:rPr>
              <w:t>衡欢乐</w:t>
            </w:r>
          </w:p>
        </w:tc>
      </w:tr>
      <w:tr w14:paraId="24858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076E5011">
            <w:pPr>
              <w:pStyle w:val="16"/>
              <w:autoSpaceDE/>
              <w:autoSpaceDN/>
              <w:jc w:val="center"/>
              <w:rPr>
                <w:rFonts w:ascii="Times New Roman" w:hAnsi="Times New Roman"/>
                <w:lang w:eastAsia="zh-CN"/>
              </w:rPr>
            </w:pPr>
            <w:r>
              <w:rPr>
                <w:rFonts w:hint="eastAsia" w:ascii="Times New Roman" w:hAnsi="Times New Roman"/>
                <w:b/>
                <w:bCs/>
                <w:lang w:eastAsia="zh-CN"/>
              </w:rPr>
              <w:t>投资者关系活动主要内容介绍</w:t>
            </w:r>
          </w:p>
        </w:tc>
        <w:tc>
          <w:tcPr>
            <w:tcW w:w="6124" w:type="dxa"/>
            <w:gridSpan w:val="2"/>
          </w:tcPr>
          <w:p w14:paraId="45050F95">
            <w:pPr>
              <w:pStyle w:val="17"/>
              <w:spacing w:before="120" w:beforeLines="50" w:after="120" w:afterLines="50"/>
              <w:ind w:right="23" w:firstLine="482" w:firstLineChars="200"/>
              <w:jc w:val="both"/>
              <w:rPr>
                <w:rFonts w:ascii="Times New Roman" w:hAnsi="Times New Roman"/>
                <w:b/>
                <w:bCs/>
                <w:sz w:val="24"/>
                <w:szCs w:val="24"/>
              </w:rPr>
            </w:pPr>
            <w:r>
              <w:rPr>
                <w:rFonts w:hint="eastAsia" w:ascii="Times New Roman" w:hAnsi="Times New Roman"/>
                <w:b/>
                <w:bCs/>
                <w:sz w:val="24"/>
                <w:szCs w:val="24"/>
              </w:rPr>
              <w:t>一、请介绍公司基本情况？</w:t>
            </w:r>
            <w:r>
              <w:rPr>
                <w:rFonts w:ascii="Times New Roman" w:hAnsi="Times New Roman"/>
                <w:b/>
                <w:bCs/>
                <w:sz w:val="24"/>
                <w:szCs w:val="24"/>
              </w:rPr>
              <w:t>公司自成立以来经历了哪些主要发展阶段？</w:t>
            </w:r>
          </w:p>
          <w:p w14:paraId="2481D66B">
            <w:pPr>
              <w:pStyle w:val="17"/>
              <w:ind w:left="23" w:right="23" w:firstLine="480" w:firstLineChars="200"/>
              <w:jc w:val="both"/>
              <w:rPr>
                <w:rFonts w:ascii="宋体" w:hAnsi="宋体" w:eastAsia="宋体" w:cs="宋体"/>
                <w:sz w:val="24"/>
                <w:szCs w:val="24"/>
              </w:rPr>
            </w:pPr>
            <w:r>
              <w:rPr>
                <w:rFonts w:hint="eastAsia" w:ascii="Times New Roman" w:hAnsi="Times New Roman"/>
                <w:sz w:val="24"/>
                <w:szCs w:val="24"/>
              </w:rPr>
              <w:t>回复：</w:t>
            </w:r>
          </w:p>
          <w:p w14:paraId="537520E0">
            <w:pPr>
              <w:pStyle w:val="17"/>
              <w:spacing w:before="120" w:beforeLines="50" w:after="120" w:afterLines="50"/>
              <w:ind w:right="23" w:firstLine="480" w:firstLineChars="200"/>
              <w:jc w:val="both"/>
              <w:rPr>
                <w:rFonts w:ascii="Times New Roman" w:hAnsi="Times New Roman"/>
                <w:sz w:val="24"/>
                <w:szCs w:val="24"/>
              </w:rPr>
            </w:pPr>
            <w:r>
              <w:rPr>
                <w:rFonts w:ascii="宋体" w:hAnsi="宋体" w:eastAsia="宋体" w:cs="宋体"/>
                <w:sz w:val="24"/>
                <w:szCs w:val="24"/>
              </w:rPr>
              <w:t>北京九州一轨环境科技股份有限公司（以下简称“公 司”或“九州一轨”）</w:t>
            </w:r>
            <w:r>
              <w:rPr>
                <w:rFonts w:hint="eastAsia" w:ascii="Times New Roman" w:hAnsi="Times New Roman"/>
                <w:sz w:val="24"/>
                <w:szCs w:val="24"/>
              </w:rPr>
              <w:t>成立于</w:t>
            </w:r>
            <w:r>
              <w:rPr>
                <w:rFonts w:ascii="Times New Roman" w:hAnsi="Times New Roman"/>
                <w:sz w:val="24"/>
                <w:szCs w:val="24"/>
              </w:rPr>
              <w:t>2010</w:t>
            </w:r>
            <w:r>
              <w:rPr>
                <w:rFonts w:hint="eastAsia" w:ascii="Times New Roman" w:hAnsi="Times New Roman"/>
                <w:sz w:val="24"/>
                <w:szCs w:val="24"/>
              </w:rPr>
              <w:t>年，最初以轨道交通阻尼钢弹簧浮置道床隔振技术的科技成果转化为基础，逐步实现相关技术及产品的产业化应用。随着业务规模和产品体系不断完善，公司持续拓展减振降噪产品及技术服务的应用范围，并于</w:t>
            </w:r>
            <w:r>
              <w:rPr>
                <w:rFonts w:ascii="Times New Roman" w:hAnsi="Times New Roman"/>
                <w:sz w:val="24"/>
                <w:szCs w:val="24"/>
              </w:rPr>
              <w:t>2023</w:t>
            </w:r>
            <w:r>
              <w:rPr>
                <w:rFonts w:hint="eastAsia" w:ascii="Times New Roman" w:hAnsi="Times New Roman"/>
                <w:sz w:val="24"/>
                <w:szCs w:val="24"/>
              </w:rPr>
              <w:t>年</w:t>
            </w:r>
            <w:r>
              <w:rPr>
                <w:rFonts w:ascii="Times New Roman" w:hAnsi="Times New Roman"/>
                <w:sz w:val="24"/>
                <w:szCs w:val="24"/>
              </w:rPr>
              <w:t>1</w:t>
            </w:r>
            <w:r>
              <w:rPr>
                <w:rFonts w:hint="eastAsia" w:ascii="Times New Roman" w:hAnsi="Times New Roman"/>
                <w:sz w:val="24"/>
                <w:szCs w:val="24"/>
              </w:rPr>
              <w:t>月</w:t>
            </w:r>
            <w:r>
              <w:rPr>
                <w:rFonts w:ascii="Times New Roman" w:hAnsi="Times New Roman"/>
                <w:sz w:val="24"/>
                <w:szCs w:val="24"/>
              </w:rPr>
              <w:t>18</w:t>
            </w:r>
            <w:r>
              <w:rPr>
                <w:rFonts w:hint="eastAsia" w:ascii="Times New Roman" w:hAnsi="Times New Roman"/>
                <w:sz w:val="24"/>
                <w:szCs w:val="24"/>
              </w:rPr>
              <w:t>日在上海证券交易所科创板上市。</w:t>
            </w:r>
          </w:p>
          <w:p w14:paraId="3E83ED7D">
            <w:pPr>
              <w:pStyle w:val="17"/>
              <w:spacing w:before="120" w:beforeLines="50" w:after="120" w:afterLines="50"/>
              <w:ind w:right="23" w:firstLine="480" w:firstLineChars="200"/>
              <w:jc w:val="both"/>
              <w:rPr>
                <w:rFonts w:ascii="Times New Roman" w:hAnsi="Times New Roman"/>
                <w:sz w:val="24"/>
                <w:szCs w:val="24"/>
              </w:rPr>
            </w:pPr>
            <w:r>
              <w:rPr>
                <w:rFonts w:hint="eastAsia" w:ascii="Times New Roman" w:hAnsi="Times New Roman"/>
                <w:sz w:val="24"/>
                <w:szCs w:val="24"/>
              </w:rPr>
              <w:t>在业务发展过程中，</w:t>
            </w:r>
            <w:r>
              <w:rPr>
                <w:rFonts w:ascii="Times New Roman" w:hAnsi="Times New Roman"/>
                <w:sz w:val="24"/>
                <w:szCs w:val="24"/>
              </w:rPr>
              <w:t>公司在持续深耕轨道交通减振降噪领域的基础上，逐步向声纹数字化监测及智慧运维等方向延伸，推动业务由传统减振降噪产品及技术服务向声纹监测、智能诊断及智慧运维等领域拓展，逐步形成以声学研究为基础、减振降噪物理防治与声纹诊断开发协同发展的业务格局。</w:t>
            </w:r>
          </w:p>
          <w:p w14:paraId="2FC007F7">
            <w:pPr>
              <w:pStyle w:val="17"/>
              <w:spacing w:before="120" w:beforeLines="50" w:after="120" w:afterLines="50"/>
              <w:ind w:left="23" w:right="23" w:firstLine="480" w:firstLineChars="200"/>
              <w:jc w:val="both"/>
              <w:rPr>
                <w:rFonts w:ascii="Times New Roman" w:hAnsi="Times New Roman"/>
                <w:sz w:val="24"/>
                <w:szCs w:val="24"/>
              </w:rPr>
            </w:pPr>
            <w:r>
              <w:rPr>
                <w:rFonts w:hint="eastAsia" w:ascii="Times New Roman" w:hAnsi="Times New Roman"/>
                <w:sz w:val="24"/>
                <w:szCs w:val="24"/>
              </w:rPr>
              <w:t>在持续研发实践中，公司明确声纹数字化监测的核心竞争力集中于算法迭代优化与硬件适配集成能力，并围绕“光纤传感+声纹识别”的数字化监测方向持续推进相关技术研发。基于技术研发及产业链布局需求，公司在持续推进原有业务发展的同时，</w:t>
            </w:r>
            <w:r>
              <w:rPr>
                <w:rFonts w:hint="eastAsia" w:ascii="Times New Roman" w:hAnsi="Times New Roman"/>
                <w:sz w:val="24"/>
                <w:szCs w:val="24"/>
                <w:lang w:val="en-US" w:eastAsia="zh-CN"/>
              </w:rPr>
              <w:t>2026年通过收购苏州晶禧半导体科技有限公司</w:t>
            </w:r>
            <w:r>
              <w:rPr>
                <w:rFonts w:hint="eastAsia" w:ascii="Times New Roman" w:hAnsi="Times New Roman"/>
                <w:sz w:val="24"/>
                <w:szCs w:val="24"/>
              </w:rPr>
              <w:t>（以下简称“晶禧半导体”）进一步拓展半导体精密加工业务，逐步丰富公司的业务体系。</w:t>
            </w:r>
          </w:p>
          <w:p w14:paraId="393F09F5">
            <w:pPr>
              <w:pStyle w:val="17"/>
              <w:spacing w:before="120" w:beforeLines="50" w:after="120" w:afterLines="50"/>
              <w:ind w:left="23" w:right="23" w:firstLine="482" w:firstLineChars="200"/>
              <w:jc w:val="both"/>
              <w:rPr>
                <w:rFonts w:ascii="Times New Roman" w:hAnsi="Times New Roman"/>
                <w:b/>
                <w:bCs/>
                <w:sz w:val="24"/>
                <w:szCs w:val="24"/>
              </w:rPr>
            </w:pPr>
            <w:r>
              <w:rPr>
                <w:rFonts w:hint="eastAsia" w:ascii="Times New Roman" w:hAnsi="Times New Roman"/>
                <w:b/>
                <w:bCs/>
                <w:sz w:val="24"/>
                <w:szCs w:val="24"/>
              </w:rPr>
              <w:t>二、请介绍公司的研发模式？</w:t>
            </w:r>
          </w:p>
          <w:p w14:paraId="07A73993">
            <w:pPr>
              <w:pStyle w:val="17"/>
              <w:spacing w:before="120" w:beforeLines="50" w:after="120" w:afterLines="50"/>
              <w:ind w:left="23" w:right="23" w:firstLine="480" w:firstLineChars="200"/>
              <w:jc w:val="both"/>
              <w:rPr>
                <w:rFonts w:ascii="Times New Roman" w:hAnsi="Times New Roman"/>
                <w:sz w:val="24"/>
                <w:szCs w:val="24"/>
              </w:rPr>
            </w:pPr>
            <w:r>
              <w:rPr>
                <w:rFonts w:hint="eastAsia" w:ascii="Times New Roman" w:hAnsi="Times New Roman"/>
                <w:sz w:val="24"/>
                <w:szCs w:val="24"/>
              </w:rPr>
              <w:t>回复：</w:t>
            </w:r>
          </w:p>
          <w:p w14:paraId="53087563">
            <w:pPr>
              <w:pStyle w:val="17"/>
              <w:spacing w:before="120" w:beforeLines="50" w:after="120" w:afterLines="50"/>
              <w:ind w:left="23" w:right="23" w:firstLine="480" w:firstLineChars="200"/>
              <w:jc w:val="both"/>
              <w:rPr>
                <w:rFonts w:ascii="Times New Roman" w:hAnsi="Times New Roman"/>
                <w:sz w:val="24"/>
                <w:szCs w:val="24"/>
              </w:rPr>
            </w:pPr>
            <w:r>
              <w:rPr>
                <w:rFonts w:hint="eastAsia" w:ascii="Times New Roman" w:hAnsi="Times New Roman"/>
                <w:sz w:val="24"/>
                <w:szCs w:val="24"/>
              </w:rPr>
              <w:t>公司坚持以需求为导向的自主研发策略，打造不断循环修正的“需求目标-参数确定-硬件开发-算法研制-软件开发-设备联调-现场验证-系统优化”的技术路线。公司研发注重市场调研，坚持产学研用一体化，研发需求主要来自客户、一线员工等方面的市场反馈，并由总工程师办公室组织技术专家对项目立项、重大技术方案、研发进度等关键环节进行统筹管理。在技术研发方面，公司主要围绕“声纹监测和智慧运维”方向，依托多学科专业科研团队及积累的城市轨道交通工务运维和声纹监测数据，提出了基于多元数据融合分析技术的轨道结构病害识别方法及以设备可靠性为中心的维修管理方法（RCM），实现设备设施病害的“早发现、早预警、早处置”。同时，公司重视自主研发和知识产权保护，持续推动技术成果向专利和系列化产品转化。</w:t>
            </w:r>
          </w:p>
          <w:p w14:paraId="75DB6626">
            <w:pPr>
              <w:pStyle w:val="17"/>
              <w:spacing w:before="120" w:beforeLines="50" w:after="120" w:afterLines="50"/>
              <w:ind w:left="23" w:right="23" w:firstLine="480" w:firstLineChars="200"/>
              <w:jc w:val="both"/>
              <w:rPr>
                <w:rFonts w:ascii="Times New Roman" w:hAnsi="Times New Roman"/>
                <w:sz w:val="24"/>
                <w:szCs w:val="24"/>
              </w:rPr>
            </w:pPr>
            <w:r>
              <w:rPr>
                <w:rFonts w:hint="eastAsia" w:ascii="Times New Roman" w:hAnsi="Times New Roman"/>
                <w:sz w:val="24"/>
                <w:szCs w:val="24"/>
              </w:rPr>
              <w:t>在半导体精密加工领域，全资子公司晶禧半导体依托“设计阶段介入”的深度协同服务模式，在客户芯片设计阶段即介入工艺评估与优化，围绕高精度激光隐形切割及配套精密加工工艺开展技术研发与工艺优化，推动工艺开发与客户产品加工及量产需求相匹配。</w:t>
            </w:r>
          </w:p>
          <w:p w14:paraId="493C41D8">
            <w:pPr>
              <w:pStyle w:val="17"/>
              <w:overflowPunct w:val="0"/>
              <w:spacing w:before="120" w:beforeLines="50" w:after="120" w:afterLines="50"/>
              <w:ind w:left="23" w:right="23" w:firstLine="482" w:firstLineChars="200"/>
              <w:jc w:val="both"/>
              <w:rPr>
                <w:rFonts w:ascii="Times New Roman" w:hAnsi="Times New Roman"/>
                <w:b/>
                <w:bCs/>
                <w:sz w:val="24"/>
                <w:szCs w:val="24"/>
              </w:rPr>
            </w:pPr>
            <w:r>
              <w:rPr>
                <w:rFonts w:hint="eastAsia" w:ascii="Times New Roman" w:hAnsi="Times New Roman"/>
                <w:b/>
                <w:bCs/>
                <w:sz w:val="24"/>
                <w:szCs w:val="24"/>
              </w:rPr>
              <w:t>三、公司目前重点在研项目有哪些，分别对应什么应用方向？</w:t>
            </w:r>
          </w:p>
          <w:p w14:paraId="583BBD68">
            <w:pPr>
              <w:pStyle w:val="17"/>
              <w:ind w:left="23" w:right="23" w:firstLine="480" w:firstLineChars="200"/>
              <w:jc w:val="both"/>
              <w:rPr>
                <w:rFonts w:ascii="Times New Roman" w:hAnsi="Times New Roman"/>
                <w:sz w:val="24"/>
                <w:szCs w:val="24"/>
              </w:rPr>
            </w:pPr>
            <w:r>
              <w:rPr>
                <w:rFonts w:hint="eastAsia" w:ascii="Times New Roman" w:hAnsi="Times New Roman"/>
                <w:sz w:val="24"/>
                <w:szCs w:val="24"/>
              </w:rPr>
              <w:t>回复：</w:t>
            </w:r>
          </w:p>
          <w:p w14:paraId="577BBF3E">
            <w:pPr>
              <w:kinsoku/>
              <w:overflowPunct w:val="0"/>
              <w:spacing w:before="120" w:beforeLines="50" w:after="120" w:afterLines="50"/>
              <w:ind w:firstLine="480" w:firstLineChars="200"/>
              <w:jc w:val="both"/>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截至2026年6月30日，公司主要围绕减振降噪、声纹监测与智慧运维、半导体晶圆精密加工等方向开展研发工作，相关项目进展已在公司2026年半年度报告中披露。</w:t>
            </w:r>
          </w:p>
          <w:p w14:paraId="1292C0F5">
            <w:pPr>
              <w:kinsoku/>
              <w:overflowPunct w:val="0"/>
              <w:spacing w:before="120" w:beforeLines="50" w:after="120" w:afterLines="50"/>
              <w:ind w:firstLine="480" w:firstLineChars="200"/>
              <w:jc w:val="both"/>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在减振降噪方面，公司重点开展“浮置板典型病害治理技术研究与应用”“城轨运营线减振降噪升级改造成套技术研究”等项目，主要面向城市轨道交通浮置板病害治理及既有线路减振降噪升级改造等应用场景；在声纹监测与智慧运维方面，公司持续推进“轨道声纹指标工程化应用软件开发”“</w:t>
            </w:r>
            <w:bookmarkStart w:id="0" w:name="OLE_LINK2"/>
            <w:r>
              <w:rPr>
                <w:rFonts w:hint="eastAsia" w:ascii="Times New Roman" w:hAnsi="Times New Roman" w:eastAsia="宋体" w:cs="宋体"/>
                <w:sz w:val="24"/>
                <w:szCs w:val="24"/>
                <w:lang w:eastAsia="zh-CN"/>
              </w:rPr>
              <w:t>基于声纹识别技术的线路智能监测系统研究及应用</w:t>
            </w:r>
            <w:bookmarkEnd w:id="0"/>
            <w:r>
              <w:rPr>
                <w:rFonts w:hint="eastAsia" w:ascii="Times New Roman" w:hAnsi="Times New Roman" w:eastAsia="宋体" w:cs="宋体"/>
                <w:sz w:val="24"/>
                <w:szCs w:val="24"/>
                <w:lang w:eastAsia="zh-CN"/>
              </w:rPr>
              <w:t>”等项目，同时开展分布式光纤温度与应变传感等相关技术研发，重点探索在轨道交通设备异常状态识别、智慧运维、基础设施健康监测等领域的应用；在半导体晶圆精密加工方面，晶禧半导体主要围绕晶圆表面洁净清洗与视觉智能分选、高精度定位贴膜与多光束智能调焦激光隐形切割、高效均匀扩膜与无损解胶等工艺开展研发，为半导体晶圆精密加工及相关后道加工业务提供技术支撑。</w:t>
            </w:r>
          </w:p>
          <w:p w14:paraId="0D7FBC81">
            <w:pPr>
              <w:pStyle w:val="17"/>
              <w:spacing w:before="120" w:beforeLines="50" w:after="120" w:afterLines="50"/>
              <w:ind w:right="23" w:firstLine="482" w:firstLineChars="200"/>
              <w:jc w:val="both"/>
              <w:rPr>
                <w:rFonts w:ascii="Times New Roman" w:hAnsi="Times New Roman"/>
                <w:b/>
                <w:bCs/>
                <w:sz w:val="24"/>
                <w:szCs w:val="24"/>
              </w:rPr>
            </w:pPr>
            <w:r>
              <w:rPr>
                <w:rFonts w:hint="eastAsia" w:ascii="Times New Roman" w:hAnsi="Times New Roman"/>
                <w:b/>
                <w:bCs/>
                <w:sz w:val="24"/>
                <w:szCs w:val="24"/>
              </w:rPr>
              <w:t>四、晶禧半导体纳入合并报表后，对公司</w:t>
            </w:r>
            <w:r>
              <w:rPr>
                <w:rFonts w:ascii="Times New Roman" w:hAnsi="Times New Roman"/>
                <w:b/>
                <w:bCs/>
                <w:sz w:val="24"/>
                <w:szCs w:val="24"/>
              </w:rPr>
              <w:t>2026</w:t>
            </w:r>
            <w:r>
              <w:rPr>
                <w:rFonts w:hint="eastAsia" w:ascii="Times New Roman" w:hAnsi="Times New Roman"/>
                <w:b/>
                <w:bCs/>
                <w:sz w:val="24"/>
                <w:szCs w:val="24"/>
              </w:rPr>
              <w:t>年上半年业绩有何影响？</w:t>
            </w:r>
          </w:p>
          <w:p w14:paraId="6A3DFDB6">
            <w:pPr>
              <w:pStyle w:val="17"/>
              <w:spacing w:before="120" w:beforeLines="50" w:after="120" w:afterLines="50"/>
              <w:ind w:right="23" w:firstLine="480" w:firstLineChars="200"/>
              <w:jc w:val="both"/>
              <w:rPr>
                <w:rFonts w:hint="eastAsia" w:ascii="Times New Roman" w:hAnsi="Times New Roman"/>
                <w:sz w:val="24"/>
                <w:szCs w:val="24"/>
              </w:rPr>
            </w:pPr>
            <w:r>
              <w:rPr>
                <w:rFonts w:hint="eastAsia" w:ascii="Times New Roman" w:hAnsi="Times New Roman"/>
                <w:sz w:val="24"/>
                <w:szCs w:val="24"/>
              </w:rPr>
              <w:t>回复：</w:t>
            </w:r>
          </w:p>
          <w:p w14:paraId="4F9BF311">
            <w:pPr>
              <w:pStyle w:val="17"/>
              <w:spacing w:before="120" w:beforeLines="50" w:after="120" w:afterLines="50"/>
              <w:ind w:right="23" w:firstLine="480" w:firstLineChars="200"/>
              <w:jc w:val="both"/>
              <w:rPr>
                <w:rFonts w:ascii="Times New Roman" w:hAnsi="Times New Roman"/>
                <w:snapToGrid w:val="0"/>
                <w:color w:val="000000"/>
                <w:sz w:val="24"/>
                <w:szCs w:val="24"/>
                <w:lang w:bidi="ar"/>
              </w:rPr>
            </w:pPr>
            <w:r>
              <w:rPr>
                <w:rFonts w:hint="eastAsia" w:ascii="Times New Roman" w:hAnsi="Times New Roman"/>
                <w:sz w:val="24"/>
                <w:szCs w:val="24"/>
                <w:lang w:val="en-US" w:eastAsia="zh-CN"/>
              </w:rPr>
              <w:t>公司于2026年5月31日完成对晶禧半导体100%股权的收购</w:t>
            </w:r>
            <w:r>
              <w:rPr>
                <w:rFonts w:hint="eastAsia" w:ascii="Times New Roman" w:hAnsi="Times New Roman"/>
                <w:sz w:val="24"/>
                <w:szCs w:val="24"/>
              </w:rPr>
              <w:t>。</w:t>
            </w:r>
            <w:r>
              <w:rPr>
                <w:rFonts w:hint="eastAsia" w:ascii="Times New Roman" w:hAnsi="Times New Roman"/>
                <w:sz w:val="24"/>
                <w:szCs w:val="24"/>
                <w:lang w:val="en-US" w:eastAsia="zh-CN"/>
              </w:rPr>
              <w:t>2026年上半年</w:t>
            </w:r>
            <w:r>
              <w:rPr>
                <w:rFonts w:hint="eastAsia" w:ascii="Times New Roman" w:hAnsi="Times New Roman"/>
                <w:sz w:val="24"/>
                <w:szCs w:val="24"/>
              </w:rPr>
              <w:t>，晶禧半导体计入合并报表范围的收入为1,062.05万元</w:t>
            </w:r>
            <w:r>
              <w:rPr>
                <w:rFonts w:hint="eastAsia" w:ascii="Times New Roman" w:hAnsi="Times New Roman"/>
                <w:sz w:val="24"/>
                <w:szCs w:val="24"/>
                <w:lang w:eastAsia="zh-CN"/>
              </w:rPr>
              <w:t>（</w:t>
            </w:r>
            <w:r>
              <w:rPr>
                <w:rFonts w:hint="eastAsia" w:ascii="Times New Roman" w:hAnsi="Times New Roman"/>
                <w:sz w:val="24"/>
                <w:szCs w:val="24"/>
                <w:lang w:val="en-US" w:eastAsia="zh-CN"/>
              </w:rPr>
              <w:t>未经审计</w:t>
            </w:r>
            <w:r>
              <w:rPr>
                <w:rFonts w:hint="eastAsia" w:ascii="Times New Roman" w:hAnsi="Times New Roman"/>
                <w:sz w:val="24"/>
                <w:szCs w:val="24"/>
                <w:lang w:eastAsia="zh-CN"/>
              </w:rPr>
              <w:t>）</w:t>
            </w:r>
            <w:r>
              <w:rPr>
                <w:rFonts w:hint="eastAsia" w:ascii="Times New Roman" w:hAnsi="Times New Roman"/>
                <w:sz w:val="24"/>
                <w:szCs w:val="24"/>
              </w:rPr>
              <w:t>，计入合并报表范围</w:t>
            </w:r>
            <w:r>
              <w:rPr>
                <w:rFonts w:hint="eastAsia" w:ascii="Times New Roman" w:hAnsi="Times New Roman"/>
                <w:sz w:val="24"/>
                <w:szCs w:val="24"/>
                <w:lang w:val="en-US" w:eastAsia="zh-CN"/>
              </w:rPr>
              <w:t>的</w:t>
            </w:r>
            <w:r>
              <w:rPr>
                <w:rFonts w:hint="eastAsia" w:ascii="Times New Roman" w:hAnsi="Times New Roman"/>
                <w:sz w:val="24"/>
                <w:szCs w:val="24"/>
              </w:rPr>
              <w:t>净利润</w:t>
            </w:r>
            <w:r>
              <w:rPr>
                <w:rFonts w:hint="eastAsia" w:ascii="Times New Roman" w:hAnsi="Times New Roman"/>
                <w:sz w:val="24"/>
                <w:szCs w:val="24"/>
                <w:lang w:val="en-US" w:eastAsia="zh-CN"/>
              </w:rPr>
              <w:t>为</w:t>
            </w:r>
            <w:r>
              <w:rPr>
                <w:rFonts w:hint="eastAsia" w:ascii="Times New Roman" w:hAnsi="Times New Roman"/>
                <w:sz w:val="24"/>
                <w:szCs w:val="24"/>
              </w:rPr>
              <w:t>595.59万元（未经审计），对公司上半年经营业绩形成了一定贡献。</w:t>
            </w:r>
          </w:p>
          <w:p w14:paraId="1EE017AC">
            <w:pPr>
              <w:pStyle w:val="8"/>
              <w:kinsoku/>
              <w:overflowPunct w:val="0"/>
              <w:autoSpaceDN/>
              <w:adjustRightInd/>
              <w:snapToGrid/>
              <w:spacing w:before="120" w:beforeLines="50" w:beforeAutospacing="0" w:after="120" w:afterLines="50" w:afterAutospacing="0"/>
              <w:ind w:left="23" w:right="23" w:firstLine="482" w:firstLineChars="200"/>
              <w:jc w:val="both"/>
              <w:textAlignment w:val="auto"/>
              <w:rPr>
                <w:rFonts w:ascii="Times New Roman" w:hAnsi="Times New Roman" w:eastAsia="宋体" w:cs="宋体"/>
                <w:color w:val="111111"/>
                <w:szCs w:val="24"/>
              </w:rPr>
            </w:pPr>
            <w:r>
              <w:rPr>
                <w:rFonts w:hint="eastAsia" w:ascii="Times New Roman" w:hAnsi="Times New Roman" w:eastAsia="宋体" w:cs="宋体"/>
                <w:b/>
                <w:bCs/>
                <w:snapToGrid/>
                <w:color w:val="111111"/>
                <w:szCs w:val="24"/>
                <w:lang w:bidi="ar"/>
              </w:rPr>
              <w:t>五、晶禧业绩承诺完成情况如何？</w:t>
            </w:r>
          </w:p>
          <w:p w14:paraId="7D01728F">
            <w:pPr>
              <w:pStyle w:val="8"/>
              <w:kinsoku/>
              <w:overflowPunct w:val="0"/>
              <w:autoSpaceDN/>
              <w:adjustRightInd/>
              <w:snapToGrid/>
              <w:spacing w:before="120" w:beforeLines="50" w:beforeAutospacing="0" w:after="120" w:afterLines="50" w:afterAutospacing="0"/>
              <w:ind w:left="23" w:right="23" w:firstLine="480" w:firstLineChars="200"/>
              <w:jc w:val="both"/>
              <w:textAlignment w:val="auto"/>
              <w:rPr>
                <w:rFonts w:ascii="Times New Roman" w:hAnsi="Times New Roman" w:eastAsia="宋体" w:cs="宋体"/>
                <w:color w:val="111111"/>
                <w:szCs w:val="24"/>
              </w:rPr>
            </w:pPr>
            <w:r>
              <w:rPr>
                <w:rFonts w:hint="eastAsia" w:ascii="Times New Roman" w:hAnsi="Times New Roman" w:eastAsia="宋体" w:cs="宋体"/>
                <w:snapToGrid/>
                <w:color w:val="111111"/>
                <w:szCs w:val="24"/>
                <w:lang w:bidi="ar"/>
              </w:rPr>
              <w:t>回复：</w:t>
            </w:r>
          </w:p>
          <w:p w14:paraId="16A3B8A3">
            <w:pPr>
              <w:pStyle w:val="8"/>
              <w:kinsoku/>
              <w:overflowPunct w:val="0"/>
              <w:autoSpaceDN/>
              <w:adjustRightInd/>
              <w:snapToGrid/>
              <w:spacing w:before="120" w:beforeLines="50" w:beforeAutospacing="0" w:after="120" w:afterLines="50" w:afterAutospacing="0"/>
              <w:ind w:left="23" w:right="23" w:firstLine="480" w:firstLineChars="200"/>
              <w:jc w:val="both"/>
              <w:textAlignment w:val="auto"/>
              <w:rPr>
                <w:rFonts w:ascii="Times New Roman" w:hAnsi="Times New Roman" w:eastAsia="宋体" w:cs="宋体"/>
                <w:color w:val="111111"/>
                <w:szCs w:val="24"/>
              </w:rPr>
            </w:pPr>
            <w:r>
              <w:rPr>
                <w:rFonts w:hint="eastAsia" w:ascii="Times New Roman" w:hAnsi="Times New Roman" w:eastAsia="宋体" w:cs="宋体"/>
                <w:snapToGrid/>
                <w:color w:val="111111"/>
                <w:szCs w:val="24"/>
                <w:lang w:bidi="ar"/>
              </w:rPr>
              <w:t>晶禧半导体的业绩承诺期为</w:t>
            </w:r>
            <w:r>
              <w:rPr>
                <w:rFonts w:ascii="Times New Roman" w:hAnsi="Times New Roman" w:eastAsia="宋体" w:cs="宋体"/>
                <w:snapToGrid/>
                <w:color w:val="111111"/>
                <w:szCs w:val="24"/>
                <w:lang w:bidi="ar"/>
              </w:rPr>
              <w:t>2026</w:t>
            </w:r>
            <w:r>
              <w:rPr>
                <w:rFonts w:hint="eastAsia" w:ascii="Times New Roman" w:hAnsi="Times New Roman" w:eastAsia="宋体" w:cs="宋体"/>
                <w:snapToGrid/>
                <w:color w:val="111111"/>
                <w:szCs w:val="24"/>
                <w:lang w:bidi="ar"/>
              </w:rPr>
              <w:t>年至</w:t>
            </w:r>
            <w:r>
              <w:rPr>
                <w:rFonts w:ascii="Times New Roman" w:hAnsi="Times New Roman" w:eastAsia="宋体"/>
                <w:snapToGrid/>
                <w:color w:val="111111"/>
                <w:szCs w:val="24"/>
                <w:lang w:bidi="ar"/>
              </w:rPr>
              <w:t>2028</w:t>
            </w:r>
            <w:r>
              <w:rPr>
                <w:rFonts w:hint="eastAsia" w:ascii="Times New Roman" w:hAnsi="Times New Roman" w:eastAsia="宋体" w:cs="宋体"/>
                <w:snapToGrid/>
                <w:color w:val="111111"/>
                <w:szCs w:val="24"/>
                <w:lang w:bidi="ar"/>
              </w:rPr>
              <w:t>年，</w:t>
            </w:r>
            <w:r>
              <w:rPr>
                <w:rFonts w:ascii="Times New Roman" w:hAnsi="Times New Roman" w:eastAsia="宋体"/>
                <w:snapToGrid/>
                <w:color w:val="111111"/>
                <w:szCs w:val="24"/>
                <w:lang w:bidi="ar"/>
              </w:rPr>
              <w:t>2026</w:t>
            </w:r>
            <w:r>
              <w:rPr>
                <w:rFonts w:hint="eastAsia" w:ascii="Times New Roman" w:hAnsi="Times New Roman" w:eastAsia="宋体" w:cs="宋体"/>
                <w:snapToGrid/>
                <w:color w:val="111111"/>
                <w:szCs w:val="24"/>
                <w:lang w:bidi="ar"/>
              </w:rPr>
              <w:t>年、</w:t>
            </w:r>
            <w:r>
              <w:rPr>
                <w:rFonts w:ascii="Times New Roman" w:hAnsi="Times New Roman" w:eastAsia="宋体"/>
                <w:snapToGrid/>
                <w:color w:val="111111"/>
                <w:szCs w:val="24"/>
                <w:lang w:bidi="ar"/>
              </w:rPr>
              <w:t>2027</w:t>
            </w:r>
            <w:r>
              <w:rPr>
                <w:rFonts w:hint="eastAsia" w:ascii="Times New Roman" w:hAnsi="Times New Roman" w:eastAsia="宋体" w:cs="宋体"/>
                <w:snapToGrid/>
                <w:color w:val="111111"/>
                <w:szCs w:val="24"/>
                <w:lang w:bidi="ar"/>
              </w:rPr>
              <w:t>年、</w:t>
            </w:r>
            <w:r>
              <w:rPr>
                <w:rFonts w:ascii="Times New Roman" w:hAnsi="Times New Roman" w:eastAsia="宋体"/>
                <w:snapToGrid/>
                <w:color w:val="111111"/>
                <w:szCs w:val="24"/>
                <w:lang w:bidi="ar"/>
              </w:rPr>
              <w:t>2028</w:t>
            </w:r>
            <w:r>
              <w:rPr>
                <w:rFonts w:hint="eastAsia" w:ascii="Times New Roman" w:hAnsi="Times New Roman" w:eastAsia="宋体" w:cs="宋体"/>
                <w:snapToGrid/>
                <w:color w:val="111111"/>
                <w:szCs w:val="24"/>
                <w:lang w:bidi="ar"/>
              </w:rPr>
              <w:t>年承诺实现的实际净利润分别不低于</w:t>
            </w:r>
            <w:r>
              <w:rPr>
                <w:rFonts w:ascii="Times New Roman" w:hAnsi="Times New Roman" w:eastAsia="宋体"/>
                <w:snapToGrid/>
                <w:color w:val="111111"/>
                <w:szCs w:val="24"/>
                <w:lang w:bidi="ar"/>
              </w:rPr>
              <w:t>3,000</w:t>
            </w:r>
            <w:r>
              <w:rPr>
                <w:rFonts w:hint="eastAsia" w:ascii="Times New Roman" w:hAnsi="Times New Roman" w:eastAsia="宋体" w:cs="宋体"/>
                <w:snapToGrid/>
                <w:color w:val="111111"/>
                <w:szCs w:val="24"/>
                <w:lang w:bidi="ar"/>
              </w:rPr>
              <w:t>万元、</w:t>
            </w:r>
            <w:r>
              <w:rPr>
                <w:rFonts w:ascii="Times New Roman" w:hAnsi="Times New Roman" w:eastAsia="宋体"/>
                <w:snapToGrid/>
                <w:color w:val="111111"/>
                <w:szCs w:val="24"/>
                <w:lang w:bidi="ar"/>
              </w:rPr>
              <w:t>4,000</w:t>
            </w:r>
            <w:r>
              <w:rPr>
                <w:rFonts w:hint="eastAsia" w:ascii="Times New Roman" w:hAnsi="Times New Roman" w:eastAsia="宋体" w:cs="宋体"/>
                <w:snapToGrid/>
                <w:color w:val="111111"/>
                <w:szCs w:val="24"/>
                <w:lang w:bidi="ar"/>
              </w:rPr>
              <w:t>万元和</w:t>
            </w:r>
            <w:r>
              <w:rPr>
                <w:rFonts w:ascii="Times New Roman" w:hAnsi="Times New Roman" w:eastAsia="宋体"/>
                <w:snapToGrid/>
                <w:color w:val="111111"/>
                <w:szCs w:val="24"/>
                <w:lang w:bidi="ar"/>
              </w:rPr>
              <w:t>5,000</w:t>
            </w:r>
            <w:r>
              <w:rPr>
                <w:rFonts w:hint="eastAsia" w:ascii="Times New Roman" w:hAnsi="Times New Roman" w:eastAsia="宋体" w:cs="宋体"/>
                <w:snapToGrid/>
                <w:color w:val="111111"/>
                <w:szCs w:val="24"/>
                <w:lang w:bidi="ar"/>
              </w:rPr>
              <w:t>万元。</w:t>
            </w:r>
            <w:r>
              <w:rPr>
                <w:rFonts w:hint="eastAsia" w:ascii="Times New Roman" w:hAnsi="Times New Roman" w:eastAsia="宋体" w:cs="宋体"/>
                <w:snapToGrid/>
                <w:color w:val="111111"/>
                <w:szCs w:val="24"/>
                <w:lang w:val="en-US" w:eastAsia="zh-CN" w:bidi="ar"/>
              </w:rPr>
              <w:t>根据公司披露的2026年半年度报告</w:t>
            </w:r>
            <w:r>
              <w:rPr>
                <w:rFonts w:hint="eastAsia" w:ascii="Times New Roman" w:hAnsi="Times New Roman" w:eastAsia="宋体" w:cs="宋体"/>
                <w:snapToGrid/>
                <w:color w:val="111111"/>
                <w:szCs w:val="24"/>
                <w:lang w:bidi="ar"/>
              </w:rPr>
              <w:t>，晶禧半导体</w:t>
            </w:r>
            <w:r>
              <w:rPr>
                <w:rFonts w:ascii="Times New Roman" w:hAnsi="Times New Roman" w:eastAsia="宋体"/>
                <w:snapToGrid/>
                <w:color w:val="111111"/>
                <w:szCs w:val="24"/>
                <w:lang w:bidi="ar"/>
              </w:rPr>
              <w:t>2026</w:t>
            </w:r>
            <w:r>
              <w:rPr>
                <w:rFonts w:hint="eastAsia" w:ascii="Times New Roman" w:hAnsi="Times New Roman" w:eastAsia="宋体" w:cs="宋体"/>
                <w:snapToGrid/>
                <w:color w:val="111111"/>
                <w:szCs w:val="24"/>
                <w:lang w:bidi="ar"/>
              </w:rPr>
              <w:t>年</w:t>
            </w:r>
            <w:r>
              <w:rPr>
                <w:rFonts w:ascii="Times New Roman" w:hAnsi="Times New Roman" w:eastAsia="宋体"/>
                <w:snapToGrid/>
                <w:color w:val="111111"/>
                <w:szCs w:val="24"/>
                <w:lang w:bidi="ar"/>
              </w:rPr>
              <w:t>1</w:t>
            </w:r>
            <w:r>
              <w:rPr>
                <w:rFonts w:hint="eastAsia" w:ascii="Times New Roman" w:hAnsi="Times New Roman" w:eastAsia="宋体" w:cs="宋体"/>
                <w:snapToGrid/>
                <w:color w:val="111111"/>
                <w:szCs w:val="24"/>
                <w:lang w:bidi="ar"/>
              </w:rPr>
              <w:t>—</w:t>
            </w:r>
            <w:r>
              <w:rPr>
                <w:rFonts w:ascii="Times New Roman" w:hAnsi="Times New Roman" w:eastAsia="宋体"/>
                <w:snapToGrid/>
                <w:color w:val="111111"/>
                <w:szCs w:val="24"/>
                <w:lang w:bidi="ar"/>
              </w:rPr>
              <w:t>6</w:t>
            </w:r>
            <w:r>
              <w:rPr>
                <w:rFonts w:hint="eastAsia" w:ascii="Times New Roman" w:hAnsi="Times New Roman" w:eastAsia="宋体" w:cs="宋体"/>
                <w:snapToGrid/>
                <w:color w:val="111111"/>
                <w:szCs w:val="24"/>
                <w:lang w:bidi="ar"/>
              </w:rPr>
              <w:t>月</w:t>
            </w:r>
            <w:r>
              <w:rPr>
                <w:rFonts w:hint="eastAsia" w:ascii="Times New Roman" w:hAnsi="Times New Roman" w:eastAsia="宋体" w:cs="宋体"/>
                <w:snapToGrid/>
                <w:color w:val="111111"/>
                <w:szCs w:val="24"/>
                <w:lang w:val="en-US" w:eastAsia="zh-CN" w:bidi="ar"/>
              </w:rPr>
              <w:t>实现</w:t>
            </w:r>
            <w:r>
              <w:rPr>
                <w:rFonts w:hint="eastAsia" w:ascii="Times New Roman" w:hAnsi="Times New Roman" w:eastAsia="宋体" w:cs="宋体"/>
                <w:snapToGrid/>
                <w:color w:val="111111"/>
                <w:szCs w:val="24"/>
                <w:lang w:bidi="ar"/>
              </w:rPr>
              <w:t>净利润为</w:t>
            </w:r>
            <w:r>
              <w:rPr>
                <w:rStyle w:val="28"/>
                <w:rFonts w:eastAsia="宋体"/>
                <w:b w:val="0"/>
                <w:color w:val="111111"/>
                <w:szCs w:val="24"/>
                <w:lang w:bidi="ar"/>
              </w:rPr>
              <w:t>1,743.04</w:t>
            </w:r>
            <w:r>
              <w:rPr>
                <w:rStyle w:val="28"/>
                <w:rFonts w:hint="eastAsia" w:eastAsia="宋体" w:cs="宋体"/>
                <w:b w:val="0"/>
                <w:color w:val="111111"/>
                <w:szCs w:val="24"/>
                <w:lang w:bidi="ar"/>
              </w:rPr>
              <w:t>万元（未经审计）</w:t>
            </w:r>
            <w:r>
              <w:rPr>
                <w:rFonts w:hint="eastAsia" w:ascii="Times New Roman" w:hAnsi="Times New Roman" w:eastAsia="宋体" w:cs="宋体"/>
                <w:snapToGrid/>
                <w:color w:val="111111"/>
                <w:szCs w:val="24"/>
                <w:lang w:bidi="ar"/>
              </w:rPr>
              <w:t>。</w:t>
            </w:r>
          </w:p>
          <w:p w14:paraId="3990AE06">
            <w:pPr>
              <w:pStyle w:val="17"/>
              <w:overflowPunct w:val="0"/>
              <w:spacing w:before="120" w:beforeLines="50" w:after="120" w:afterLines="50"/>
              <w:ind w:right="23" w:firstLine="482" w:firstLineChars="200"/>
              <w:jc w:val="both"/>
              <w:rPr>
                <w:rFonts w:ascii="Times New Roman" w:hAnsi="Times New Roman"/>
                <w:b/>
                <w:bCs/>
                <w:sz w:val="24"/>
                <w:szCs w:val="24"/>
              </w:rPr>
            </w:pPr>
            <w:r>
              <w:rPr>
                <w:rFonts w:hint="eastAsia" w:ascii="Times New Roman" w:hAnsi="Times New Roman"/>
                <w:b/>
                <w:bCs/>
                <w:sz w:val="24"/>
                <w:szCs w:val="24"/>
              </w:rPr>
              <w:t>六、公司参股设立的通创九州目前业务开展及金刚石芯片基板建设项目（一期）推进情况如何？</w:t>
            </w:r>
          </w:p>
          <w:p w14:paraId="03CD24E4">
            <w:pPr>
              <w:pStyle w:val="8"/>
              <w:kinsoku/>
              <w:overflowPunct w:val="0"/>
              <w:autoSpaceDN/>
              <w:adjustRightInd/>
              <w:snapToGrid/>
              <w:spacing w:before="120" w:beforeLines="50" w:beforeAutospacing="0" w:after="120" w:afterLines="50" w:afterAutospacing="0"/>
              <w:ind w:left="23" w:right="23" w:firstLine="480" w:firstLineChars="200"/>
              <w:jc w:val="both"/>
              <w:textAlignment w:val="auto"/>
              <w:rPr>
                <w:rFonts w:ascii="Times New Roman" w:hAnsi="Times New Roman" w:eastAsia="宋体" w:cs="宋体"/>
                <w:color w:val="111111"/>
                <w:szCs w:val="24"/>
              </w:rPr>
            </w:pPr>
            <w:r>
              <w:rPr>
                <w:rFonts w:hint="eastAsia" w:ascii="Times New Roman" w:hAnsi="Times New Roman" w:eastAsia="宋体" w:cs="宋体"/>
                <w:snapToGrid/>
                <w:color w:val="111111"/>
                <w:szCs w:val="24"/>
                <w:lang w:bidi="ar"/>
              </w:rPr>
              <w:t>回复：</w:t>
            </w:r>
          </w:p>
          <w:p w14:paraId="32B0DA93">
            <w:pPr>
              <w:pStyle w:val="17"/>
              <w:numPr>
                <w:ilvl w:val="255"/>
                <w:numId w:val="0"/>
              </w:numPr>
              <w:overflowPunct w:val="0"/>
              <w:spacing w:before="120" w:beforeLines="50" w:after="120" w:afterLines="50"/>
              <w:ind w:firstLine="480" w:firstLineChars="200"/>
              <w:jc w:val="both"/>
              <w:rPr>
                <w:rFonts w:ascii="Times New Roman" w:hAnsi="Times New Roman"/>
                <w:sz w:val="24"/>
                <w:szCs w:val="24"/>
                <w:lang w:bidi="ar"/>
              </w:rPr>
            </w:pPr>
            <w:r>
              <w:rPr>
                <w:rFonts w:hint="eastAsia" w:ascii="Times New Roman" w:hAnsi="Times New Roman"/>
                <w:sz w:val="24"/>
                <w:szCs w:val="24"/>
                <w:lang w:bidi="ar"/>
              </w:rPr>
              <w:t>北京通创九州金刚石科技有限公司（以下简称“通创九州”）是公司与江苏通用半导体有限公司共同设立的参股公司，注册资本为人民币</w:t>
            </w:r>
            <w:r>
              <w:rPr>
                <w:rFonts w:ascii="Times New Roman" w:hAnsi="Times New Roman"/>
                <w:sz w:val="24"/>
                <w:szCs w:val="24"/>
                <w:lang w:bidi="ar"/>
              </w:rPr>
              <w:t>2</w:t>
            </w:r>
            <w:r>
              <w:rPr>
                <w:rFonts w:hint="eastAsia" w:ascii="Times New Roman" w:hAnsi="Times New Roman"/>
                <w:sz w:val="24"/>
                <w:szCs w:val="24"/>
                <w:lang w:bidi="ar"/>
              </w:rPr>
              <w:t>亿元，公司持有其</w:t>
            </w:r>
            <w:r>
              <w:rPr>
                <w:rFonts w:ascii="Times New Roman" w:hAnsi="Times New Roman"/>
                <w:sz w:val="24"/>
                <w:szCs w:val="24"/>
                <w:lang w:bidi="ar"/>
              </w:rPr>
              <w:t>40%</w:t>
            </w:r>
            <w:r>
              <w:rPr>
                <w:rFonts w:hint="eastAsia" w:ascii="Times New Roman" w:hAnsi="Times New Roman"/>
                <w:sz w:val="24"/>
                <w:szCs w:val="24"/>
                <w:lang w:bidi="ar"/>
              </w:rPr>
              <w:t>股权。通创九州主要围绕第四代半导体材料金刚石的研发、制造及加工开展业务，并积极探索其在轨道交通、声纹传感等领域的产业化应用。</w:t>
            </w:r>
          </w:p>
          <w:p w14:paraId="1A256983">
            <w:pPr>
              <w:pStyle w:val="17"/>
              <w:numPr>
                <w:ilvl w:val="255"/>
                <w:numId w:val="0"/>
              </w:numPr>
              <w:overflowPunct w:val="0"/>
              <w:spacing w:before="120" w:beforeLines="50" w:after="120" w:afterLines="50"/>
              <w:ind w:firstLine="480" w:firstLineChars="200"/>
              <w:jc w:val="both"/>
              <w:rPr>
                <w:rFonts w:hint="eastAsia" w:ascii="宋体" w:hAnsi="宋体"/>
                <w:sz w:val="24"/>
                <w:szCs w:val="24"/>
              </w:rPr>
            </w:pPr>
            <w:r>
              <w:rPr>
                <w:rFonts w:hint="eastAsia" w:ascii="Times New Roman" w:hAnsi="Times New Roman"/>
                <w:sz w:val="24"/>
                <w:szCs w:val="24"/>
                <w:lang w:bidi="ar"/>
              </w:rPr>
              <w:t>通创九州于</w:t>
            </w:r>
            <w:r>
              <w:rPr>
                <w:rFonts w:ascii="Times New Roman" w:hAnsi="Times New Roman"/>
                <w:sz w:val="24"/>
                <w:szCs w:val="24"/>
                <w:lang w:bidi="ar"/>
              </w:rPr>
              <w:t>2026</w:t>
            </w:r>
            <w:r>
              <w:rPr>
                <w:rFonts w:hint="eastAsia" w:ascii="Times New Roman" w:hAnsi="Times New Roman"/>
                <w:sz w:val="24"/>
                <w:szCs w:val="24"/>
                <w:lang w:bidi="ar"/>
              </w:rPr>
              <w:t>年</w:t>
            </w:r>
            <w:r>
              <w:rPr>
                <w:rFonts w:ascii="Times New Roman" w:hAnsi="Times New Roman"/>
                <w:sz w:val="24"/>
                <w:szCs w:val="24"/>
                <w:lang w:bidi="ar"/>
              </w:rPr>
              <w:t>4</w:t>
            </w:r>
            <w:r>
              <w:rPr>
                <w:rFonts w:hint="eastAsia" w:ascii="Times New Roman" w:hAnsi="Times New Roman"/>
                <w:sz w:val="24"/>
                <w:szCs w:val="24"/>
                <w:lang w:bidi="ar"/>
              </w:rPr>
              <w:t>月完成工商注册登记，目前正有序推进金刚石芯片基板建设项目（一期）相关工作。在项目建设方面，公司及全资子公司</w:t>
            </w:r>
            <w:bookmarkStart w:id="1" w:name="OLE_LINK3"/>
            <w:r>
              <w:rPr>
                <w:rFonts w:hint="eastAsia" w:ascii="Times New Roman" w:hAnsi="Times New Roman"/>
                <w:sz w:val="24"/>
                <w:szCs w:val="24"/>
                <w:lang w:bidi="ar"/>
              </w:rPr>
              <w:t>河南陆创工程设计有限公司</w:t>
            </w:r>
            <w:bookmarkEnd w:id="1"/>
            <w:r>
              <w:rPr>
                <w:rFonts w:hint="eastAsia" w:ascii="Times New Roman" w:hAnsi="Times New Roman"/>
                <w:sz w:val="24"/>
                <w:szCs w:val="24"/>
                <w:lang w:bidi="ar"/>
              </w:rPr>
              <w:t>承担该项目工程总承包及设计相关工作，合同金额为</w:t>
            </w:r>
            <w:r>
              <w:rPr>
                <w:rFonts w:ascii="Times New Roman" w:hAnsi="Times New Roman"/>
                <w:sz w:val="24"/>
                <w:szCs w:val="24"/>
                <w:lang w:bidi="ar"/>
              </w:rPr>
              <w:t>10,738</w:t>
            </w:r>
            <w:r>
              <w:rPr>
                <w:rFonts w:hint="eastAsia" w:ascii="Times New Roman" w:hAnsi="Times New Roman"/>
                <w:sz w:val="24"/>
                <w:szCs w:val="24"/>
                <w:lang w:bidi="ar"/>
              </w:rPr>
              <w:t>万元（含税）。后续，公司将持续关注通创九州的项目建设及经营发展情况，稳步推进相关业务布局。有关项目后续进展，请以公司正式披露的信息为准。</w:t>
            </w:r>
          </w:p>
        </w:tc>
      </w:tr>
      <w:tr w14:paraId="62062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35C45A1D">
            <w:pPr>
              <w:pStyle w:val="16"/>
              <w:autoSpaceDE/>
              <w:autoSpaceDN/>
              <w:jc w:val="center"/>
              <w:rPr>
                <w:rFonts w:ascii="Times New Roman" w:hAnsi="Times New Roman"/>
                <w:b/>
                <w:bCs/>
                <w:lang w:eastAsia="zh-CN"/>
              </w:rPr>
            </w:pPr>
            <w:r>
              <w:rPr>
                <w:rFonts w:hint="eastAsia" w:ascii="Times New Roman" w:hAnsi="Times New Roman"/>
                <w:b/>
                <w:bCs/>
                <w:lang w:eastAsia="zh-CN"/>
              </w:rPr>
              <w:t>是否涉及应当披露的重大信息</w:t>
            </w:r>
          </w:p>
        </w:tc>
        <w:tc>
          <w:tcPr>
            <w:tcW w:w="6124" w:type="dxa"/>
            <w:gridSpan w:val="2"/>
          </w:tcPr>
          <w:p w14:paraId="3EF3A0BD">
            <w:pPr>
              <w:pStyle w:val="17"/>
              <w:spacing w:before="120" w:beforeLines="50" w:after="120" w:afterLines="50"/>
              <w:ind w:left="23" w:right="23"/>
              <w:jc w:val="center"/>
              <w:rPr>
                <w:rFonts w:ascii="Times New Roman" w:hAnsi="Times New Roman"/>
                <w:sz w:val="24"/>
                <w:szCs w:val="24"/>
              </w:rPr>
            </w:pPr>
            <w:r>
              <w:rPr>
                <w:rFonts w:hint="eastAsia" w:ascii="Times New Roman" w:hAnsi="Times New Roman"/>
                <w:sz w:val="24"/>
                <w:szCs w:val="24"/>
              </w:rPr>
              <w:t>否</w:t>
            </w:r>
          </w:p>
        </w:tc>
      </w:tr>
      <w:tr w14:paraId="5543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31022D0C">
            <w:pPr>
              <w:pStyle w:val="16"/>
              <w:jc w:val="center"/>
              <w:rPr>
                <w:rFonts w:ascii="Times New Roman" w:hAnsi="Times New Roman"/>
                <w:lang w:eastAsia="zh-CN"/>
              </w:rPr>
            </w:pPr>
            <w:r>
              <w:rPr>
                <w:rFonts w:hint="eastAsia" w:ascii="Times New Roman" w:hAnsi="Times New Roman"/>
                <w:b/>
                <w:bCs/>
                <w:lang w:eastAsia="zh-CN"/>
              </w:rPr>
              <w:t>附件清单（如有）</w:t>
            </w:r>
          </w:p>
        </w:tc>
        <w:tc>
          <w:tcPr>
            <w:tcW w:w="6124" w:type="dxa"/>
            <w:gridSpan w:val="2"/>
            <w:vAlign w:val="center"/>
          </w:tcPr>
          <w:p w14:paraId="407B4CEE">
            <w:pPr>
              <w:pStyle w:val="16"/>
              <w:jc w:val="center"/>
              <w:rPr>
                <w:rFonts w:ascii="Times New Roman" w:hAnsi="Times New Roman"/>
                <w:lang w:eastAsia="zh-CN"/>
              </w:rPr>
            </w:pPr>
            <w:r>
              <w:rPr>
                <w:rFonts w:hint="eastAsia" w:ascii="Times New Roman" w:hAnsi="Times New Roman"/>
              </w:rPr>
              <w:t>无</w:t>
            </w:r>
          </w:p>
        </w:tc>
      </w:tr>
      <w:tr w14:paraId="60C5A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76C7A8BC">
            <w:pPr>
              <w:pStyle w:val="16"/>
              <w:jc w:val="center"/>
              <w:rPr>
                <w:rFonts w:ascii="Times New Roman" w:hAnsi="Times New Roman"/>
              </w:rPr>
            </w:pPr>
            <w:r>
              <w:rPr>
                <w:rFonts w:hint="eastAsia" w:ascii="Times New Roman" w:hAnsi="Times New Roman"/>
                <w:b/>
                <w:bCs/>
              </w:rPr>
              <w:t>日期</w:t>
            </w:r>
          </w:p>
        </w:tc>
        <w:tc>
          <w:tcPr>
            <w:tcW w:w="6124" w:type="dxa"/>
            <w:gridSpan w:val="2"/>
            <w:vAlign w:val="center"/>
          </w:tcPr>
          <w:p w14:paraId="146E2672">
            <w:pPr>
              <w:pStyle w:val="16"/>
              <w:jc w:val="center"/>
              <w:rPr>
                <w:rFonts w:ascii="Times New Roman" w:hAnsi="Times New Roman"/>
                <w:lang w:eastAsia="zh-CN"/>
              </w:rPr>
            </w:pPr>
            <w:r>
              <w:rPr>
                <w:rFonts w:hint="eastAsia" w:ascii="Times New Roman" w:hAnsi="Times New Roman"/>
                <w:lang w:eastAsia="zh-CN"/>
              </w:rPr>
              <w:t>2026年10月</w:t>
            </w:r>
            <w:r>
              <w:rPr>
                <w:rFonts w:hint="eastAsia" w:ascii="Times New Roman" w:hAnsi="Times New Roman"/>
                <w:lang w:val="en-US" w:eastAsia="zh-CN"/>
              </w:rPr>
              <w:t>20</w:t>
            </w:r>
            <w:r>
              <w:rPr>
                <w:rFonts w:hint="eastAsia" w:ascii="Times New Roman" w:hAnsi="Times New Roman"/>
                <w:lang w:eastAsia="zh-CN"/>
              </w:rPr>
              <w:t>日</w:t>
            </w:r>
          </w:p>
        </w:tc>
      </w:tr>
    </w:tbl>
    <w:p w14:paraId="19D83C5F">
      <w:pPr>
        <w:rPr>
          <w:rFonts w:ascii="Times New Roman" w:hAnsi="Times New Roman"/>
        </w:rPr>
      </w:pPr>
    </w:p>
    <w:p w14:paraId="1790BA6B">
      <w:pPr>
        <w:spacing w:line="91" w:lineRule="auto"/>
        <w:rPr>
          <w:rFonts w:ascii="Times New Roman" w:hAnsi="Times New Roman"/>
          <w:sz w:val="2"/>
        </w:rPr>
      </w:pPr>
    </w:p>
    <w:p w14:paraId="264C4D4D">
      <w:pPr>
        <w:rPr>
          <w:rFonts w:ascii="Times New Roman" w:hAnsi="Times New Roman"/>
          <w:lang w:eastAsia="zh-CN"/>
        </w:rPr>
      </w:pPr>
    </w:p>
    <w:sectPr>
      <w:pgSz w:w="11906" w:h="16839"/>
      <w:pgMar w:top="1431" w:right="1785"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pleSystemUI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UICTFontTextStyleBody">
    <w:altName w:val="Cambria"/>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E4C115"/>
    <w:multiLevelType w:val="singleLevel"/>
    <w:tmpl w:val="C4E4C115"/>
    <w:lvl w:ilvl="0" w:tentative="0">
      <w:start w:val="1"/>
      <w:numFmt w:val="decimal"/>
      <w:pStyle w:val="3"/>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isplayBackgroundShape w:val="1"/>
  <w:bordersDoNotSurroundHeader w:val="0"/>
  <w:bordersDoNotSurroundFooter w:val="0"/>
  <w:documentProtection w:enforcement="0"/>
  <w:defaultTabStop w:val="500"/>
  <w:displayHorizontalDrawingGridEvery w:val="1"/>
  <w:displayVerticalDrawingGridEvery w:val="1"/>
  <w:noPunctuationKerning w:val="1"/>
  <w:characterSpacingControl w:val="doNotCompres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1NGMyNjljNGQ0MzY2ZDU4ODViMDc2NGY3NDFhNTkifQ=="/>
  </w:docVars>
  <w:rsids>
    <w:rsidRoot w:val="00AD411E"/>
    <w:rsid w:val="00042552"/>
    <w:rsid w:val="000E4E9A"/>
    <w:rsid w:val="000F0F8B"/>
    <w:rsid w:val="001904F5"/>
    <w:rsid w:val="001B362F"/>
    <w:rsid w:val="001B43DB"/>
    <w:rsid w:val="001F503A"/>
    <w:rsid w:val="00242447"/>
    <w:rsid w:val="002B1EEE"/>
    <w:rsid w:val="002B55DE"/>
    <w:rsid w:val="002C5623"/>
    <w:rsid w:val="002C732D"/>
    <w:rsid w:val="002D18D8"/>
    <w:rsid w:val="002E6C48"/>
    <w:rsid w:val="0030593D"/>
    <w:rsid w:val="00324587"/>
    <w:rsid w:val="00337319"/>
    <w:rsid w:val="00383673"/>
    <w:rsid w:val="003F0328"/>
    <w:rsid w:val="00420F84"/>
    <w:rsid w:val="00461BE6"/>
    <w:rsid w:val="004A754A"/>
    <w:rsid w:val="004C23CF"/>
    <w:rsid w:val="005248CC"/>
    <w:rsid w:val="00527F4F"/>
    <w:rsid w:val="005420FE"/>
    <w:rsid w:val="005443C9"/>
    <w:rsid w:val="005C31AA"/>
    <w:rsid w:val="006330FF"/>
    <w:rsid w:val="006533A9"/>
    <w:rsid w:val="006D4684"/>
    <w:rsid w:val="007257BA"/>
    <w:rsid w:val="00727F56"/>
    <w:rsid w:val="00775721"/>
    <w:rsid w:val="007C0F2D"/>
    <w:rsid w:val="007E50B8"/>
    <w:rsid w:val="008835EE"/>
    <w:rsid w:val="00885DA8"/>
    <w:rsid w:val="008A0110"/>
    <w:rsid w:val="00926B34"/>
    <w:rsid w:val="00952547"/>
    <w:rsid w:val="00973ED9"/>
    <w:rsid w:val="00A130AC"/>
    <w:rsid w:val="00A30B16"/>
    <w:rsid w:val="00A34E8F"/>
    <w:rsid w:val="00A614BD"/>
    <w:rsid w:val="00A65C80"/>
    <w:rsid w:val="00A7277F"/>
    <w:rsid w:val="00A94277"/>
    <w:rsid w:val="00AA6936"/>
    <w:rsid w:val="00AC3F6D"/>
    <w:rsid w:val="00AD411E"/>
    <w:rsid w:val="00B02EEA"/>
    <w:rsid w:val="00B160BA"/>
    <w:rsid w:val="00B237AB"/>
    <w:rsid w:val="00BC2585"/>
    <w:rsid w:val="00BE14BF"/>
    <w:rsid w:val="00C52380"/>
    <w:rsid w:val="00C64F35"/>
    <w:rsid w:val="00C82932"/>
    <w:rsid w:val="00CE2392"/>
    <w:rsid w:val="00D0776C"/>
    <w:rsid w:val="00D158E7"/>
    <w:rsid w:val="00D4600D"/>
    <w:rsid w:val="00DF2EBD"/>
    <w:rsid w:val="00E00E57"/>
    <w:rsid w:val="00E97073"/>
    <w:rsid w:val="00EA0563"/>
    <w:rsid w:val="00EA4037"/>
    <w:rsid w:val="00EB19A6"/>
    <w:rsid w:val="00F75FED"/>
    <w:rsid w:val="00FB496F"/>
    <w:rsid w:val="00FE65C3"/>
    <w:rsid w:val="01102D92"/>
    <w:rsid w:val="01476561"/>
    <w:rsid w:val="014821F1"/>
    <w:rsid w:val="015E533E"/>
    <w:rsid w:val="016C0FA1"/>
    <w:rsid w:val="01852593"/>
    <w:rsid w:val="0190108A"/>
    <w:rsid w:val="01CD53CD"/>
    <w:rsid w:val="023D46EC"/>
    <w:rsid w:val="03385D0B"/>
    <w:rsid w:val="034B0503"/>
    <w:rsid w:val="03510060"/>
    <w:rsid w:val="041909DB"/>
    <w:rsid w:val="04513546"/>
    <w:rsid w:val="0458352F"/>
    <w:rsid w:val="04AC5B58"/>
    <w:rsid w:val="04BB10B7"/>
    <w:rsid w:val="04D16A79"/>
    <w:rsid w:val="04D55FA9"/>
    <w:rsid w:val="05857F74"/>
    <w:rsid w:val="05945126"/>
    <w:rsid w:val="064A78D9"/>
    <w:rsid w:val="065D710A"/>
    <w:rsid w:val="0689144B"/>
    <w:rsid w:val="073562D9"/>
    <w:rsid w:val="0737795B"/>
    <w:rsid w:val="07487DBA"/>
    <w:rsid w:val="084E3DF5"/>
    <w:rsid w:val="086E3851"/>
    <w:rsid w:val="087936BC"/>
    <w:rsid w:val="08874912"/>
    <w:rsid w:val="089332B7"/>
    <w:rsid w:val="08F66C03"/>
    <w:rsid w:val="0A0A1357"/>
    <w:rsid w:val="0A1246B0"/>
    <w:rsid w:val="0A4A3E4A"/>
    <w:rsid w:val="0AF802D2"/>
    <w:rsid w:val="0C40306C"/>
    <w:rsid w:val="0C774C9E"/>
    <w:rsid w:val="0C9870EE"/>
    <w:rsid w:val="0CC257D5"/>
    <w:rsid w:val="0CCA4D93"/>
    <w:rsid w:val="0CDF0EFD"/>
    <w:rsid w:val="0D3037CB"/>
    <w:rsid w:val="0D3B772F"/>
    <w:rsid w:val="0D4E3C51"/>
    <w:rsid w:val="0E4F45D8"/>
    <w:rsid w:val="0EA53D44"/>
    <w:rsid w:val="0F02798F"/>
    <w:rsid w:val="0F07012F"/>
    <w:rsid w:val="0F2E02EC"/>
    <w:rsid w:val="0F31382A"/>
    <w:rsid w:val="0F7554C5"/>
    <w:rsid w:val="0FC41FA8"/>
    <w:rsid w:val="101572A9"/>
    <w:rsid w:val="10505F32"/>
    <w:rsid w:val="10710382"/>
    <w:rsid w:val="111B0B47"/>
    <w:rsid w:val="112A4BB7"/>
    <w:rsid w:val="11407D54"/>
    <w:rsid w:val="11E132E5"/>
    <w:rsid w:val="11EC0610"/>
    <w:rsid w:val="11EC3A38"/>
    <w:rsid w:val="12692205"/>
    <w:rsid w:val="12B17E9B"/>
    <w:rsid w:val="12B544C5"/>
    <w:rsid w:val="13916645"/>
    <w:rsid w:val="14952100"/>
    <w:rsid w:val="14B00B11"/>
    <w:rsid w:val="14E51974"/>
    <w:rsid w:val="15065412"/>
    <w:rsid w:val="15470135"/>
    <w:rsid w:val="15604521"/>
    <w:rsid w:val="157E2FAD"/>
    <w:rsid w:val="158762E9"/>
    <w:rsid w:val="158F3058"/>
    <w:rsid w:val="15915022"/>
    <w:rsid w:val="15BB3E4D"/>
    <w:rsid w:val="15BF393E"/>
    <w:rsid w:val="15DF7B3C"/>
    <w:rsid w:val="16153CF4"/>
    <w:rsid w:val="16BA5EB3"/>
    <w:rsid w:val="17C92852"/>
    <w:rsid w:val="17FA17FC"/>
    <w:rsid w:val="18474669"/>
    <w:rsid w:val="18D21BDA"/>
    <w:rsid w:val="19045B0B"/>
    <w:rsid w:val="192F382B"/>
    <w:rsid w:val="19FD3FDF"/>
    <w:rsid w:val="1A12650C"/>
    <w:rsid w:val="1AB126A6"/>
    <w:rsid w:val="1AB677DE"/>
    <w:rsid w:val="1ACE45C4"/>
    <w:rsid w:val="1AF114D7"/>
    <w:rsid w:val="1B123F0C"/>
    <w:rsid w:val="1B2D1349"/>
    <w:rsid w:val="1B5A1A13"/>
    <w:rsid w:val="1BA40757"/>
    <w:rsid w:val="1C077DEC"/>
    <w:rsid w:val="1C600CB8"/>
    <w:rsid w:val="1C8D752E"/>
    <w:rsid w:val="1D0600A4"/>
    <w:rsid w:val="1D091942"/>
    <w:rsid w:val="1D3A7D4E"/>
    <w:rsid w:val="1DAF4AFC"/>
    <w:rsid w:val="1DDB508D"/>
    <w:rsid w:val="1E322697"/>
    <w:rsid w:val="1E40701F"/>
    <w:rsid w:val="1EE26681"/>
    <w:rsid w:val="201E5705"/>
    <w:rsid w:val="20851AB3"/>
    <w:rsid w:val="20C95363"/>
    <w:rsid w:val="21094ABC"/>
    <w:rsid w:val="2147798C"/>
    <w:rsid w:val="21A27496"/>
    <w:rsid w:val="22187E0B"/>
    <w:rsid w:val="22364E1D"/>
    <w:rsid w:val="22821F7B"/>
    <w:rsid w:val="22FE1C81"/>
    <w:rsid w:val="2310489F"/>
    <w:rsid w:val="231B417D"/>
    <w:rsid w:val="23203542"/>
    <w:rsid w:val="23626B1C"/>
    <w:rsid w:val="23B65E20"/>
    <w:rsid w:val="24BE1264"/>
    <w:rsid w:val="250E527E"/>
    <w:rsid w:val="25B9690B"/>
    <w:rsid w:val="25DA3E7C"/>
    <w:rsid w:val="26485289"/>
    <w:rsid w:val="268A3AF4"/>
    <w:rsid w:val="2698258D"/>
    <w:rsid w:val="270A69E3"/>
    <w:rsid w:val="27A26C1B"/>
    <w:rsid w:val="27A42993"/>
    <w:rsid w:val="27D5362B"/>
    <w:rsid w:val="28527FD1"/>
    <w:rsid w:val="28736730"/>
    <w:rsid w:val="28FE60D3"/>
    <w:rsid w:val="29341AF5"/>
    <w:rsid w:val="29462779"/>
    <w:rsid w:val="296649FF"/>
    <w:rsid w:val="298735A2"/>
    <w:rsid w:val="2A346ACA"/>
    <w:rsid w:val="2A391AB9"/>
    <w:rsid w:val="2A952A67"/>
    <w:rsid w:val="2ABC3C34"/>
    <w:rsid w:val="2AE71DF0"/>
    <w:rsid w:val="2B152B7E"/>
    <w:rsid w:val="2BAA0794"/>
    <w:rsid w:val="2BDE7D13"/>
    <w:rsid w:val="2BE23A8A"/>
    <w:rsid w:val="2C864D5D"/>
    <w:rsid w:val="2CB022D6"/>
    <w:rsid w:val="2CCF5B37"/>
    <w:rsid w:val="2D216834"/>
    <w:rsid w:val="2D2D19CD"/>
    <w:rsid w:val="2D74105A"/>
    <w:rsid w:val="2DB33930"/>
    <w:rsid w:val="2DE75388"/>
    <w:rsid w:val="2DEB0301"/>
    <w:rsid w:val="2E127498"/>
    <w:rsid w:val="2F300FB0"/>
    <w:rsid w:val="2F890169"/>
    <w:rsid w:val="2FA6143A"/>
    <w:rsid w:val="2FC65E53"/>
    <w:rsid w:val="2FE04785"/>
    <w:rsid w:val="2FE9188B"/>
    <w:rsid w:val="30152810"/>
    <w:rsid w:val="30AC4667"/>
    <w:rsid w:val="30C406C5"/>
    <w:rsid w:val="30F06952"/>
    <w:rsid w:val="312A215B"/>
    <w:rsid w:val="31C22C39"/>
    <w:rsid w:val="32D11EE7"/>
    <w:rsid w:val="32F81D79"/>
    <w:rsid w:val="333D5A4A"/>
    <w:rsid w:val="33B06E98"/>
    <w:rsid w:val="344A3DE9"/>
    <w:rsid w:val="345C4F2B"/>
    <w:rsid w:val="34605E94"/>
    <w:rsid w:val="346534AA"/>
    <w:rsid w:val="34713BFD"/>
    <w:rsid w:val="34DB376C"/>
    <w:rsid w:val="34E70363"/>
    <w:rsid w:val="34F12F90"/>
    <w:rsid w:val="34FD7B87"/>
    <w:rsid w:val="351C000D"/>
    <w:rsid w:val="35200667"/>
    <w:rsid w:val="35CB6621"/>
    <w:rsid w:val="36015455"/>
    <w:rsid w:val="360D538C"/>
    <w:rsid w:val="36802258"/>
    <w:rsid w:val="36EA5EE9"/>
    <w:rsid w:val="36F93E8A"/>
    <w:rsid w:val="379D0487"/>
    <w:rsid w:val="38DD5D05"/>
    <w:rsid w:val="391536F1"/>
    <w:rsid w:val="39700927"/>
    <w:rsid w:val="39A16D33"/>
    <w:rsid w:val="3A033549"/>
    <w:rsid w:val="3A0B4AF4"/>
    <w:rsid w:val="3A8723CC"/>
    <w:rsid w:val="3AD60DB5"/>
    <w:rsid w:val="3AEF3ACE"/>
    <w:rsid w:val="3B173D7F"/>
    <w:rsid w:val="3B2E20EF"/>
    <w:rsid w:val="3B7A3CDF"/>
    <w:rsid w:val="3B893F22"/>
    <w:rsid w:val="3C36192E"/>
    <w:rsid w:val="3C7A1ABD"/>
    <w:rsid w:val="3CE11597"/>
    <w:rsid w:val="3D7529B0"/>
    <w:rsid w:val="3E2E0DB1"/>
    <w:rsid w:val="3E410AE4"/>
    <w:rsid w:val="3E5C147A"/>
    <w:rsid w:val="3E622809"/>
    <w:rsid w:val="3EB23790"/>
    <w:rsid w:val="3EBA0228"/>
    <w:rsid w:val="3F055FB6"/>
    <w:rsid w:val="3F3D6E1B"/>
    <w:rsid w:val="3F4563B2"/>
    <w:rsid w:val="3F680149"/>
    <w:rsid w:val="406D4DCA"/>
    <w:rsid w:val="4090609D"/>
    <w:rsid w:val="40B437EF"/>
    <w:rsid w:val="40F24318"/>
    <w:rsid w:val="41032151"/>
    <w:rsid w:val="4105404B"/>
    <w:rsid w:val="411779C2"/>
    <w:rsid w:val="41336BCB"/>
    <w:rsid w:val="41534A38"/>
    <w:rsid w:val="4168285C"/>
    <w:rsid w:val="430A1DED"/>
    <w:rsid w:val="438E33F7"/>
    <w:rsid w:val="439711A6"/>
    <w:rsid w:val="43E443EC"/>
    <w:rsid w:val="443F68DF"/>
    <w:rsid w:val="448C6831"/>
    <w:rsid w:val="44F06DC0"/>
    <w:rsid w:val="45156827"/>
    <w:rsid w:val="45512F89"/>
    <w:rsid w:val="455E254D"/>
    <w:rsid w:val="456B6447"/>
    <w:rsid w:val="45A84FAE"/>
    <w:rsid w:val="45B822D1"/>
    <w:rsid w:val="45C56ECB"/>
    <w:rsid w:val="46935C55"/>
    <w:rsid w:val="46C6427C"/>
    <w:rsid w:val="470513F8"/>
    <w:rsid w:val="47252CB6"/>
    <w:rsid w:val="474653BD"/>
    <w:rsid w:val="47541888"/>
    <w:rsid w:val="4764741D"/>
    <w:rsid w:val="488251E8"/>
    <w:rsid w:val="48843C31"/>
    <w:rsid w:val="48BD345D"/>
    <w:rsid w:val="48C04CFB"/>
    <w:rsid w:val="48C53BE2"/>
    <w:rsid w:val="48F33295"/>
    <w:rsid w:val="490B41C9"/>
    <w:rsid w:val="4968161B"/>
    <w:rsid w:val="497C3C51"/>
    <w:rsid w:val="499E328F"/>
    <w:rsid w:val="49A14F5D"/>
    <w:rsid w:val="49AB775A"/>
    <w:rsid w:val="49E31136"/>
    <w:rsid w:val="49FE054C"/>
    <w:rsid w:val="4A031344"/>
    <w:rsid w:val="4A0B01F8"/>
    <w:rsid w:val="4A4C728D"/>
    <w:rsid w:val="4A875AD1"/>
    <w:rsid w:val="4B0C4228"/>
    <w:rsid w:val="4B78366B"/>
    <w:rsid w:val="4BBC51EC"/>
    <w:rsid w:val="4BCF2B77"/>
    <w:rsid w:val="4BE62CCB"/>
    <w:rsid w:val="4C082549"/>
    <w:rsid w:val="4C1E06B7"/>
    <w:rsid w:val="4CBD7ED0"/>
    <w:rsid w:val="4CE51D54"/>
    <w:rsid w:val="4D0258E3"/>
    <w:rsid w:val="4D7C5695"/>
    <w:rsid w:val="4DA05E09"/>
    <w:rsid w:val="4DF25957"/>
    <w:rsid w:val="4E263853"/>
    <w:rsid w:val="4E703B15"/>
    <w:rsid w:val="4E7445BE"/>
    <w:rsid w:val="4E9C7106"/>
    <w:rsid w:val="4F833FDC"/>
    <w:rsid w:val="4FA86246"/>
    <w:rsid w:val="4FCC2CDE"/>
    <w:rsid w:val="500B0F52"/>
    <w:rsid w:val="50487AB0"/>
    <w:rsid w:val="505C355C"/>
    <w:rsid w:val="507E7A1A"/>
    <w:rsid w:val="50C70CC0"/>
    <w:rsid w:val="50C77CC8"/>
    <w:rsid w:val="514566E6"/>
    <w:rsid w:val="51582E6C"/>
    <w:rsid w:val="5167040A"/>
    <w:rsid w:val="51AF590D"/>
    <w:rsid w:val="51C25640"/>
    <w:rsid w:val="51D75253"/>
    <w:rsid w:val="51E74D80"/>
    <w:rsid w:val="5217598C"/>
    <w:rsid w:val="522B1A1A"/>
    <w:rsid w:val="525E180D"/>
    <w:rsid w:val="52701540"/>
    <w:rsid w:val="52A511EA"/>
    <w:rsid w:val="52B21AD1"/>
    <w:rsid w:val="52CA29FF"/>
    <w:rsid w:val="52CC6734"/>
    <w:rsid w:val="5301473C"/>
    <w:rsid w:val="53177C0E"/>
    <w:rsid w:val="537D3C18"/>
    <w:rsid w:val="538D1B3E"/>
    <w:rsid w:val="5410147D"/>
    <w:rsid w:val="54970998"/>
    <w:rsid w:val="54D51AA7"/>
    <w:rsid w:val="54FF44A5"/>
    <w:rsid w:val="55475A19"/>
    <w:rsid w:val="55A16ED2"/>
    <w:rsid w:val="55BF16ED"/>
    <w:rsid w:val="55CD58BC"/>
    <w:rsid w:val="560C1580"/>
    <w:rsid w:val="56A33C92"/>
    <w:rsid w:val="56AD0E89"/>
    <w:rsid w:val="56F15B99"/>
    <w:rsid w:val="571802DA"/>
    <w:rsid w:val="574305EE"/>
    <w:rsid w:val="57E64FC7"/>
    <w:rsid w:val="583A3C95"/>
    <w:rsid w:val="58467E50"/>
    <w:rsid w:val="59A01F0B"/>
    <w:rsid w:val="59C503C4"/>
    <w:rsid w:val="59D86349"/>
    <w:rsid w:val="5A5839A7"/>
    <w:rsid w:val="5AAB5D5D"/>
    <w:rsid w:val="5B060C94"/>
    <w:rsid w:val="5BC052E6"/>
    <w:rsid w:val="5C0A6562"/>
    <w:rsid w:val="5C6747DA"/>
    <w:rsid w:val="5CB32755"/>
    <w:rsid w:val="5CE4546A"/>
    <w:rsid w:val="5D916F3A"/>
    <w:rsid w:val="5D9711A4"/>
    <w:rsid w:val="5D9C768D"/>
    <w:rsid w:val="5E113BD7"/>
    <w:rsid w:val="5E2A3ED7"/>
    <w:rsid w:val="5E4265FD"/>
    <w:rsid w:val="5EE96902"/>
    <w:rsid w:val="5EF57055"/>
    <w:rsid w:val="5F517ABE"/>
    <w:rsid w:val="5F8421A1"/>
    <w:rsid w:val="604F73A7"/>
    <w:rsid w:val="610633E6"/>
    <w:rsid w:val="618F75C3"/>
    <w:rsid w:val="61D1008C"/>
    <w:rsid w:val="623936FD"/>
    <w:rsid w:val="62606EDB"/>
    <w:rsid w:val="626D5C19"/>
    <w:rsid w:val="62AA56C6"/>
    <w:rsid w:val="62B80639"/>
    <w:rsid w:val="6321792E"/>
    <w:rsid w:val="63702F31"/>
    <w:rsid w:val="637F5A87"/>
    <w:rsid w:val="63B7511B"/>
    <w:rsid w:val="63BF3862"/>
    <w:rsid w:val="6416019A"/>
    <w:rsid w:val="641D689F"/>
    <w:rsid w:val="646A5DEF"/>
    <w:rsid w:val="649A50CC"/>
    <w:rsid w:val="64AC6408"/>
    <w:rsid w:val="64CA2D32"/>
    <w:rsid w:val="64CF659A"/>
    <w:rsid w:val="65670518"/>
    <w:rsid w:val="65BB4075"/>
    <w:rsid w:val="65E55731"/>
    <w:rsid w:val="65F067C8"/>
    <w:rsid w:val="66042274"/>
    <w:rsid w:val="66662834"/>
    <w:rsid w:val="66BA0643"/>
    <w:rsid w:val="66DD448F"/>
    <w:rsid w:val="66F44096"/>
    <w:rsid w:val="66F553A6"/>
    <w:rsid w:val="674E064D"/>
    <w:rsid w:val="67B04461"/>
    <w:rsid w:val="67E1286C"/>
    <w:rsid w:val="67E67381"/>
    <w:rsid w:val="6817628E"/>
    <w:rsid w:val="685275F3"/>
    <w:rsid w:val="68623356"/>
    <w:rsid w:val="68B65AA7"/>
    <w:rsid w:val="69004F74"/>
    <w:rsid w:val="6955518E"/>
    <w:rsid w:val="69A67DB5"/>
    <w:rsid w:val="69B83A0D"/>
    <w:rsid w:val="69BD7D10"/>
    <w:rsid w:val="6A1D4D70"/>
    <w:rsid w:val="6A9D2977"/>
    <w:rsid w:val="6AAD30FA"/>
    <w:rsid w:val="6ACF2A05"/>
    <w:rsid w:val="6AED32D6"/>
    <w:rsid w:val="6AF0478A"/>
    <w:rsid w:val="6B206150"/>
    <w:rsid w:val="6C615D2A"/>
    <w:rsid w:val="6C860F1A"/>
    <w:rsid w:val="6C9132B7"/>
    <w:rsid w:val="6D910628"/>
    <w:rsid w:val="6DED6714"/>
    <w:rsid w:val="6E494CC8"/>
    <w:rsid w:val="6E6B4FA6"/>
    <w:rsid w:val="6E7E1C6A"/>
    <w:rsid w:val="6EC8494C"/>
    <w:rsid w:val="6F0357BE"/>
    <w:rsid w:val="6F2E1014"/>
    <w:rsid w:val="6F70543C"/>
    <w:rsid w:val="704A2F79"/>
    <w:rsid w:val="70810852"/>
    <w:rsid w:val="715A71EC"/>
    <w:rsid w:val="71787AB8"/>
    <w:rsid w:val="719A3A8C"/>
    <w:rsid w:val="71A576BD"/>
    <w:rsid w:val="71CA1FE3"/>
    <w:rsid w:val="720A4079"/>
    <w:rsid w:val="72534E9D"/>
    <w:rsid w:val="72EB27F1"/>
    <w:rsid w:val="731036E9"/>
    <w:rsid w:val="732C1A70"/>
    <w:rsid w:val="732E6B82"/>
    <w:rsid w:val="73493CAC"/>
    <w:rsid w:val="7358775B"/>
    <w:rsid w:val="73866EC6"/>
    <w:rsid w:val="73D15D1A"/>
    <w:rsid w:val="73EB05CF"/>
    <w:rsid w:val="73FB4E65"/>
    <w:rsid w:val="741B7106"/>
    <w:rsid w:val="746D7236"/>
    <w:rsid w:val="7530788B"/>
    <w:rsid w:val="75422471"/>
    <w:rsid w:val="75936E7F"/>
    <w:rsid w:val="75947170"/>
    <w:rsid w:val="759A61FC"/>
    <w:rsid w:val="76237A75"/>
    <w:rsid w:val="76426BCC"/>
    <w:rsid w:val="769557B6"/>
    <w:rsid w:val="770B5DD7"/>
    <w:rsid w:val="771A36A5"/>
    <w:rsid w:val="778620F0"/>
    <w:rsid w:val="77884AB3"/>
    <w:rsid w:val="788B1B55"/>
    <w:rsid w:val="78EB552B"/>
    <w:rsid w:val="793619F1"/>
    <w:rsid w:val="79783C64"/>
    <w:rsid w:val="7993773F"/>
    <w:rsid w:val="79AB4A88"/>
    <w:rsid w:val="79BD371A"/>
    <w:rsid w:val="7A526335"/>
    <w:rsid w:val="7A8D0117"/>
    <w:rsid w:val="7BB51BEE"/>
    <w:rsid w:val="7C2154D6"/>
    <w:rsid w:val="7C8D4919"/>
    <w:rsid w:val="7CA90BA0"/>
    <w:rsid w:val="7CB20C21"/>
    <w:rsid w:val="7CE55D78"/>
    <w:rsid w:val="7D706F68"/>
    <w:rsid w:val="7D7809E9"/>
    <w:rsid w:val="7D8C697F"/>
    <w:rsid w:val="7D9E7B82"/>
    <w:rsid w:val="7DBD5782"/>
    <w:rsid w:val="7E046E5D"/>
    <w:rsid w:val="7E152E18"/>
    <w:rsid w:val="7E2D681A"/>
    <w:rsid w:val="7E2E6314"/>
    <w:rsid w:val="7E324E10"/>
    <w:rsid w:val="7E3F60E7"/>
    <w:rsid w:val="7E815519"/>
    <w:rsid w:val="7F4C286A"/>
    <w:rsid w:val="7F4C4618"/>
    <w:rsid w:val="7F664645"/>
    <w:rsid w:val="7F9554E0"/>
    <w:rsid w:val="7F9D0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outlineLvl w:val="1"/>
    </w:pPr>
    <w:rPr>
      <w:rFonts w:hint="eastAsia" w:ascii="宋体" w:hAnsi="宋体" w:eastAsia="宋体" w:cs="Times New Roman"/>
      <w:b/>
      <w:bCs/>
      <w:sz w:val="36"/>
      <w:szCs w:val="36"/>
      <w:lang w:eastAsia="zh-CN"/>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List Number"/>
    <w:basedOn w:val="1"/>
    <w:qFormat/>
    <w:uiPriority w:val="0"/>
    <w:pPr>
      <w:numPr>
        <w:ilvl w:val="0"/>
        <w:numId w:val="1"/>
      </w:numPr>
    </w:pPr>
  </w:style>
  <w:style w:type="paragraph" w:styleId="4">
    <w:name w:val="annotation text"/>
    <w:basedOn w:val="1"/>
    <w:link w:val="25"/>
    <w:qFormat/>
    <w:uiPriority w:val="0"/>
  </w:style>
  <w:style w:type="paragraph" w:styleId="5">
    <w:name w:val="footer"/>
    <w:basedOn w:val="1"/>
    <w:link w:val="23"/>
    <w:qFormat/>
    <w:uiPriority w:val="0"/>
    <w:pPr>
      <w:tabs>
        <w:tab w:val="center" w:pos="4153"/>
        <w:tab w:val="right" w:pos="8306"/>
      </w:tabs>
    </w:pPr>
    <w:rPr>
      <w:sz w:val="18"/>
      <w:szCs w:val="18"/>
    </w:rPr>
  </w:style>
  <w:style w:type="paragraph" w:styleId="6">
    <w:name w:val="header"/>
    <w:basedOn w:val="1"/>
    <w:link w:val="22"/>
    <w:qFormat/>
    <w:uiPriority w:val="0"/>
    <w:pPr>
      <w:tabs>
        <w:tab w:val="center" w:pos="4153"/>
        <w:tab w:val="right" w:pos="8306"/>
      </w:tabs>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8">
    <w:name w:val="Normal (Web)"/>
    <w:basedOn w:val="1"/>
    <w:qFormat/>
    <w:uiPriority w:val="0"/>
    <w:pPr>
      <w:spacing w:beforeAutospacing="1" w:afterAutospacing="1"/>
    </w:pPr>
    <w:rPr>
      <w:rFonts w:cs="Times New Roman"/>
      <w:sz w:val="24"/>
      <w:lang w:eastAsia="zh-CN"/>
    </w:rPr>
  </w:style>
  <w:style w:type="paragraph" w:styleId="9">
    <w:name w:val="annotation subject"/>
    <w:basedOn w:val="4"/>
    <w:next w:val="4"/>
    <w:link w:val="26"/>
    <w:qFormat/>
    <w:uiPriority w:val="0"/>
    <w:rPr>
      <w:b/>
      <w:bCs/>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annotation reference"/>
    <w:basedOn w:val="11"/>
    <w:qFormat/>
    <w:uiPriority w:val="0"/>
    <w:rPr>
      <w:sz w:val="21"/>
      <w:szCs w:val="21"/>
    </w:rPr>
  </w:style>
  <w:style w:type="table" w:customStyle="1" w:styleId="15">
    <w:name w:val="Table Normal"/>
    <w:basedOn w:val="10"/>
    <w:unhideWhenUsed/>
    <w:qFormat/>
    <w:uiPriority w:val="0"/>
    <w:tblPr>
      <w:tblCellMar>
        <w:left w:w="0" w:type="dxa"/>
        <w:right w:w="0" w:type="dxa"/>
      </w:tblCellMar>
    </w:tblPr>
  </w:style>
  <w:style w:type="paragraph" w:customStyle="1" w:styleId="16">
    <w:name w:val="Table Text"/>
    <w:basedOn w:val="1"/>
    <w:semiHidden/>
    <w:qFormat/>
    <w:uiPriority w:val="0"/>
    <w:rPr>
      <w:rFonts w:ascii="宋体" w:hAnsi="宋体" w:eastAsia="宋体" w:cs="宋体"/>
      <w:sz w:val="24"/>
      <w:szCs w:val="24"/>
    </w:rPr>
  </w:style>
  <w:style w:type="paragraph" w:customStyle="1" w:styleId="17">
    <w:name w:val="p1"/>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paragraph" w:customStyle="1" w:styleId="18">
    <w:name w:val="p2"/>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character" w:customStyle="1" w:styleId="19">
    <w:name w:val="s1"/>
    <w:basedOn w:val="11"/>
    <w:qFormat/>
    <w:uiPriority w:val="0"/>
    <w:rPr>
      <w:rFonts w:hint="default" w:ascii="UICTFontTextStyleBody" w:hAnsi="UICTFontTextStyleBody"/>
      <w:sz w:val="26"/>
      <w:szCs w:val="26"/>
    </w:rPr>
  </w:style>
  <w:style w:type="paragraph" w:customStyle="1" w:styleId="20">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21">
    <w:name w:val="修订2"/>
    <w:hidden/>
    <w:unhideWhenUsed/>
    <w:qFormat/>
    <w:uiPriority w:val="99"/>
    <w:rPr>
      <w:rFonts w:ascii="Arial" w:hAnsi="Arial" w:eastAsia="Arial" w:cs="Arial"/>
      <w:snapToGrid w:val="0"/>
      <w:color w:val="000000"/>
      <w:sz w:val="21"/>
      <w:szCs w:val="21"/>
      <w:lang w:val="en-US" w:eastAsia="en-US" w:bidi="ar-SA"/>
    </w:rPr>
  </w:style>
  <w:style w:type="character" w:customStyle="1" w:styleId="22">
    <w:name w:val="页眉 字符"/>
    <w:basedOn w:val="11"/>
    <w:link w:val="6"/>
    <w:qFormat/>
    <w:uiPriority w:val="0"/>
    <w:rPr>
      <w:rFonts w:ascii="Arial" w:hAnsi="Arial" w:eastAsia="Arial" w:cs="Arial"/>
      <w:snapToGrid w:val="0"/>
      <w:color w:val="000000"/>
      <w:sz w:val="18"/>
      <w:szCs w:val="18"/>
      <w:lang w:eastAsia="en-US"/>
    </w:rPr>
  </w:style>
  <w:style w:type="character" w:customStyle="1" w:styleId="23">
    <w:name w:val="页脚 字符"/>
    <w:basedOn w:val="11"/>
    <w:link w:val="5"/>
    <w:qFormat/>
    <w:uiPriority w:val="0"/>
    <w:rPr>
      <w:rFonts w:ascii="Arial" w:hAnsi="Arial" w:eastAsia="Arial" w:cs="Arial"/>
      <w:snapToGrid w:val="0"/>
      <w:color w:val="000000"/>
      <w:sz w:val="18"/>
      <w:szCs w:val="18"/>
      <w:lang w:eastAsia="en-US"/>
    </w:rPr>
  </w:style>
  <w:style w:type="paragraph" w:customStyle="1" w:styleId="24">
    <w:name w:val="修订3"/>
    <w:hidden/>
    <w:unhideWhenUsed/>
    <w:qFormat/>
    <w:uiPriority w:val="99"/>
    <w:rPr>
      <w:rFonts w:ascii="Arial" w:hAnsi="Arial" w:eastAsia="Arial" w:cs="Arial"/>
      <w:snapToGrid w:val="0"/>
      <w:color w:val="000000"/>
      <w:sz w:val="21"/>
      <w:szCs w:val="21"/>
      <w:lang w:val="en-US" w:eastAsia="en-US" w:bidi="ar-SA"/>
    </w:rPr>
  </w:style>
  <w:style w:type="character" w:customStyle="1" w:styleId="25">
    <w:name w:val="批注文字 字符"/>
    <w:basedOn w:val="11"/>
    <w:link w:val="4"/>
    <w:qFormat/>
    <w:uiPriority w:val="0"/>
    <w:rPr>
      <w:rFonts w:ascii="Arial" w:hAnsi="Arial" w:eastAsia="Arial" w:cs="Arial"/>
      <w:snapToGrid w:val="0"/>
      <w:color w:val="000000"/>
      <w:sz w:val="21"/>
      <w:szCs w:val="21"/>
      <w:lang w:eastAsia="en-US"/>
    </w:rPr>
  </w:style>
  <w:style w:type="character" w:customStyle="1" w:styleId="26">
    <w:name w:val="批注主题 字符"/>
    <w:basedOn w:val="25"/>
    <w:link w:val="9"/>
    <w:qFormat/>
    <w:uiPriority w:val="0"/>
    <w:rPr>
      <w:rFonts w:ascii="Arial" w:hAnsi="Arial" w:eastAsia="Arial" w:cs="Arial"/>
      <w:b/>
      <w:bCs/>
      <w:snapToGrid w:val="0"/>
      <w:color w:val="000000"/>
      <w:sz w:val="21"/>
      <w:szCs w:val="21"/>
      <w:lang w:eastAsia="en-US"/>
    </w:rPr>
  </w:style>
  <w:style w:type="paragraph" w:customStyle="1" w:styleId="27">
    <w:name w:val="修订4"/>
    <w:hidden/>
    <w:unhideWhenUsed/>
    <w:qFormat/>
    <w:uiPriority w:val="99"/>
    <w:rPr>
      <w:rFonts w:ascii="Arial" w:hAnsi="Arial" w:eastAsia="Arial" w:cs="Arial"/>
      <w:snapToGrid w:val="0"/>
      <w:color w:val="000000"/>
      <w:sz w:val="21"/>
      <w:szCs w:val="21"/>
      <w:lang w:val="en-US" w:eastAsia="en-US" w:bidi="ar-SA"/>
    </w:rPr>
  </w:style>
  <w:style w:type="character" w:customStyle="1" w:styleId="28">
    <w:name w:val="15"/>
    <w:basedOn w:val="11"/>
    <w:qFormat/>
    <w:uiPriority w:val="0"/>
    <w:rPr>
      <w:rFonts w:hint="default" w:ascii="Times New Roman" w:hAnsi="Times New Roman" w:cs="Times New Roman"/>
      <w:b/>
    </w:rPr>
  </w:style>
  <w:style w:type="character" w:customStyle="1" w:styleId="29">
    <w:name w:val="10"/>
    <w:basedOn w:val="11"/>
    <w:qFormat/>
    <w:uiPriority w:val="0"/>
    <w:rPr>
      <w:rFonts w:hint="default" w:ascii="Times New Roman" w:hAnsi="Times New Roman" w:cs="Times New Roman"/>
    </w:rPr>
  </w:style>
  <w:style w:type="paragraph" w:customStyle="1" w:styleId="30">
    <w:name w:val="修订5"/>
    <w:hidden/>
    <w:unhideWhenUsed/>
    <w:qFormat/>
    <w:uiPriority w:val="99"/>
    <w:rPr>
      <w:rFonts w:ascii="Arial" w:hAnsi="Arial" w:eastAsia="Arial" w:cs="Arial"/>
      <w:snapToGrid w:val="0"/>
      <w:color w:val="000000"/>
      <w:sz w:val="21"/>
      <w:szCs w:val="21"/>
      <w:lang w:val="en-US" w:eastAsia="en-US" w:bidi="ar-SA"/>
    </w:rPr>
  </w:style>
  <w:style w:type="paragraph" w:customStyle="1" w:styleId="31">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4e92b32e-6520-4b5d-860a-d4545097c25d</errorID>
      <errorWord>-</errorWord>
      <group>L1_Format</group>
      <groupName>格式问题</groupName>
      <ability>L2_HalfPunc_CN</ability>
      <abilityName>全半角问题</abilityName>
      <candidateList>
        <item>－</item>
      </candidateList>
      <explain>文本全半角错误。</explain>
      <paraID>68239CDB</paraID>
      <start>20</start>
      <end>21</end>
      <status>unmodified</status>
      <modifiedWord/>
      <trackRevisions>false</trackRevisions>
    </reviewItem>
    <reviewItem>
      <errorID>c593b229-f260-4635-96bf-656b13a4d503</errorID>
      <errorWord>-</errorWord>
      <group>L1_Format</group>
      <groupName>格式问题</groupName>
      <ability>L2_HalfPunc_CN</ability>
      <abilityName>全半角问题</abilityName>
      <candidateList>
        <item>－</item>
      </candidateList>
      <explain>文本全半角错误。</explain>
      <paraID>68239CDB</paraID>
      <start>23</start>
      <end>24</end>
      <status>unmodified</status>
      <modifiedWord/>
      <trackRevisions>false</trackRevisions>
    </reviewItem>
    <reviewItem>
      <errorID>e74744e9-97bc-4db4-94ce-0699532108d4</errorID>
      <errorWord>-</errorWord>
      <group>L1_Format</group>
      <groupName>格式问题</groupName>
      <ability>L2_HalfPunc_CN</ability>
      <abilityName>全半角问题</abilityName>
      <candidateList>
        <item>－</item>
      </candidateList>
      <explain>文本全半角错误。</explain>
      <paraID>68239CDB</paraID>
      <start>26</start>
      <end>27</end>
      <status>unmodified</status>
      <modifiedWord/>
      <trackRevisions>false</trackRevisions>
    </reviewItem>
    <reviewItem>
      <errorID>e1f49a67-fb6f-4a43-b723-8b1c61a6a342</errorID>
      <errorWord>-</errorWord>
      <group>L1_Format</group>
      <groupName>格式问题</groupName>
      <ability>L2_HalfPunc_CN</ability>
      <abilityName>全半角问题</abilityName>
      <candidateList>
        <item>－</item>
      </candidateList>
      <explain>文本全半角错误。</explain>
      <paraID>68239CDB</paraID>
      <start>29</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F44C5692-E611-40F9-8E4F-189CAD100875}">
  <ds:schemaRefs/>
</ds:datastoreItem>
</file>

<file path=docProps/app.xml><?xml version="1.0" encoding="utf-8"?>
<Properties xmlns="http://schemas.openxmlformats.org/officeDocument/2006/extended-properties" xmlns:vt="http://schemas.openxmlformats.org/officeDocument/2006/docPropsVTypes">
  <Template>Normal</Template>
  <Pages>4</Pages>
  <Words>2461</Words>
  <Characters>2569</Characters>
  <Lines>20</Lines>
  <Paragraphs>5</Paragraphs>
  <TotalTime>6</TotalTime>
  <ScaleCrop>false</ScaleCrop>
  <LinksUpToDate>false</LinksUpToDate>
  <CharactersWithSpaces>2631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2026-10-19T09:23:00Z</dcterms:created>
  <dc:creator>荣大-李雷</dc:creator>
  <cp:lastModifiedBy>Melody</cp:lastModifiedBy>
  <dcterms:modified xsi:type="dcterms:W3CDTF">2026-10-20T07:56:32Z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2024-07-26T02:33:54Z</vt:filetime>
  </property>
  <property fmtid="{D5CDD505-2E9C-101B-9397-08002B2CF9AE}" pid="4" name="KSOProductBuildVer">
    <vt:lpwstr>2052-12.1.0.29161</vt:lpwstr>
  </property>
  <property fmtid="{D5CDD505-2E9C-101B-9397-08002B2CF9AE}" pid="5" name="ICV">
    <vt:lpwstr>CB67B258703E49FFAEBD0F89150C769C_13</vt:lpwstr>
  </property>
  <property fmtid="{D5CDD505-2E9C-101B-9397-08002B2CF9AE}" pid="6" name="KSOTemplateDocerSaveRecord">
    <vt:lpwstr>eyJoZGlkIjoiYmM4YTI2YzdmNDcxYmFlYzY0ZDcyMzE0OGYyY2ZlMDQiLCJ1c2VySWQiOiIyNzA1NzQyMTkifQ==</vt:lpwstr>
  </property>
</Properties>
</file>