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A82BD0">
      <w:pPr>
        <w:keepNext/>
        <w:keepLines/>
        <w:spacing w:before="260" w:after="260" w:line="360" w:lineRule="auto"/>
        <w:jc w:val="center"/>
        <w:outlineLvl w:val="1"/>
        <w:rPr>
          <w:rFonts w:ascii="宋体" w:hAnsi="宋体" w:eastAsia="宋体" w:cs="Times New Roman"/>
          <w:b/>
          <w:bCs/>
          <w:iCs/>
          <w:sz w:val="24"/>
          <w:szCs w:val="24"/>
        </w:rPr>
      </w:pPr>
      <w:r>
        <w:rPr>
          <w:rFonts w:hint="eastAsia" w:ascii="宋体" w:hAnsi="宋体" w:eastAsia="宋体" w:cs="Times New Roman"/>
          <w:b/>
          <w:bCs/>
          <w:iCs/>
          <w:sz w:val="24"/>
          <w:szCs w:val="24"/>
        </w:rPr>
        <w:t>证券代码：688053                                 证券简称：ST思科瑞</w:t>
      </w:r>
    </w:p>
    <w:p w14:paraId="0C5FB4CB">
      <w:pPr>
        <w:keepNext/>
        <w:keepLines/>
        <w:spacing w:before="156" w:beforeLines="50" w:after="156" w:afterLines="50" w:line="360" w:lineRule="auto"/>
        <w:jc w:val="center"/>
        <w:outlineLvl w:val="1"/>
        <w:rPr>
          <w:rFonts w:ascii="宋体" w:hAnsi="宋体" w:eastAsia="宋体" w:cs="Times New Roman"/>
          <w:b/>
          <w:bCs/>
          <w:sz w:val="32"/>
          <w:szCs w:val="32"/>
        </w:rPr>
      </w:pPr>
      <w:r>
        <w:rPr>
          <w:rFonts w:hint="eastAsia" w:ascii="宋体" w:hAnsi="宋体" w:eastAsia="宋体" w:cs="Times New Roman"/>
          <w:b/>
          <w:bCs/>
          <w:sz w:val="32"/>
          <w:szCs w:val="32"/>
        </w:rPr>
        <w:t>成都思科瑞微电子股份有限公司</w:t>
      </w:r>
    </w:p>
    <w:p w14:paraId="4708A46A">
      <w:pPr>
        <w:keepNext/>
        <w:keepLines/>
        <w:spacing w:before="156" w:beforeLines="50" w:after="156" w:afterLines="50" w:line="360" w:lineRule="auto"/>
        <w:jc w:val="center"/>
        <w:outlineLvl w:val="1"/>
        <w:rPr>
          <w:rFonts w:ascii="宋体" w:hAnsi="宋体" w:eastAsia="宋体" w:cs="Times New Roman"/>
          <w:b/>
          <w:bCs/>
          <w:sz w:val="32"/>
          <w:szCs w:val="32"/>
        </w:rPr>
      </w:pPr>
      <w:r>
        <w:rPr>
          <w:rFonts w:hint="eastAsia" w:ascii="宋体" w:hAnsi="宋体" w:eastAsia="宋体" w:cs="Times New Roman"/>
          <w:b/>
          <w:bCs/>
          <w:sz w:val="32"/>
          <w:szCs w:val="32"/>
        </w:rPr>
        <w:t>投资者关系活动记录表</w:t>
      </w:r>
    </w:p>
    <w:p w14:paraId="6B3AD6DE">
      <w:pPr>
        <w:keepNext/>
        <w:keepLines/>
        <w:spacing w:before="260" w:after="260" w:line="360" w:lineRule="auto"/>
        <w:jc w:val="left"/>
        <w:outlineLvl w:val="1"/>
        <w:rPr>
          <w:rFonts w:hint="eastAsia" w:ascii="宋体" w:hAnsi="宋体" w:eastAsia="宋体" w:cs="Times New Roman"/>
          <w:b/>
          <w:bCs/>
          <w:sz w:val="24"/>
          <w:szCs w:val="24"/>
          <w:lang w:val="en-US" w:eastAsia="zh-CN"/>
        </w:rPr>
      </w:pPr>
      <w:r>
        <w:rPr>
          <w:rFonts w:hint="eastAsia" w:ascii="宋体" w:hAnsi="宋体" w:eastAsia="宋体" w:cs="Times New Roman"/>
          <w:b/>
          <w:bCs/>
          <w:sz w:val="24"/>
          <w:szCs w:val="24"/>
        </w:rPr>
        <w:t>编号：202</w:t>
      </w:r>
      <w:r>
        <w:rPr>
          <w:rFonts w:hint="eastAsia" w:ascii="宋体" w:hAnsi="宋体" w:eastAsia="宋体" w:cs="Times New Roman"/>
          <w:b/>
          <w:bCs/>
          <w:sz w:val="24"/>
          <w:szCs w:val="24"/>
          <w:lang w:val="en-US" w:eastAsia="zh-CN"/>
        </w:rPr>
        <w:t>6</w:t>
      </w:r>
      <w:r>
        <w:rPr>
          <w:rFonts w:hint="eastAsia" w:ascii="宋体" w:hAnsi="宋体" w:eastAsia="宋体" w:cs="Times New Roman"/>
          <w:b/>
          <w:bCs/>
          <w:sz w:val="24"/>
          <w:szCs w:val="24"/>
        </w:rPr>
        <w:t>-00</w:t>
      </w:r>
      <w:r>
        <w:rPr>
          <w:rFonts w:hint="eastAsia" w:ascii="宋体" w:hAnsi="宋体" w:eastAsia="宋体" w:cs="Times New Roman"/>
          <w:b/>
          <w:bCs/>
          <w:sz w:val="24"/>
          <w:szCs w:val="24"/>
          <w:lang w:val="en-US" w:eastAsia="zh-CN"/>
        </w:rPr>
        <w:t>3</w:t>
      </w:r>
    </w:p>
    <w:tbl>
      <w:tblPr>
        <w:tblStyle w:val="10"/>
        <w:tblW w:w="0" w:type="auto"/>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12"/>
        <w:gridCol w:w="5702"/>
      </w:tblGrid>
      <w:tr w14:paraId="2889B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tcPr>
          <w:p w14:paraId="34CE0282">
            <w:pPr>
              <w:spacing w:line="360" w:lineRule="auto"/>
              <w:rPr>
                <w:rFonts w:ascii="宋体" w:hAnsi="宋体" w:eastAsia="宋体" w:cs="Times New Roman"/>
                <w:b/>
                <w:bCs/>
                <w:iCs/>
                <w:sz w:val="24"/>
                <w:szCs w:val="24"/>
              </w:rPr>
            </w:pPr>
            <w:r>
              <w:rPr>
                <w:rFonts w:hint="eastAsia" w:ascii="宋体" w:hAnsi="宋体" w:eastAsia="宋体" w:cs="Times New Roman"/>
                <w:b/>
                <w:bCs/>
                <w:iCs/>
                <w:sz w:val="24"/>
                <w:szCs w:val="24"/>
              </w:rPr>
              <w:t>投资者关系活动类别</w:t>
            </w:r>
          </w:p>
          <w:p w14:paraId="606D16DC">
            <w:pPr>
              <w:spacing w:line="360" w:lineRule="auto"/>
              <w:rPr>
                <w:rFonts w:ascii="宋体" w:hAnsi="宋体" w:eastAsia="宋体" w:cs="Times New Roman"/>
                <w:b/>
                <w:bCs/>
                <w:iCs/>
                <w:sz w:val="24"/>
                <w:szCs w:val="24"/>
              </w:rPr>
            </w:pPr>
          </w:p>
        </w:tc>
        <w:tc>
          <w:tcPr>
            <w:tcW w:w="5812" w:type="dxa"/>
            <w:shd w:val="clear" w:color="auto" w:fill="auto"/>
          </w:tcPr>
          <w:p w14:paraId="25574927">
            <w:pPr>
              <w:spacing w:line="360" w:lineRule="auto"/>
              <w:rPr>
                <w:rFonts w:ascii="宋体" w:hAnsi="宋体" w:eastAsia="宋体" w:cs="Times New Roman"/>
                <w:bCs/>
                <w:iCs/>
                <w:sz w:val="24"/>
                <w:szCs w:val="24"/>
              </w:rPr>
            </w:pPr>
            <w:r>
              <w:rPr>
                <w:rFonts w:hint="eastAsia" w:ascii="宋体" w:hAnsi="宋体" w:eastAsia="宋体" w:cs="Times New Roman"/>
                <w:bCs/>
                <w:iCs/>
                <w:sz w:val="24"/>
                <w:szCs w:val="24"/>
              </w:rPr>
              <w:t>□</w:t>
            </w:r>
            <w:r>
              <w:rPr>
                <w:rFonts w:hint="eastAsia" w:ascii="宋体" w:hAnsi="宋体" w:eastAsia="宋体" w:cs="Times New Roman"/>
                <w:sz w:val="24"/>
                <w:szCs w:val="24"/>
              </w:rPr>
              <w:t xml:space="preserve">特定对象调研        </w:t>
            </w:r>
            <w:r>
              <w:rPr>
                <w:rFonts w:hint="eastAsia" w:ascii="宋体" w:hAnsi="宋体" w:eastAsia="宋体" w:cs="Times New Roman"/>
                <w:bCs/>
                <w:iCs/>
                <w:sz w:val="24"/>
                <w:szCs w:val="24"/>
              </w:rPr>
              <w:t>□</w:t>
            </w:r>
            <w:r>
              <w:rPr>
                <w:rFonts w:hint="eastAsia" w:ascii="宋体" w:hAnsi="宋体" w:eastAsia="宋体" w:cs="Times New Roman"/>
                <w:sz w:val="24"/>
                <w:szCs w:val="24"/>
              </w:rPr>
              <w:t>分析师会议</w:t>
            </w:r>
          </w:p>
          <w:p w14:paraId="278EBB3E">
            <w:pPr>
              <w:spacing w:line="360" w:lineRule="auto"/>
              <w:rPr>
                <w:rFonts w:ascii="宋体" w:hAnsi="宋体" w:eastAsia="宋体" w:cs="Times New Roman"/>
                <w:bCs/>
                <w:iCs/>
                <w:sz w:val="24"/>
                <w:szCs w:val="24"/>
              </w:rPr>
            </w:pPr>
            <w:r>
              <w:rPr>
                <w:rFonts w:hint="eastAsia" w:ascii="宋体" w:hAnsi="宋体" w:eastAsia="宋体" w:cs="Times New Roman"/>
                <w:bCs/>
                <w:iCs/>
                <w:sz w:val="24"/>
                <w:szCs w:val="24"/>
              </w:rPr>
              <w:t>□</w:t>
            </w:r>
            <w:r>
              <w:rPr>
                <w:rFonts w:hint="eastAsia" w:ascii="宋体" w:hAnsi="宋体" w:eastAsia="宋体" w:cs="Times New Roman"/>
                <w:sz w:val="24"/>
                <w:szCs w:val="24"/>
              </w:rPr>
              <w:t xml:space="preserve">媒体采访            </w:t>
            </w:r>
            <w:r>
              <w:rPr>
                <w:rFonts w:hint="eastAsia" w:ascii="宋体" w:hAnsi="宋体" w:eastAsia="宋体" w:cs="Times New Roman"/>
                <w:bCs/>
                <w:iCs/>
                <w:sz w:val="24"/>
                <w:szCs w:val="24"/>
              </w:rPr>
              <w:sym w:font="Wingdings 2" w:char="F052"/>
            </w:r>
            <w:r>
              <w:rPr>
                <w:rFonts w:hint="eastAsia" w:ascii="宋体" w:hAnsi="宋体" w:eastAsia="宋体" w:cs="Times New Roman"/>
                <w:sz w:val="24"/>
                <w:szCs w:val="24"/>
              </w:rPr>
              <w:t>业绩说明会</w:t>
            </w:r>
          </w:p>
          <w:p w14:paraId="313F5037">
            <w:pPr>
              <w:spacing w:line="360" w:lineRule="auto"/>
              <w:rPr>
                <w:rFonts w:ascii="宋体" w:hAnsi="宋体" w:eastAsia="宋体" w:cs="Times New Roman"/>
                <w:bCs/>
                <w:iCs/>
                <w:sz w:val="24"/>
                <w:szCs w:val="24"/>
              </w:rPr>
            </w:pPr>
            <w:r>
              <w:rPr>
                <w:rFonts w:hint="eastAsia" w:ascii="宋体" w:hAnsi="宋体" w:eastAsia="宋体" w:cs="Times New Roman"/>
                <w:bCs/>
                <w:iCs/>
                <w:sz w:val="24"/>
                <w:szCs w:val="24"/>
              </w:rPr>
              <w:t>□</w:t>
            </w:r>
            <w:r>
              <w:rPr>
                <w:rFonts w:hint="eastAsia" w:ascii="宋体" w:hAnsi="宋体" w:eastAsia="宋体" w:cs="Times New Roman"/>
                <w:sz w:val="24"/>
                <w:szCs w:val="24"/>
              </w:rPr>
              <w:t xml:space="preserve">新闻发布会          </w:t>
            </w:r>
            <w:r>
              <w:rPr>
                <w:rFonts w:hint="eastAsia" w:ascii="宋体" w:hAnsi="宋体" w:eastAsia="宋体" w:cs="Times New Roman"/>
                <w:bCs/>
                <w:iCs/>
                <w:sz w:val="24"/>
                <w:szCs w:val="24"/>
              </w:rPr>
              <w:t>□</w:t>
            </w:r>
            <w:r>
              <w:rPr>
                <w:rFonts w:hint="eastAsia" w:ascii="宋体" w:hAnsi="宋体" w:eastAsia="宋体" w:cs="Times New Roman"/>
                <w:sz w:val="24"/>
                <w:szCs w:val="24"/>
              </w:rPr>
              <w:t>路演活动</w:t>
            </w:r>
          </w:p>
          <w:p w14:paraId="1CA553CA">
            <w:pPr>
              <w:tabs>
                <w:tab w:val="left" w:pos="2690"/>
                <w:tab w:val="center" w:pos="3199"/>
              </w:tabs>
              <w:spacing w:line="360" w:lineRule="auto"/>
              <w:rPr>
                <w:rFonts w:ascii="宋体" w:hAnsi="宋体" w:eastAsia="宋体" w:cs="Times New Roman"/>
                <w:bCs/>
                <w:iCs/>
                <w:sz w:val="24"/>
                <w:szCs w:val="24"/>
              </w:rPr>
            </w:pPr>
            <w:r>
              <w:rPr>
                <w:rFonts w:hint="eastAsia" w:ascii="宋体" w:hAnsi="宋体" w:eastAsia="宋体" w:cs="Times New Roman"/>
                <w:bCs/>
                <w:iCs/>
                <w:sz w:val="24"/>
                <w:szCs w:val="24"/>
              </w:rPr>
              <w:sym w:font="Wingdings 2" w:char="00A3"/>
            </w:r>
            <w:r>
              <w:rPr>
                <w:rFonts w:hint="eastAsia" w:ascii="宋体" w:hAnsi="宋体" w:eastAsia="宋体" w:cs="Times New Roman"/>
                <w:sz w:val="24"/>
                <w:szCs w:val="24"/>
              </w:rPr>
              <w:t xml:space="preserve">现场参观            </w:t>
            </w:r>
            <w:r>
              <w:rPr>
                <w:rFonts w:hint="eastAsia" w:ascii="宋体" w:hAnsi="宋体" w:eastAsia="宋体" w:cs="Times New Roman"/>
                <w:bCs/>
                <w:iCs/>
                <w:sz w:val="24"/>
                <w:szCs w:val="24"/>
              </w:rPr>
              <w:t>□</w:t>
            </w:r>
            <w:r>
              <w:rPr>
                <w:rFonts w:hint="eastAsia" w:ascii="宋体" w:hAnsi="宋体" w:eastAsia="宋体" w:cs="Times New Roman"/>
                <w:sz w:val="24"/>
                <w:szCs w:val="24"/>
              </w:rPr>
              <w:t>电话会议</w:t>
            </w:r>
          </w:p>
          <w:p w14:paraId="0973CCFA">
            <w:pPr>
              <w:tabs>
                <w:tab w:val="center" w:pos="3199"/>
              </w:tabs>
              <w:spacing w:line="360" w:lineRule="auto"/>
              <w:rPr>
                <w:rFonts w:ascii="宋体" w:hAnsi="宋体" w:eastAsia="宋体" w:cs="Times New Roman"/>
                <w:bCs/>
                <w:iCs/>
                <w:sz w:val="24"/>
                <w:szCs w:val="24"/>
              </w:rPr>
            </w:pPr>
            <w:r>
              <w:rPr>
                <w:rFonts w:hint="eastAsia" w:ascii="宋体" w:hAnsi="宋体" w:eastAsia="宋体" w:cs="Times New Roman"/>
                <w:bCs/>
                <w:iCs/>
                <w:sz w:val="24"/>
                <w:szCs w:val="24"/>
              </w:rPr>
              <w:t>□</w:t>
            </w:r>
            <w:r>
              <w:rPr>
                <w:rFonts w:hint="eastAsia" w:ascii="宋体" w:hAnsi="宋体" w:eastAsia="宋体" w:cs="Times New Roman"/>
                <w:sz w:val="24"/>
                <w:szCs w:val="24"/>
              </w:rPr>
              <w:t>其他 （</w:t>
            </w:r>
            <w:r>
              <w:rPr>
                <w:rFonts w:hint="eastAsia" w:ascii="宋体" w:hAnsi="宋体" w:eastAsia="宋体" w:cs="Times New Roman"/>
                <w:sz w:val="24"/>
                <w:szCs w:val="24"/>
                <w:u w:val="single"/>
              </w:rPr>
              <w:t>请文字说明其他活动内容）</w:t>
            </w:r>
          </w:p>
        </w:tc>
      </w:tr>
      <w:tr w14:paraId="7BDE0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tcPr>
          <w:p w14:paraId="39993DE7">
            <w:pPr>
              <w:spacing w:line="360" w:lineRule="auto"/>
              <w:rPr>
                <w:rFonts w:ascii="宋体" w:hAnsi="宋体" w:eastAsia="宋体" w:cs="Times New Roman"/>
                <w:b/>
                <w:bCs/>
                <w:iCs/>
                <w:sz w:val="24"/>
                <w:szCs w:val="24"/>
              </w:rPr>
            </w:pPr>
            <w:r>
              <w:rPr>
                <w:rFonts w:hint="eastAsia" w:ascii="宋体" w:hAnsi="宋体" w:eastAsia="宋体" w:cs="Times New Roman"/>
                <w:b/>
                <w:bCs/>
                <w:iCs/>
                <w:sz w:val="24"/>
                <w:szCs w:val="24"/>
              </w:rPr>
              <w:t>参与单位名称及人员姓名</w:t>
            </w:r>
          </w:p>
        </w:tc>
        <w:tc>
          <w:tcPr>
            <w:tcW w:w="5812" w:type="dxa"/>
            <w:shd w:val="clear" w:color="auto" w:fill="auto"/>
          </w:tcPr>
          <w:p w14:paraId="685B2331">
            <w:pPr>
              <w:pStyle w:val="3"/>
              <w:shd w:val="clear" w:color="auto" w:fill="FFFFFF"/>
              <w:spacing w:before="0" w:after="0"/>
              <w:rPr>
                <w:rFonts w:ascii="宋体" w:hAnsi="宋体" w:eastAsia="宋体" w:cs="Times New Roman"/>
                <w:b w:val="0"/>
                <w:iCs/>
                <w:sz w:val="24"/>
                <w:szCs w:val="24"/>
              </w:rPr>
            </w:pPr>
            <w:r>
              <w:rPr>
                <w:rFonts w:hint="eastAsia" w:ascii="宋体" w:hAnsi="宋体" w:eastAsia="宋体" w:cs="Times New Roman"/>
                <w:b w:val="0"/>
                <w:iCs/>
                <w:sz w:val="24"/>
                <w:szCs w:val="24"/>
              </w:rPr>
              <w:t>线上参与公司</w:t>
            </w:r>
            <w:r>
              <w:rPr>
                <w:rFonts w:hint="eastAsia" w:ascii="宋体" w:hAnsi="宋体" w:eastAsia="宋体" w:cs="Times New Roman"/>
                <w:b w:val="0"/>
                <w:iCs/>
                <w:sz w:val="24"/>
                <w:szCs w:val="24"/>
                <w:lang w:val="en-GB"/>
              </w:rPr>
              <w:t>2026年</w:t>
            </w:r>
            <w:r>
              <w:rPr>
                <w:rFonts w:hint="eastAsia" w:ascii="宋体" w:hAnsi="宋体" w:eastAsia="宋体" w:cs="Times New Roman"/>
                <w:b w:val="0"/>
                <w:iCs/>
                <w:sz w:val="24"/>
                <w:szCs w:val="24"/>
                <w:lang w:val="en-US" w:eastAsia="zh-CN"/>
              </w:rPr>
              <w:t>半年度</w:t>
            </w:r>
            <w:r>
              <w:rPr>
                <w:rFonts w:hint="eastAsia" w:ascii="宋体" w:hAnsi="宋体" w:eastAsia="宋体" w:cs="Times New Roman"/>
                <w:b w:val="0"/>
                <w:iCs/>
                <w:sz w:val="24"/>
                <w:szCs w:val="24"/>
                <w:lang w:val="en-GB"/>
              </w:rPr>
              <w:t>业绩说明会</w:t>
            </w:r>
            <w:r>
              <w:rPr>
                <w:rFonts w:hint="eastAsia" w:ascii="宋体" w:hAnsi="宋体" w:eastAsia="宋体" w:cs="Times New Roman"/>
                <w:b w:val="0"/>
                <w:iCs/>
                <w:sz w:val="24"/>
                <w:szCs w:val="24"/>
              </w:rPr>
              <w:t>的投资者</w:t>
            </w:r>
          </w:p>
        </w:tc>
      </w:tr>
      <w:tr w14:paraId="230AE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tcPr>
          <w:p w14:paraId="14120831">
            <w:pPr>
              <w:spacing w:line="360" w:lineRule="auto"/>
              <w:rPr>
                <w:rFonts w:ascii="宋体" w:hAnsi="宋体" w:eastAsia="宋体" w:cs="Times New Roman"/>
                <w:b/>
                <w:bCs/>
                <w:iCs/>
                <w:sz w:val="24"/>
                <w:szCs w:val="24"/>
              </w:rPr>
            </w:pPr>
            <w:r>
              <w:rPr>
                <w:rFonts w:hint="eastAsia" w:ascii="宋体" w:hAnsi="宋体" w:eastAsia="宋体" w:cs="Times New Roman"/>
                <w:b/>
                <w:bCs/>
                <w:iCs/>
                <w:sz w:val="24"/>
                <w:szCs w:val="24"/>
              </w:rPr>
              <w:t>会议时间</w:t>
            </w:r>
          </w:p>
        </w:tc>
        <w:tc>
          <w:tcPr>
            <w:tcW w:w="5812" w:type="dxa"/>
            <w:shd w:val="clear" w:color="auto" w:fill="auto"/>
          </w:tcPr>
          <w:p w14:paraId="0A7D8B26">
            <w:pPr>
              <w:spacing w:line="360" w:lineRule="auto"/>
              <w:rPr>
                <w:rFonts w:ascii="宋体" w:hAnsi="宋体" w:eastAsia="宋体" w:cs="Times New Roman"/>
                <w:bCs/>
                <w:iCs/>
                <w:sz w:val="24"/>
                <w:szCs w:val="24"/>
              </w:rPr>
            </w:pPr>
            <w:r>
              <w:rPr>
                <w:rFonts w:hint="eastAsia" w:ascii="宋体" w:hAnsi="宋体" w:eastAsia="宋体" w:cs="Times New Roman"/>
                <w:bCs/>
                <w:iCs/>
                <w:sz w:val="24"/>
                <w:szCs w:val="24"/>
              </w:rPr>
              <w:t>202</w:t>
            </w:r>
            <w:r>
              <w:rPr>
                <w:rFonts w:hint="eastAsia" w:ascii="宋体" w:hAnsi="宋体" w:eastAsia="宋体" w:cs="Times New Roman"/>
                <w:bCs/>
                <w:iCs/>
                <w:sz w:val="24"/>
                <w:szCs w:val="24"/>
                <w:lang w:val="en-US" w:eastAsia="zh-CN"/>
              </w:rPr>
              <w:t>6</w:t>
            </w:r>
            <w:r>
              <w:rPr>
                <w:rFonts w:hint="eastAsia" w:ascii="宋体" w:hAnsi="宋体" w:eastAsia="宋体" w:cs="Times New Roman"/>
                <w:bCs/>
                <w:iCs/>
                <w:sz w:val="24"/>
                <w:szCs w:val="24"/>
              </w:rPr>
              <w:t>年</w:t>
            </w:r>
            <w:r>
              <w:rPr>
                <w:rFonts w:hint="eastAsia" w:ascii="宋体" w:hAnsi="宋体" w:eastAsia="宋体" w:cs="Times New Roman"/>
                <w:bCs/>
                <w:iCs/>
                <w:sz w:val="24"/>
                <w:szCs w:val="24"/>
                <w:lang w:val="en-US" w:eastAsia="zh-CN"/>
              </w:rPr>
              <w:t>10</w:t>
            </w:r>
            <w:r>
              <w:rPr>
                <w:rFonts w:hint="eastAsia" w:ascii="宋体" w:hAnsi="宋体" w:eastAsia="宋体" w:cs="Times New Roman"/>
                <w:bCs/>
                <w:iCs/>
                <w:sz w:val="24"/>
                <w:szCs w:val="24"/>
              </w:rPr>
              <w:t>月</w:t>
            </w:r>
            <w:r>
              <w:rPr>
                <w:rFonts w:hint="eastAsia" w:ascii="宋体" w:hAnsi="宋体" w:eastAsia="宋体" w:cs="Times New Roman"/>
                <w:bCs/>
                <w:iCs/>
                <w:sz w:val="24"/>
                <w:szCs w:val="24"/>
                <w:lang w:val="en-US" w:eastAsia="zh-CN"/>
              </w:rPr>
              <w:t>14</w:t>
            </w:r>
            <w:r>
              <w:rPr>
                <w:rFonts w:hint="eastAsia" w:ascii="宋体" w:hAnsi="宋体" w:eastAsia="宋体" w:cs="Times New Roman"/>
                <w:bCs/>
                <w:iCs/>
                <w:sz w:val="24"/>
                <w:szCs w:val="24"/>
              </w:rPr>
              <w:t>日</w:t>
            </w:r>
          </w:p>
        </w:tc>
      </w:tr>
      <w:tr w14:paraId="020E4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tcPr>
          <w:p w14:paraId="191F5A67">
            <w:pPr>
              <w:spacing w:line="360" w:lineRule="auto"/>
              <w:rPr>
                <w:rFonts w:ascii="宋体" w:hAnsi="宋体" w:eastAsia="宋体" w:cs="Times New Roman"/>
                <w:b/>
                <w:bCs/>
                <w:iCs/>
                <w:sz w:val="24"/>
                <w:szCs w:val="24"/>
              </w:rPr>
            </w:pPr>
            <w:r>
              <w:rPr>
                <w:rFonts w:hint="eastAsia" w:ascii="宋体" w:hAnsi="宋体" w:eastAsia="宋体" w:cs="Times New Roman"/>
                <w:b/>
                <w:bCs/>
                <w:iCs/>
                <w:sz w:val="24"/>
                <w:szCs w:val="24"/>
              </w:rPr>
              <w:t>会议地点</w:t>
            </w:r>
          </w:p>
        </w:tc>
        <w:tc>
          <w:tcPr>
            <w:tcW w:w="5812" w:type="dxa"/>
            <w:shd w:val="clear" w:color="auto" w:fill="auto"/>
          </w:tcPr>
          <w:p w14:paraId="50B06E63">
            <w:pPr>
              <w:spacing w:line="360" w:lineRule="auto"/>
              <w:rPr>
                <w:rFonts w:ascii="宋体" w:hAnsi="宋体" w:eastAsia="宋体" w:cs="Times New Roman"/>
                <w:bCs/>
                <w:iCs/>
                <w:sz w:val="24"/>
                <w:szCs w:val="24"/>
              </w:rPr>
            </w:pPr>
            <w:r>
              <w:rPr>
                <w:rFonts w:hint="eastAsia" w:ascii="宋体" w:hAnsi="宋体" w:eastAsia="宋体" w:cs="Times New Roman"/>
                <w:bCs/>
                <w:iCs/>
                <w:sz w:val="24"/>
                <w:szCs w:val="24"/>
              </w:rPr>
              <w:t>网络方式</w:t>
            </w:r>
          </w:p>
        </w:tc>
      </w:tr>
      <w:tr w14:paraId="66C00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tcPr>
          <w:p w14:paraId="03ED4CAF">
            <w:pPr>
              <w:spacing w:line="360" w:lineRule="auto"/>
              <w:rPr>
                <w:rFonts w:ascii="宋体" w:hAnsi="宋体" w:eastAsia="宋体" w:cs="Times New Roman"/>
                <w:b/>
                <w:bCs/>
                <w:iCs/>
                <w:sz w:val="24"/>
                <w:szCs w:val="24"/>
              </w:rPr>
            </w:pPr>
            <w:r>
              <w:rPr>
                <w:rFonts w:hint="eastAsia" w:ascii="宋体" w:hAnsi="宋体" w:eastAsia="宋体" w:cs="Times New Roman"/>
                <w:b/>
                <w:bCs/>
                <w:iCs/>
                <w:sz w:val="24"/>
                <w:szCs w:val="24"/>
              </w:rPr>
              <w:t>上市公司接待人员姓名</w:t>
            </w:r>
          </w:p>
        </w:tc>
        <w:tc>
          <w:tcPr>
            <w:tcW w:w="5812" w:type="dxa"/>
            <w:shd w:val="clear" w:color="auto" w:fill="auto"/>
          </w:tcPr>
          <w:p w14:paraId="45415BB9">
            <w:pPr>
              <w:tabs>
                <w:tab w:val="center" w:pos="2798"/>
              </w:tabs>
              <w:spacing w:line="360" w:lineRule="auto"/>
              <w:rPr>
                <w:rFonts w:ascii="宋体" w:hAnsi="宋体" w:eastAsia="宋体" w:cs="Times New Roman"/>
                <w:bCs/>
                <w:iCs/>
                <w:sz w:val="24"/>
                <w:szCs w:val="24"/>
              </w:rPr>
            </w:pPr>
            <w:r>
              <w:rPr>
                <w:rFonts w:hint="eastAsia" w:ascii="宋体" w:hAnsi="宋体" w:eastAsia="宋体" w:cs="Times New Roman"/>
                <w:bCs/>
                <w:iCs/>
                <w:sz w:val="24"/>
                <w:szCs w:val="24"/>
              </w:rPr>
              <w:t>董事长：张亚</w:t>
            </w:r>
          </w:p>
          <w:p w14:paraId="3C0FD782">
            <w:pPr>
              <w:tabs>
                <w:tab w:val="center" w:pos="2798"/>
              </w:tabs>
              <w:spacing w:line="360" w:lineRule="auto"/>
              <w:rPr>
                <w:rFonts w:ascii="宋体" w:hAnsi="宋体" w:eastAsia="宋体" w:cs="Times New Roman"/>
                <w:bCs/>
                <w:iCs/>
                <w:sz w:val="24"/>
                <w:szCs w:val="24"/>
              </w:rPr>
            </w:pPr>
            <w:r>
              <w:rPr>
                <w:rFonts w:hint="eastAsia" w:ascii="宋体" w:hAnsi="宋体" w:eastAsia="宋体" w:cs="Times New Roman"/>
                <w:bCs/>
                <w:iCs/>
                <w:sz w:val="24"/>
                <w:szCs w:val="24"/>
              </w:rPr>
              <w:t>总经理：杨大为</w:t>
            </w:r>
          </w:p>
          <w:p w14:paraId="09CE7696">
            <w:pPr>
              <w:tabs>
                <w:tab w:val="center" w:pos="2798"/>
              </w:tabs>
              <w:spacing w:line="360" w:lineRule="auto"/>
              <w:rPr>
                <w:rFonts w:hint="eastAsia" w:ascii="宋体" w:hAnsi="宋体" w:eastAsia="宋体" w:cs="Times New Roman"/>
                <w:bCs/>
                <w:iCs/>
                <w:sz w:val="24"/>
                <w:szCs w:val="24"/>
                <w:lang w:eastAsia="zh-CN"/>
              </w:rPr>
            </w:pPr>
            <w:r>
              <w:rPr>
                <w:rFonts w:hint="eastAsia" w:ascii="宋体" w:hAnsi="宋体" w:eastAsia="宋体" w:cs="Times New Roman"/>
                <w:bCs/>
                <w:iCs/>
                <w:sz w:val="24"/>
                <w:szCs w:val="24"/>
              </w:rPr>
              <w:t>董事会秘书：</w:t>
            </w:r>
            <w:r>
              <w:rPr>
                <w:rFonts w:hint="eastAsia" w:ascii="宋体" w:hAnsi="宋体" w:eastAsia="宋体" w:cs="Times New Roman"/>
                <w:bCs/>
                <w:iCs/>
                <w:sz w:val="24"/>
                <w:szCs w:val="24"/>
                <w:lang w:val="en-US" w:eastAsia="zh-CN"/>
              </w:rPr>
              <w:t>秦竹林</w:t>
            </w:r>
          </w:p>
          <w:p w14:paraId="0CEA22F1">
            <w:pPr>
              <w:tabs>
                <w:tab w:val="center" w:pos="2798"/>
              </w:tabs>
              <w:spacing w:line="360" w:lineRule="auto"/>
              <w:rPr>
                <w:rFonts w:ascii="宋体" w:hAnsi="宋体" w:eastAsia="宋体" w:cs="Times New Roman"/>
                <w:bCs/>
                <w:iCs/>
                <w:sz w:val="24"/>
                <w:szCs w:val="24"/>
              </w:rPr>
            </w:pPr>
            <w:r>
              <w:rPr>
                <w:rFonts w:hint="eastAsia" w:ascii="宋体" w:hAnsi="宋体" w:eastAsia="宋体" w:cs="Times New Roman"/>
                <w:bCs/>
                <w:iCs/>
                <w:sz w:val="24"/>
                <w:szCs w:val="24"/>
              </w:rPr>
              <w:t>财务总监：李雅冰</w:t>
            </w:r>
          </w:p>
          <w:p w14:paraId="13598E75">
            <w:pPr>
              <w:spacing w:line="360" w:lineRule="auto"/>
              <w:rPr>
                <w:rFonts w:hint="eastAsia" w:eastAsia="宋体"/>
                <w:lang w:eastAsia="zh-CN"/>
              </w:rPr>
            </w:pPr>
            <w:r>
              <w:rPr>
                <w:rFonts w:hint="eastAsia" w:ascii="宋体" w:hAnsi="宋体" w:eastAsia="宋体" w:cs="Times New Roman"/>
                <w:bCs/>
                <w:iCs/>
                <w:sz w:val="24"/>
                <w:szCs w:val="24"/>
              </w:rPr>
              <w:t>独立董事：</w:t>
            </w:r>
            <w:r>
              <w:rPr>
                <w:rFonts w:hint="eastAsia" w:ascii="宋体" w:hAnsi="宋体" w:eastAsia="宋体" w:cs="Times New Roman"/>
                <w:bCs/>
                <w:iCs/>
                <w:sz w:val="24"/>
                <w:szCs w:val="24"/>
                <w:lang w:val="en-US" w:eastAsia="zh-CN"/>
              </w:rPr>
              <w:t>夏雷</w:t>
            </w:r>
          </w:p>
        </w:tc>
      </w:tr>
      <w:tr w14:paraId="21B55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9" w:hRule="atLeast"/>
        </w:trPr>
        <w:tc>
          <w:tcPr>
            <w:tcW w:w="2978" w:type="dxa"/>
            <w:shd w:val="clear" w:color="auto" w:fill="auto"/>
            <w:vAlign w:val="center"/>
          </w:tcPr>
          <w:p w14:paraId="2579EA22">
            <w:pPr>
              <w:spacing w:line="360" w:lineRule="auto"/>
              <w:rPr>
                <w:rFonts w:ascii="宋体" w:hAnsi="宋体" w:eastAsia="宋体" w:cs="Times New Roman"/>
                <w:b/>
                <w:bCs/>
                <w:iCs/>
                <w:sz w:val="24"/>
                <w:szCs w:val="24"/>
              </w:rPr>
            </w:pPr>
            <w:r>
              <w:rPr>
                <w:rFonts w:hint="eastAsia" w:ascii="宋体" w:hAnsi="宋体" w:eastAsia="宋体" w:cs="Times New Roman"/>
                <w:b/>
                <w:bCs/>
                <w:iCs/>
                <w:sz w:val="24"/>
                <w:szCs w:val="24"/>
              </w:rPr>
              <w:t>投资者关系活动主要内容介绍</w:t>
            </w:r>
          </w:p>
        </w:tc>
        <w:tc>
          <w:tcPr>
            <w:tcW w:w="5812" w:type="dxa"/>
            <w:shd w:val="clear" w:color="auto" w:fill="auto"/>
          </w:tcPr>
          <w:p w14:paraId="4AED558C">
            <w:pPr>
              <w:spacing w:before="156" w:beforeLines="50" w:line="460" w:lineRule="exact"/>
              <w:jc w:val="center"/>
            </w:pPr>
            <w:bookmarkStart w:id="0" w:name="_Toc107222398"/>
            <w:r>
              <w:rPr>
                <w:rFonts w:hint="eastAsia" w:ascii="宋体" w:hAnsi="宋体"/>
                <w:b/>
                <w:sz w:val="24"/>
              </w:rPr>
              <w:t>投资者关系活动主要内容</w:t>
            </w:r>
          </w:p>
          <w:bookmarkEnd w:id="0"/>
          <w:p w14:paraId="6CCAC065">
            <w:pPr>
              <w:pStyle w:val="8"/>
              <w:shd w:val="clear" w:color="auto" w:fill="F4F7F6"/>
              <w:rPr>
                <w:rFonts w:hint="eastAsia" w:ascii="Cambria" w:hAnsi="Cambria" w:eastAsiaTheme="minorEastAsia" w:cstheme="minorBidi"/>
                <w:b/>
                <w:bCs/>
                <w:sz w:val="21"/>
                <w:szCs w:val="32"/>
              </w:rPr>
            </w:pPr>
            <w:r>
              <w:rPr>
                <w:rFonts w:hint="default" w:ascii="Cambria" w:hAnsi="Cambria" w:eastAsiaTheme="minorEastAsia" w:cstheme="minorBidi"/>
                <w:b/>
                <w:bCs/>
                <w:sz w:val="21"/>
                <w:szCs w:val="32"/>
                <w:lang w:val="en-US"/>
              </w:rPr>
              <w:t>问：在人才队伍建设方面，报告期公司主要采取了哪些举措？</w:t>
            </w:r>
          </w:p>
          <w:p w14:paraId="0D69DA2C">
            <w:pPr>
              <w:pStyle w:val="8"/>
              <w:shd w:val="clear" w:color="auto" w:fill="ECF0FB"/>
              <w:rPr>
                <w:rFonts w:hint="default" w:ascii="Cambria" w:hAnsi="Cambria" w:eastAsiaTheme="minorEastAsia" w:cstheme="minorBidi"/>
                <w:b/>
                <w:bCs/>
                <w:sz w:val="21"/>
                <w:szCs w:val="32"/>
                <w:lang w:val="en-US"/>
              </w:rPr>
            </w:pPr>
            <w:r>
              <w:rPr>
                <w:rFonts w:hint="default" w:ascii="Cambria" w:hAnsi="Cambria" w:eastAsiaTheme="minorEastAsia" w:cstheme="minorBidi"/>
                <w:b/>
                <w:bCs/>
                <w:sz w:val="21"/>
                <w:szCs w:val="32"/>
                <w:lang w:val="en-US"/>
              </w:rPr>
              <w:t>答:您好！公司不断加强人才的引进和培养，通过与高校和专业中介机构建立合作关系的方式招聘和吸引优秀的人才加入公司，寻找和培养符合公司需求的高级技术人才和管理人才。报告期内公司引进了多名行业内有着专业背景和丰富的工作经验的高技术水平人员加入公司。通过不断完善奖惩制度，设立激励机制，通过薪资福利、绩效奖金等方式激励和回报优秀的员工。此外，公司提供良好的工作环境、职业发展计划等措施，以吸引和留住人才。谢谢！</w:t>
            </w:r>
          </w:p>
          <w:p w14:paraId="76417B81">
            <w:pPr>
              <w:rPr>
                <w:rFonts w:hint="default" w:ascii="宋体"/>
                <w:sz w:val="24"/>
                <w:lang w:val="en-US"/>
              </w:rPr>
            </w:pPr>
          </w:p>
          <w:p w14:paraId="4A72DB97">
            <w:pPr>
              <w:pStyle w:val="8"/>
              <w:shd w:val="clear" w:color="auto" w:fill="F4F7F6"/>
            </w:pPr>
            <w:r>
              <w:rPr>
                <w:rFonts w:hint="default" w:ascii="Cambria" w:hAnsi="Cambria" w:eastAsiaTheme="minorEastAsia" w:cstheme="minorBidi"/>
                <w:b/>
                <w:bCs/>
                <w:sz w:val="21"/>
                <w:szCs w:val="32"/>
                <w:lang w:val="en-US"/>
              </w:rPr>
              <w:t>问：杨总您好，目前海南商业航天发射的卫星公司是否参与了检测，是否有营收和利润产生，占比如何，年底超级卫星工厂文昌检测中心能否产生效益，跟公司预期策划3年建设期，投资回收期（含建设期）5.32年相比是否顺利。无锡项目延期对公司有多大影响？</w:t>
            </w:r>
          </w:p>
          <w:p w14:paraId="6BC0EEAC">
            <w:pPr>
              <w:pStyle w:val="8"/>
              <w:shd w:val="clear" w:color="auto" w:fill="ECF0FB"/>
              <w:rPr>
                <w:rFonts w:hint="default" w:ascii="Cambria" w:hAnsi="Cambria" w:eastAsiaTheme="minorEastAsia" w:cstheme="minorBidi"/>
                <w:b/>
                <w:bCs/>
                <w:sz w:val="21"/>
                <w:szCs w:val="32"/>
                <w:lang w:val="en-US"/>
              </w:rPr>
            </w:pPr>
            <w:r>
              <w:rPr>
                <w:rFonts w:hint="default" w:ascii="Cambria" w:hAnsi="Cambria" w:eastAsiaTheme="minorEastAsia" w:cstheme="minorBidi"/>
                <w:b/>
                <w:bCs/>
                <w:sz w:val="21"/>
                <w:szCs w:val="32"/>
                <w:lang w:val="en-US"/>
              </w:rPr>
              <w:t>答:您好！文昌检测中心项目当前建设进展顺利，整体进度与下游商业航天产业需求节奏保持匹配。无锡检测试验基地达到预定可使用状态日期调整，系下游需求不及预期、放缓后续设备购置所致，该项目已购置并完成安装调试的设备已陆续投入使用，延期不影响这部分检测能力的正常发挥。谢谢！</w:t>
            </w:r>
          </w:p>
          <w:p w14:paraId="6D33A3CB">
            <w:pPr>
              <w:spacing w:line="460" w:lineRule="auto"/>
              <w:rPr>
                <w:rFonts w:hint="default" w:ascii="宋体"/>
                <w:sz w:val="24"/>
                <w:lang w:val="en-US"/>
              </w:rPr>
            </w:pPr>
          </w:p>
          <w:p w14:paraId="7109402A">
            <w:pPr>
              <w:pStyle w:val="8"/>
              <w:shd w:val="clear" w:color="auto" w:fill="F4F7F6"/>
              <w:rPr>
                <w:rFonts w:hint="default" w:ascii="Cambria" w:hAnsi="Cambria" w:eastAsiaTheme="minorEastAsia" w:cstheme="minorBidi"/>
                <w:b/>
                <w:bCs/>
                <w:sz w:val="21"/>
                <w:szCs w:val="32"/>
                <w:lang w:val="en-US"/>
              </w:rPr>
            </w:pPr>
            <w:r>
              <w:rPr>
                <w:rFonts w:hint="default" w:ascii="Cambria" w:hAnsi="Cambria" w:eastAsiaTheme="minorEastAsia" w:cstheme="minorBidi"/>
                <w:b/>
                <w:bCs/>
                <w:sz w:val="21"/>
                <w:szCs w:val="32"/>
                <w:lang w:val="en-US"/>
              </w:rPr>
              <w:t>问：张董您好，公司股价长期低于发行价是否会打击管理层信心，公司是否有相关市值管理措施，公司未来是否有收购计划和股权激励计划？</w:t>
            </w:r>
          </w:p>
          <w:p w14:paraId="2630702A">
            <w:pPr>
              <w:pStyle w:val="8"/>
              <w:shd w:val="clear" w:color="auto" w:fill="ECF0FB"/>
              <w:rPr>
                <w:rFonts w:hint="default" w:ascii="Cambria" w:hAnsi="Cambria" w:eastAsiaTheme="minorEastAsia" w:cstheme="minorBidi"/>
                <w:b/>
                <w:bCs/>
                <w:sz w:val="21"/>
                <w:szCs w:val="32"/>
                <w:lang w:val="en-US"/>
              </w:rPr>
            </w:pPr>
            <w:r>
              <w:rPr>
                <w:rFonts w:hint="default" w:ascii="Cambria" w:hAnsi="Cambria" w:eastAsiaTheme="minorEastAsia" w:cstheme="minorBidi"/>
                <w:b/>
                <w:bCs/>
                <w:sz w:val="21"/>
                <w:szCs w:val="32"/>
                <w:lang w:val="en-US"/>
              </w:rPr>
              <w:t>答:您好！公司始终重视投资者权益保护，已制定并持续落实“提质增效重回报”行动方案，通过提升经营效率、强化投资者沟通等方式维护公司价值。关于收购计划和股权激励计划，公司目前暂无应披露而未披露事项，后续如有将严格按照规定及时履行信息披露义务。公司重视市值管理，通过业绩说明会、现场调研等方式加强与投资者沟通。谢谢。</w:t>
            </w:r>
          </w:p>
          <w:p w14:paraId="1A6B7551">
            <w:pPr>
              <w:spacing w:line="460" w:lineRule="auto"/>
              <w:rPr>
                <w:rFonts w:hint="default" w:ascii="宋体"/>
                <w:sz w:val="24"/>
                <w:lang w:val="en-US"/>
              </w:rPr>
            </w:pPr>
          </w:p>
          <w:p w14:paraId="4A2AE06A">
            <w:pPr>
              <w:pStyle w:val="8"/>
              <w:shd w:val="clear" w:color="auto" w:fill="F4F7F6"/>
              <w:rPr>
                <w:rFonts w:hint="default" w:ascii="Cambria" w:hAnsi="Cambria" w:eastAsiaTheme="minorEastAsia" w:cstheme="minorBidi"/>
                <w:b/>
                <w:bCs/>
                <w:sz w:val="21"/>
                <w:szCs w:val="32"/>
                <w:lang w:val="en-US"/>
              </w:rPr>
            </w:pPr>
            <w:r>
              <w:rPr>
                <w:rFonts w:hint="default" w:ascii="Cambria" w:hAnsi="Cambria" w:eastAsiaTheme="minorEastAsia" w:cstheme="minorBidi"/>
                <w:b/>
                <w:bCs/>
                <w:sz w:val="21"/>
                <w:szCs w:val="32"/>
                <w:lang w:val="en-US"/>
              </w:rPr>
              <w:t>问：能否介绍公司在航空航天领域的业务布局和当前的发展情况？谢谢</w:t>
            </w:r>
          </w:p>
          <w:p w14:paraId="69CA67EF">
            <w:pPr>
              <w:pStyle w:val="8"/>
              <w:shd w:val="clear" w:color="auto" w:fill="ECF0FB"/>
              <w:rPr>
                <w:rFonts w:hint="default" w:ascii="Cambria" w:hAnsi="Cambria" w:eastAsiaTheme="minorEastAsia" w:cstheme="minorBidi"/>
                <w:b/>
                <w:bCs/>
                <w:sz w:val="21"/>
                <w:szCs w:val="32"/>
                <w:lang w:val="en-US"/>
              </w:rPr>
            </w:pPr>
            <w:r>
              <w:rPr>
                <w:rFonts w:hint="default" w:ascii="Cambria" w:hAnsi="Cambria" w:eastAsiaTheme="minorEastAsia" w:cstheme="minorBidi"/>
                <w:b/>
                <w:bCs/>
                <w:sz w:val="21"/>
                <w:szCs w:val="32"/>
                <w:lang w:val="en-US"/>
              </w:rPr>
              <w:t>答:您好！公司客户覆盖航空、航天等军工集团下属的多家重要院所及行业内知名企业。此外，公司已在海南文昌航天城设立子公司海南国星飞测，在文昌国际航天城卫星产业园投资建设思科瑞检测与可靠性文昌工程中心。2025 年 3 月海南国星飞测竞得文昌市国有建设用地使用权，用于上述工程中心建设。该中心检测能力将覆盖从元器件到整星，为卫星超级工厂及相关配套项目提供全流程、本地化、一体化且高效低成本的检测服务。公司将持续完善在航天产业检测服务领域的战略布局，进一步提升公司的市场竞争力和持续盈利能力。谢谢！</w:t>
            </w:r>
          </w:p>
          <w:p w14:paraId="0A9ADDAA">
            <w:pPr>
              <w:spacing w:line="460" w:lineRule="auto"/>
              <w:rPr>
                <w:rFonts w:hint="default" w:ascii="宋体"/>
                <w:sz w:val="24"/>
                <w:lang w:val="en-US"/>
              </w:rPr>
            </w:pPr>
          </w:p>
          <w:p w14:paraId="3D60D040">
            <w:pPr>
              <w:pStyle w:val="8"/>
              <w:shd w:val="clear" w:color="auto" w:fill="F4F7F6"/>
            </w:pPr>
            <w:r>
              <w:rPr>
                <w:rFonts w:hint="default" w:ascii="Cambria" w:hAnsi="Cambria" w:eastAsiaTheme="minorEastAsia" w:cstheme="minorBidi"/>
                <w:b/>
                <w:bCs/>
                <w:sz w:val="21"/>
                <w:szCs w:val="32"/>
                <w:lang w:val="en-US"/>
              </w:rPr>
              <w:t>问：公司目前手上重点在研项目有哪些，分别对应什么应用方向？</w:t>
            </w:r>
          </w:p>
          <w:p w14:paraId="7574B6D9">
            <w:pPr>
              <w:pStyle w:val="8"/>
              <w:shd w:val="clear" w:color="auto" w:fill="ECF0FB"/>
              <w:rPr>
                <w:rFonts w:hint="default" w:ascii="Cambria" w:hAnsi="Cambria" w:eastAsiaTheme="minorEastAsia" w:cstheme="minorBidi"/>
                <w:b/>
                <w:bCs/>
                <w:sz w:val="21"/>
                <w:szCs w:val="32"/>
                <w:lang w:val="en-US"/>
              </w:rPr>
            </w:pPr>
            <w:r>
              <w:rPr>
                <w:rFonts w:hint="default" w:ascii="Cambria" w:hAnsi="Cambria" w:eastAsiaTheme="minorEastAsia" w:cstheme="minorBidi"/>
                <w:b/>
                <w:bCs/>
                <w:sz w:val="21"/>
                <w:szCs w:val="32"/>
                <w:lang w:val="en-US"/>
              </w:rPr>
              <w:t>答:您好！公司目前重点在研项目的具体情况如下：高精度ADC测试方法研究，建立拥有自主知识产权的高精度ADC芯片测试技术研发线，突破高精度ADC芯片测试的关键技术；电流传感器测试方法研究，建立拥有自主知识产权的电流传感器芯片测试技术研发线；氮化镓芯片的测试技术开发，建立拥有自主知识产权的氮化镓芯片测试线；电容式压力传感接口芯片的测试技术开发，建立拥有自主知识产权的高精度电容式压力传感接口芯片测试技术研发线；基于SWD比特流解析的MCU测试技术研究，建立拥有自主知识产权的基于SWD比特流解析的MCU检测能力，突破传统的嵌入式烧录加载程序的模式，提升MCU的检测效率。以上项目技术水平均为行业先进水平，用于对应芯片的检测筛选与验证。谢谢！</w:t>
            </w:r>
          </w:p>
          <w:p w14:paraId="6E554F67">
            <w:pPr>
              <w:rPr>
                <w:rFonts w:hint="default" w:ascii="宋体"/>
                <w:sz w:val="24"/>
                <w:lang w:val="en-US"/>
              </w:rPr>
            </w:pPr>
          </w:p>
          <w:p w14:paraId="7906FAAC">
            <w:pPr>
              <w:pStyle w:val="8"/>
              <w:shd w:val="clear" w:color="auto" w:fill="F4F7F6"/>
              <w:rPr>
                <w:rFonts w:hint="default" w:ascii="Cambria" w:hAnsi="Cambria" w:eastAsiaTheme="minorEastAsia" w:cstheme="minorBidi"/>
                <w:b/>
                <w:bCs/>
                <w:sz w:val="21"/>
                <w:szCs w:val="32"/>
                <w:lang w:val="en-US"/>
              </w:rPr>
            </w:pPr>
            <w:r>
              <w:rPr>
                <w:rFonts w:hint="default" w:ascii="Cambria" w:hAnsi="Cambria" w:eastAsiaTheme="minorEastAsia" w:cstheme="minorBidi"/>
                <w:b/>
                <w:bCs/>
                <w:sz w:val="21"/>
                <w:szCs w:val="32"/>
                <w:lang w:val="en-US"/>
              </w:rPr>
              <w:t>问：公司在文昌航天城的检测中心预计2026年底初步形成检测能力。请问截至三季度末，是否已有航天产业链客户与公司签署了正式检测服务合同（而非意向协议）？首批订单的规模或单价区间能否披露？</w:t>
            </w:r>
          </w:p>
          <w:p w14:paraId="4D91CD42">
            <w:pPr>
              <w:pStyle w:val="8"/>
              <w:shd w:val="clear" w:color="auto" w:fill="ECF0FB"/>
              <w:rPr>
                <w:rFonts w:hint="default" w:ascii="Cambria" w:hAnsi="Cambria" w:eastAsiaTheme="minorEastAsia" w:cstheme="minorBidi"/>
                <w:b/>
                <w:bCs/>
                <w:sz w:val="21"/>
                <w:szCs w:val="32"/>
                <w:lang w:val="en-US"/>
              </w:rPr>
            </w:pPr>
            <w:r>
              <w:rPr>
                <w:rFonts w:hint="default" w:ascii="Cambria" w:hAnsi="Cambria" w:eastAsiaTheme="minorEastAsia" w:cstheme="minorBidi"/>
                <w:b/>
                <w:bCs/>
                <w:sz w:val="21"/>
                <w:szCs w:val="32"/>
                <w:lang w:val="en-US"/>
              </w:rPr>
              <w:t>答:您好！文昌检测中心项目当前建设进展顺利，整体进度与下游商业航天产业需求节奏保持匹配。公司正在与下游客户积极对接沟通，后续如有达到披露标准的事项，公司将及时履行信息披露义务，敬请关注公司后续公告并以公告信息为准。谢谢！</w:t>
            </w:r>
          </w:p>
          <w:p w14:paraId="482AB292">
            <w:pPr>
              <w:spacing w:line="460" w:lineRule="auto"/>
              <w:rPr>
                <w:rFonts w:hint="default" w:ascii="宋体"/>
                <w:sz w:val="24"/>
                <w:lang w:val="en-US"/>
              </w:rPr>
            </w:pPr>
          </w:p>
          <w:p w14:paraId="38F1275B">
            <w:pPr>
              <w:pStyle w:val="8"/>
              <w:shd w:val="clear" w:color="auto" w:fill="F4F7F6"/>
              <w:rPr>
                <w:rFonts w:hint="default" w:ascii="Cambria" w:hAnsi="Cambria" w:eastAsiaTheme="minorEastAsia" w:cstheme="minorBidi"/>
                <w:b/>
                <w:bCs/>
                <w:sz w:val="21"/>
                <w:szCs w:val="32"/>
                <w:lang w:val="en-US"/>
              </w:rPr>
            </w:pPr>
            <w:r>
              <w:rPr>
                <w:rFonts w:hint="default" w:ascii="Cambria" w:hAnsi="Cambria" w:eastAsiaTheme="minorEastAsia" w:cstheme="minorBidi"/>
                <w:b/>
                <w:bCs/>
                <w:sz w:val="21"/>
                <w:szCs w:val="32"/>
                <w:lang w:val="en-US"/>
              </w:rPr>
              <w:t>问：公司目前下游客户拓展情况如何？文昌检测中心封顶后是否有新的进度？</w:t>
            </w:r>
          </w:p>
          <w:p w14:paraId="54AE1F81">
            <w:pPr>
              <w:pStyle w:val="8"/>
              <w:shd w:val="clear" w:color="auto" w:fill="ECF0FB"/>
              <w:rPr>
                <w:rFonts w:hint="default" w:ascii="Cambria" w:hAnsi="Cambria" w:eastAsiaTheme="minorEastAsia" w:cstheme="minorBidi"/>
                <w:b/>
                <w:bCs/>
                <w:sz w:val="21"/>
                <w:szCs w:val="32"/>
                <w:lang w:val="en-US"/>
              </w:rPr>
            </w:pPr>
            <w:r>
              <w:rPr>
                <w:rFonts w:hint="default" w:ascii="Cambria" w:hAnsi="Cambria" w:eastAsiaTheme="minorEastAsia" w:cstheme="minorBidi"/>
                <w:b/>
                <w:bCs/>
                <w:sz w:val="21"/>
                <w:szCs w:val="32"/>
                <w:lang w:val="en-US"/>
              </w:rPr>
              <w:t>答:您好！报告期内，公司不断加大市场营销力度，通过多种渠道和方式积极开拓新的客户和市场。积极参与行业内的各种展览和交流活动，与潜在客户建立了合作关系，同时也在社交媒体上加强品牌宣传和推广，提高品牌知名度和影响力，新增多家新客户，新增客户覆盖航空、航天、兵器等军工集团下属的多家重要院所及行业内知名企业。报告期内，公司通过不断建设新的检测能力和扩展新的业务领域来满足市场需求，通过前期规划和实施，公司已具备开展环境可靠性试验的检测能力，公司通过不断建设可靠性检测及试验能力来更进一步为客户提供多元化、一站式的检测服务。文昌检测中心项目当前建设进展顺利，整体进度与下游商业航天产业需求节奏保持匹配。谢谢您的关注！</w:t>
            </w:r>
          </w:p>
          <w:p w14:paraId="46811173">
            <w:pPr>
              <w:spacing w:line="460" w:lineRule="auto"/>
              <w:rPr>
                <w:rFonts w:hint="default" w:ascii="宋体"/>
                <w:sz w:val="24"/>
                <w:lang w:val="en-US"/>
              </w:rPr>
            </w:pPr>
          </w:p>
          <w:p w14:paraId="6144C2CF">
            <w:pPr>
              <w:pStyle w:val="8"/>
              <w:shd w:val="clear" w:color="auto" w:fill="F4F7F6"/>
              <w:rPr>
                <w:rFonts w:hint="default" w:ascii="Cambria" w:hAnsi="Cambria" w:eastAsiaTheme="minorEastAsia" w:cstheme="minorBidi"/>
                <w:b/>
                <w:bCs/>
                <w:sz w:val="21"/>
                <w:szCs w:val="32"/>
                <w:lang w:val="en-US"/>
              </w:rPr>
            </w:pPr>
            <w:r>
              <w:rPr>
                <w:rFonts w:hint="default" w:ascii="Cambria" w:hAnsi="Cambria" w:eastAsiaTheme="minorEastAsia" w:cstheme="minorBidi"/>
                <w:b/>
                <w:bCs/>
                <w:sz w:val="21"/>
                <w:szCs w:val="32"/>
                <w:lang w:val="en-US"/>
              </w:rPr>
              <w:t>问：想了解下，上半年公司在检测技术端实现了哪些实打实的技术突破？</w:t>
            </w:r>
          </w:p>
          <w:p w14:paraId="74B497A6">
            <w:pPr>
              <w:pStyle w:val="8"/>
              <w:shd w:val="clear" w:color="auto" w:fill="ECF0FB"/>
              <w:rPr>
                <w:rFonts w:hint="default" w:ascii="Cambria" w:hAnsi="Cambria" w:eastAsiaTheme="minorEastAsia" w:cstheme="minorBidi"/>
                <w:b/>
                <w:bCs/>
                <w:sz w:val="21"/>
                <w:szCs w:val="32"/>
                <w:lang w:val="en-US"/>
              </w:rPr>
            </w:pPr>
            <w:r>
              <w:rPr>
                <w:rFonts w:hint="default" w:ascii="Cambria" w:hAnsi="Cambria" w:eastAsiaTheme="minorEastAsia" w:cstheme="minorBidi"/>
                <w:b/>
                <w:bCs/>
                <w:sz w:val="21"/>
                <w:szCs w:val="32"/>
                <w:lang w:val="en-US"/>
              </w:rPr>
              <w:t>答:您好！报告期内，利用SWD底层比特流解析技术，实现了MCU的ns级别的比特流采样，总线通信误码率检测下限降至10-15，检测效率提升了300%；利用脉冲控制技术，实现了超高精度磁角度传感器件测试，磁场角度精度可至±0.1；利用高精度恒流脉冲控制技术，采用DSP+FPGA双核数字控制架构，结合大功率IGBT并联均流、脉冲边沿精准整形，实现了电流传感器的高精度测量，最大可检测电流至500A，脉冲上升时间可控制至5A/uS；新增Zynq-7000SOC系列专用高速接口测试能力，支持DDR31066Mbps、PCIE Gen2 5Gbps、千兆以太网、USB2.0等高速检测，具备ps级时钟抖动测试能力。谢谢！</w:t>
            </w:r>
          </w:p>
          <w:p w14:paraId="092BFD79">
            <w:pPr>
              <w:spacing w:line="460" w:lineRule="auto"/>
              <w:rPr>
                <w:rFonts w:hint="default" w:ascii="宋体"/>
                <w:sz w:val="24"/>
                <w:lang w:val="en-US"/>
              </w:rPr>
            </w:pPr>
          </w:p>
          <w:p w14:paraId="40483914">
            <w:pPr>
              <w:pStyle w:val="8"/>
              <w:shd w:val="clear" w:color="auto" w:fill="F4F7F6"/>
              <w:rPr>
                <w:rFonts w:hint="default" w:ascii="Cambria" w:hAnsi="Cambria" w:eastAsiaTheme="minorEastAsia" w:cstheme="minorBidi"/>
                <w:b/>
                <w:bCs/>
                <w:sz w:val="21"/>
                <w:szCs w:val="32"/>
                <w:lang w:val="en-US"/>
              </w:rPr>
            </w:pPr>
            <w:r>
              <w:rPr>
                <w:rFonts w:hint="default" w:ascii="Cambria" w:hAnsi="Cambria" w:eastAsiaTheme="minorEastAsia" w:cstheme="minorBidi"/>
                <w:b/>
                <w:bCs/>
                <w:sz w:val="21"/>
                <w:szCs w:val="32"/>
                <w:lang w:val="en-US"/>
              </w:rPr>
              <w:t>问：咨询一下张亚总，公司卫星检测进展情况，商业航天卫星发射对公司有没有积极影响。</w:t>
            </w:r>
          </w:p>
          <w:p w14:paraId="4E084BC9">
            <w:pPr>
              <w:pStyle w:val="8"/>
              <w:shd w:val="clear" w:color="auto" w:fill="ECF0FB"/>
              <w:rPr>
                <w:rFonts w:hint="default" w:ascii="Cambria" w:hAnsi="Cambria" w:eastAsiaTheme="minorEastAsia" w:cstheme="minorBidi"/>
                <w:b/>
                <w:bCs/>
                <w:sz w:val="21"/>
                <w:szCs w:val="32"/>
                <w:lang w:val="en-US"/>
              </w:rPr>
            </w:pPr>
            <w:r>
              <w:rPr>
                <w:rFonts w:hint="default" w:ascii="Cambria" w:hAnsi="Cambria" w:eastAsiaTheme="minorEastAsia" w:cstheme="minorBidi"/>
                <w:b/>
                <w:bCs/>
                <w:sz w:val="21"/>
                <w:szCs w:val="32"/>
                <w:lang w:val="en-US"/>
              </w:rPr>
              <w:t>答:您好！公司在海南文昌国际航天城卫星产业园建设的思科瑞检测与可靠性文昌工程中心，由子公司海南国星飞测实施，当前建设进展顺利，整体进度与下游商业航天产业需求节奏保持匹配。低轨星座组网与发射频次提升会带动卫星制造及配套检测的行业需求。感谢您的关注！</w:t>
            </w:r>
          </w:p>
          <w:p w14:paraId="29149706">
            <w:pPr>
              <w:spacing w:line="460" w:lineRule="auto"/>
              <w:rPr>
                <w:rFonts w:hint="default" w:ascii="宋体"/>
                <w:sz w:val="24"/>
                <w:lang w:val="en-US"/>
              </w:rPr>
            </w:pPr>
          </w:p>
          <w:p w14:paraId="14CB9C1B">
            <w:pPr>
              <w:pStyle w:val="8"/>
              <w:shd w:val="clear" w:color="auto" w:fill="F4F7F6"/>
              <w:rPr>
                <w:rFonts w:hint="default" w:ascii="Cambria" w:hAnsi="Cambria" w:eastAsiaTheme="minorEastAsia" w:cstheme="minorBidi"/>
                <w:b/>
                <w:bCs/>
                <w:sz w:val="21"/>
                <w:szCs w:val="32"/>
                <w:lang w:val="en-US"/>
              </w:rPr>
            </w:pPr>
            <w:r>
              <w:rPr>
                <w:rFonts w:hint="default" w:ascii="Cambria" w:hAnsi="Cambria" w:eastAsiaTheme="minorEastAsia" w:cstheme="minorBidi"/>
                <w:b/>
                <w:bCs/>
                <w:sz w:val="21"/>
                <w:szCs w:val="32"/>
                <w:lang w:val="en-US"/>
              </w:rPr>
              <w:t>问：请问思科瑞未来的业绩增长点主要在哪些方面？公司会采取哪些措施来促进业绩持续增长？</w:t>
            </w:r>
          </w:p>
          <w:p w14:paraId="57ADC724">
            <w:pPr>
              <w:pStyle w:val="8"/>
              <w:shd w:val="clear" w:color="auto" w:fill="ECF0FB"/>
              <w:rPr>
                <w:rFonts w:hint="default" w:ascii="Cambria" w:hAnsi="Cambria" w:eastAsiaTheme="minorEastAsia" w:cstheme="minorBidi"/>
                <w:b/>
                <w:bCs/>
                <w:sz w:val="21"/>
                <w:szCs w:val="32"/>
                <w:lang w:val="en-US"/>
              </w:rPr>
            </w:pPr>
            <w:r>
              <w:rPr>
                <w:rFonts w:hint="default" w:ascii="Cambria" w:hAnsi="Cambria" w:eastAsiaTheme="minorEastAsia" w:cstheme="minorBidi"/>
                <w:b/>
                <w:bCs/>
                <w:sz w:val="21"/>
                <w:szCs w:val="32"/>
                <w:lang w:val="en-US"/>
              </w:rPr>
              <w:t>答:您好！公司将始终聚焦军工检测主业、坚持稳健经营，持续深耕军用电子元器件可靠性检测筛选基本盘，紧跟国防装备建设需求加大研发与设备投入，补齐关键检测能力短板，完善试验检测平台，拓展业务品类与优质客户，强化人才与内部经营管理，重点围绕检测能力升级、新业务品类拓展、科研平台建设发力，把握行业发展机遇推动公司高质量可持续发展，努力回报广大投资者的信任与支持。谢谢！</w:t>
            </w:r>
          </w:p>
          <w:p w14:paraId="327C1421">
            <w:pPr>
              <w:spacing w:line="460" w:lineRule="auto"/>
              <w:rPr>
                <w:rFonts w:hint="default" w:ascii="宋体"/>
                <w:sz w:val="24"/>
                <w:lang w:val="en-US"/>
              </w:rPr>
            </w:pPr>
          </w:p>
          <w:p w14:paraId="706C9EF6">
            <w:pPr>
              <w:pStyle w:val="8"/>
              <w:shd w:val="clear" w:color="auto" w:fill="F4F7F6"/>
              <w:rPr>
                <w:rFonts w:hint="default" w:ascii="Cambria" w:hAnsi="Cambria" w:eastAsiaTheme="minorEastAsia" w:cstheme="minorBidi"/>
                <w:b/>
                <w:bCs/>
                <w:sz w:val="21"/>
                <w:szCs w:val="32"/>
                <w:lang w:val="en-US"/>
              </w:rPr>
            </w:pPr>
            <w:r>
              <w:rPr>
                <w:rFonts w:hint="default" w:ascii="Cambria" w:hAnsi="Cambria" w:eastAsiaTheme="minorEastAsia" w:cstheme="minorBidi"/>
                <w:b/>
                <w:bCs/>
                <w:sz w:val="21"/>
                <w:szCs w:val="32"/>
                <w:lang w:val="en-US"/>
              </w:rPr>
              <w:t>问：您好，“公司已完成财务报告追溯重述，行政处罚决定书也已满12个月。”请问公司是否已向交易所正式提交摘帽申请？如尚未提交，预计何时提交？目前是否已与交易所进行过预沟通？</w:t>
            </w:r>
          </w:p>
          <w:p w14:paraId="7CB3E8B5">
            <w:pPr>
              <w:pStyle w:val="8"/>
              <w:shd w:val="clear" w:color="auto" w:fill="ECF0FB"/>
              <w:rPr>
                <w:rFonts w:hint="default" w:ascii="Cambria" w:hAnsi="Cambria" w:eastAsiaTheme="minorEastAsia" w:cstheme="minorBidi"/>
                <w:b/>
                <w:bCs/>
                <w:sz w:val="21"/>
                <w:szCs w:val="32"/>
                <w:lang w:val="en-US"/>
              </w:rPr>
            </w:pPr>
            <w:r>
              <w:rPr>
                <w:rFonts w:hint="default" w:ascii="Cambria" w:hAnsi="Cambria" w:eastAsiaTheme="minorEastAsia" w:cstheme="minorBidi"/>
                <w:b/>
                <w:bCs/>
                <w:sz w:val="21"/>
                <w:szCs w:val="32"/>
                <w:lang w:val="en-US"/>
              </w:rPr>
              <w:t>答:您好！根据《上海证券交易所科创板股票上市规则》第12.9.8条，申请撤销其他风险警示需同时满足“中国证监会作出行政处罚决定书已满12个月”及“公司已就行政处罚决定所涉事项对相应年度财务会计报告进行追溯重述”两项条件。公司已就行政处罚决定所涉事项对相应年度财务会计报告进行了追溯重述，相关议案已经董事会审议通过并于2025年4月披露。公司于2025年10月24日收到《行政处罚决定书》，目前正在积极准备相关材料，行政处罚决定书满12个月后将及时向上交所提交申请，争取尽早撤销风险警示，并严格按照相关规定履行信息披露义务。感谢您的关注！</w:t>
            </w:r>
          </w:p>
          <w:p w14:paraId="50967127">
            <w:pPr>
              <w:spacing w:line="460" w:lineRule="auto"/>
              <w:rPr>
                <w:rFonts w:hint="default" w:ascii="宋体"/>
                <w:sz w:val="24"/>
                <w:lang w:val="en-US"/>
              </w:rPr>
            </w:pPr>
          </w:p>
          <w:p w14:paraId="5241D392">
            <w:pPr>
              <w:pStyle w:val="8"/>
              <w:shd w:val="clear" w:color="auto" w:fill="F4F7F6"/>
              <w:rPr>
                <w:rFonts w:hint="default" w:ascii="Cambria" w:hAnsi="Cambria" w:eastAsiaTheme="minorEastAsia" w:cstheme="minorBidi"/>
                <w:b/>
                <w:bCs/>
                <w:sz w:val="21"/>
                <w:szCs w:val="32"/>
                <w:lang w:val="en-US"/>
              </w:rPr>
            </w:pPr>
            <w:r>
              <w:rPr>
                <w:rFonts w:hint="default" w:ascii="Cambria" w:hAnsi="Cambria" w:eastAsiaTheme="minorEastAsia" w:cstheme="minorBidi"/>
                <w:b/>
                <w:bCs/>
                <w:sz w:val="21"/>
                <w:szCs w:val="32"/>
                <w:lang w:val="en-US"/>
              </w:rPr>
              <w:t>问：请问上半年营业成本上涨幅度超过营收，主要是哪些投入带来的，对公司长远发展有什么意义？</w:t>
            </w:r>
          </w:p>
          <w:p w14:paraId="1966ED8C">
            <w:pPr>
              <w:pStyle w:val="8"/>
              <w:shd w:val="clear" w:color="auto" w:fill="ECF0FB"/>
              <w:rPr>
                <w:rFonts w:hint="default" w:ascii="Cambria" w:hAnsi="Cambria" w:eastAsiaTheme="minorEastAsia" w:cstheme="minorBidi"/>
                <w:b/>
                <w:bCs/>
                <w:sz w:val="21"/>
                <w:szCs w:val="32"/>
                <w:lang w:val="en-US"/>
              </w:rPr>
            </w:pPr>
            <w:r>
              <w:rPr>
                <w:rFonts w:hint="default" w:ascii="Cambria" w:hAnsi="Cambria" w:eastAsiaTheme="minorEastAsia" w:cstheme="minorBidi"/>
                <w:b/>
                <w:bCs/>
                <w:sz w:val="21"/>
                <w:szCs w:val="32"/>
                <w:lang w:val="en-US"/>
              </w:rPr>
              <w:t>答:您好！为应对新的检测需求以保持可靠性检测的核心竞争力，公司进行了一定程度的设备投资及厂房租赁以扩充检测能力及服务范围，使得折旧及人工等成本、费用上升。谢谢！</w:t>
            </w:r>
          </w:p>
          <w:p w14:paraId="2638E366">
            <w:pPr>
              <w:spacing w:line="460" w:lineRule="auto"/>
              <w:rPr>
                <w:rFonts w:hint="default" w:ascii="宋体"/>
                <w:sz w:val="24"/>
                <w:lang w:val="en-US"/>
              </w:rPr>
            </w:pPr>
          </w:p>
          <w:p w14:paraId="58CE901B">
            <w:pPr>
              <w:pStyle w:val="8"/>
              <w:shd w:val="clear" w:color="auto" w:fill="F4F7F6"/>
              <w:rPr>
                <w:rFonts w:hint="default" w:ascii="Cambria" w:hAnsi="Cambria" w:eastAsiaTheme="minorEastAsia" w:cstheme="minorBidi"/>
                <w:b/>
                <w:bCs/>
                <w:sz w:val="21"/>
                <w:szCs w:val="32"/>
                <w:lang w:val="en-US"/>
              </w:rPr>
            </w:pPr>
            <w:r>
              <w:rPr>
                <w:rFonts w:hint="default" w:ascii="Cambria" w:hAnsi="Cambria" w:eastAsiaTheme="minorEastAsia" w:cstheme="minorBidi"/>
                <w:b/>
                <w:bCs/>
                <w:sz w:val="21"/>
                <w:szCs w:val="32"/>
                <w:lang w:val="en-US"/>
              </w:rPr>
              <w:t>问：今年上半年公司营收、净利润实现同步增长，背后主要是什么驱动因素？</w:t>
            </w:r>
          </w:p>
          <w:p w14:paraId="13A9C0D4">
            <w:pPr>
              <w:pStyle w:val="8"/>
              <w:shd w:val="clear" w:color="auto" w:fill="ECF0FB"/>
              <w:rPr>
                <w:rFonts w:hint="eastAsia" w:ascii="Cambria" w:hAnsi="Cambria" w:eastAsiaTheme="minorEastAsia" w:cstheme="minorBidi"/>
                <w:b/>
                <w:bCs/>
                <w:sz w:val="21"/>
                <w:szCs w:val="32"/>
                <w:lang w:val="en-US"/>
              </w:rPr>
            </w:pPr>
            <w:r>
              <w:rPr>
                <w:rFonts w:hint="default" w:ascii="Cambria" w:hAnsi="Cambria" w:eastAsiaTheme="minorEastAsia" w:cstheme="minorBidi"/>
                <w:b/>
                <w:bCs/>
                <w:sz w:val="21"/>
                <w:szCs w:val="32"/>
                <w:lang w:val="en-US"/>
              </w:rPr>
              <w:t>答:您好！依托军工行业整体发展环境，公司紧抓市场机遇、积极对接下游客户需求、全力推进订单承接与履约落地，营业收入实现稳步提升。同时公司加大应收款项清收力度，前期计提的坏账准备有所转回。公司经营基本面持续夯实，后续将持续加大市场开拓，强化精细化成本管控，积极提升主营业务的盈利能力。谢谢！</w:t>
            </w:r>
          </w:p>
        </w:tc>
      </w:tr>
      <w:tr w14:paraId="58EE1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vAlign w:val="center"/>
          </w:tcPr>
          <w:p w14:paraId="38D16E21">
            <w:pPr>
              <w:spacing w:line="360" w:lineRule="auto"/>
              <w:rPr>
                <w:rFonts w:ascii="宋体" w:hAnsi="宋体" w:eastAsia="宋体" w:cs="Times New Roman"/>
                <w:b/>
                <w:bCs/>
                <w:iCs/>
                <w:sz w:val="24"/>
                <w:szCs w:val="24"/>
              </w:rPr>
            </w:pPr>
            <w:r>
              <w:rPr>
                <w:rFonts w:hint="eastAsia" w:ascii="宋体" w:hAnsi="宋体" w:eastAsia="宋体" w:cs="Times New Roman"/>
                <w:b/>
                <w:bCs/>
                <w:iCs/>
                <w:sz w:val="24"/>
                <w:szCs w:val="24"/>
              </w:rPr>
              <w:t>附件清单（如有）</w:t>
            </w:r>
          </w:p>
        </w:tc>
        <w:tc>
          <w:tcPr>
            <w:tcW w:w="5812" w:type="dxa"/>
            <w:shd w:val="clear" w:color="auto" w:fill="auto"/>
          </w:tcPr>
          <w:p w14:paraId="04479FB5">
            <w:pPr>
              <w:spacing w:line="360" w:lineRule="auto"/>
              <w:rPr>
                <w:rFonts w:ascii="宋体" w:hAnsi="宋体" w:eastAsia="宋体" w:cs="Times New Roman"/>
                <w:bCs/>
                <w:iCs/>
                <w:sz w:val="24"/>
                <w:szCs w:val="24"/>
              </w:rPr>
            </w:pPr>
          </w:p>
        </w:tc>
      </w:tr>
      <w:tr w14:paraId="68995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vAlign w:val="center"/>
          </w:tcPr>
          <w:p w14:paraId="7EFFE731">
            <w:pPr>
              <w:spacing w:line="360" w:lineRule="auto"/>
              <w:rPr>
                <w:rFonts w:ascii="宋体" w:hAnsi="宋体" w:eastAsia="宋体" w:cs="Times New Roman"/>
                <w:b/>
                <w:bCs/>
                <w:iCs/>
                <w:sz w:val="24"/>
                <w:szCs w:val="24"/>
              </w:rPr>
            </w:pPr>
            <w:r>
              <w:rPr>
                <w:rFonts w:hint="eastAsia" w:ascii="宋体" w:hAnsi="宋体" w:eastAsia="宋体" w:cs="Times New Roman"/>
                <w:b/>
                <w:bCs/>
                <w:iCs/>
                <w:sz w:val="24"/>
                <w:szCs w:val="24"/>
              </w:rPr>
              <w:t>说明</w:t>
            </w:r>
          </w:p>
        </w:tc>
        <w:tc>
          <w:tcPr>
            <w:tcW w:w="5812" w:type="dxa"/>
            <w:shd w:val="clear" w:color="auto" w:fill="auto"/>
          </w:tcPr>
          <w:p w14:paraId="5FE95A75">
            <w:pPr>
              <w:spacing w:line="360" w:lineRule="auto"/>
              <w:rPr>
                <w:rFonts w:ascii="宋体" w:hAnsi="宋体" w:eastAsia="微软雅黑" w:cs="Times New Roman"/>
                <w:bCs/>
                <w:iCs/>
                <w:sz w:val="24"/>
                <w:szCs w:val="24"/>
              </w:rPr>
            </w:pPr>
            <w:r>
              <w:rPr>
                <w:rFonts w:hint="eastAsia" w:ascii="宋体" w:hAnsi="宋体" w:eastAsia="宋体" w:cs="Times New Roman"/>
                <w:iCs/>
                <w:sz w:val="24"/>
                <w:szCs w:val="24"/>
              </w:rPr>
              <w:t>公司与投资者进行了充分的交流与沟通，并严格按照公司《信息披露管理制度》等规定，保证信息披露的真实、准确、完整、及时、公平，没有出现未公开重大信息披露等情况。</w:t>
            </w:r>
          </w:p>
        </w:tc>
      </w:tr>
      <w:tr w14:paraId="25481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vAlign w:val="center"/>
          </w:tcPr>
          <w:p w14:paraId="0F63A35B">
            <w:pPr>
              <w:spacing w:line="360" w:lineRule="auto"/>
              <w:rPr>
                <w:rFonts w:ascii="宋体" w:hAnsi="宋体" w:eastAsia="宋体" w:cs="Times New Roman"/>
                <w:b/>
                <w:bCs/>
                <w:iCs/>
                <w:sz w:val="24"/>
                <w:szCs w:val="24"/>
              </w:rPr>
            </w:pPr>
            <w:r>
              <w:rPr>
                <w:rFonts w:hint="eastAsia" w:ascii="宋体" w:hAnsi="宋体" w:eastAsia="宋体" w:cs="Times New Roman"/>
                <w:b/>
                <w:bCs/>
                <w:iCs/>
                <w:sz w:val="24"/>
                <w:szCs w:val="24"/>
              </w:rPr>
              <w:t>日期</w:t>
            </w:r>
          </w:p>
        </w:tc>
        <w:tc>
          <w:tcPr>
            <w:tcW w:w="5812" w:type="dxa"/>
            <w:shd w:val="clear" w:color="auto" w:fill="auto"/>
            <w:vAlign w:val="center"/>
          </w:tcPr>
          <w:p w14:paraId="11EF3F8F">
            <w:pPr>
              <w:spacing w:line="360" w:lineRule="auto"/>
              <w:rPr>
                <w:rFonts w:ascii="宋体" w:hAnsi="宋体" w:eastAsia="宋体" w:cs="Times New Roman"/>
                <w:iCs/>
                <w:sz w:val="24"/>
                <w:szCs w:val="24"/>
              </w:rPr>
            </w:pPr>
            <w:bookmarkStart w:id="1" w:name="_GoBack"/>
            <w:bookmarkEnd w:id="1"/>
            <w:r>
              <w:rPr>
                <w:rFonts w:hint="eastAsia" w:ascii="宋体" w:hAnsi="宋体" w:eastAsia="宋体" w:cs="Times New Roman"/>
                <w:iCs/>
                <w:sz w:val="24"/>
                <w:szCs w:val="24"/>
              </w:rPr>
              <w:t>202</w:t>
            </w:r>
            <w:r>
              <w:rPr>
                <w:rFonts w:hint="eastAsia" w:ascii="宋体" w:hAnsi="宋体" w:eastAsia="宋体" w:cs="Times New Roman"/>
                <w:iCs/>
                <w:sz w:val="24"/>
                <w:szCs w:val="24"/>
                <w:lang w:val="en-US" w:eastAsia="zh-CN"/>
              </w:rPr>
              <w:t>6</w:t>
            </w:r>
            <w:r>
              <w:rPr>
                <w:rFonts w:hint="eastAsia" w:ascii="宋体" w:hAnsi="宋体" w:eastAsia="宋体" w:cs="Times New Roman"/>
                <w:iCs/>
                <w:sz w:val="24"/>
                <w:szCs w:val="24"/>
              </w:rPr>
              <w:t>年</w:t>
            </w:r>
            <w:r>
              <w:rPr>
                <w:rFonts w:hint="eastAsia" w:ascii="宋体" w:hAnsi="宋体" w:eastAsia="宋体" w:cs="Times New Roman"/>
                <w:iCs/>
                <w:sz w:val="24"/>
                <w:szCs w:val="24"/>
                <w:lang w:val="en-US" w:eastAsia="zh-CN"/>
              </w:rPr>
              <w:t>10</w:t>
            </w:r>
            <w:r>
              <w:rPr>
                <w:rFonts w:hint="eastAsia" w:ascii="宋体" w:hAnsi="宋体" w:eastAsia="宋体" w:cs="Times New Roman"/>
                <w:iCs/>
                <w:sz w:val="24"/>
                <w:szCs w:val="24"/>
              </w:rPr>
              <w:t>月</w:t>
            </w:r>
            <w:r>
              <w:rPr>
                <w:rFonts w:hint="eastAsia" w:ascii="宋体" w:hAnsi="宋体" w:eastAsia="宋体" w:cs="Times New Roman"/>
                <w:iCs/>
                <w:sz w:val="24"/>
                <w:szCs w:val="24"/>
                <w:lang w:val="en-US" w:eastAsia="zh-CN"/>
              </w:rPr>
              <w:t>14</w:t>
            </w:r>
            <w:r>
              <w:rPr>
                <w:rFonts w:hint="eastAsia" w:ascii="宋体" w:hAnsi="宋体" w:eastAsia="宋体" w:cs="Times New Roman"/>
                <w:iCs/>
                <w:sz w:val="24"/>
                <w:szCs w:val="24"/>
              </w:rPr>
              <w:t>日</w:t>
            </w:r>
          </w:p>
        </w:tc>
      </w:tr>
    </w:tbl>
    <w:p w14:paraId="7C9218EA">
      <w:pPr>
        <w:keepNext/>
        <w:keepLines/>
        <w:spacing w:before="260" w:after="260" w:line="360" w:lineRule="auto"/>
        <w:outlineLvl w:val="1"/>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UwYTI5OTljM2NhZTM5ZDI2MjEzMzMwNGYwNWQ0NGIifQ=="/>
  </w:docVars>
  <w:rsids>
    <w:rsidRoot w:val="00EE26CD"/>
    <w:rsid w:val="0000466C"/>
    <w:rsid w:val="00007952"/>
    <w:rsid w:val="00014EDC"/>
    <w:rsid w:val="00014F2A"/>
    <w:rsid w:val="00021F69"/>
    <w:rsid w:val="00023F7B"/>
    <w:rsid w:val="000269F1"/>
    <w:rsid w:val="00026CD7"/>
    <w:rsid w:val="00026E2B"/>
    <w:rsid w:val="000270E5"/>
    <w:rsid w:val="000333DF"/>
    <w:rsid w:val="00042C46"/>
    <w:rsid w:val="000444E5"/>
    <w:rsid w:val="000528A8"/>
    <w:rsid w:val="0005452E"/>
    <w:rsid w:val="00060863"/>
    <w:rsid w:val="00063DB5"/>
    <w:rsid w:val="0006434F"/>
    <w:rsid w:val="00070593"/>
    <w:rsid w:val="00070C3B"/>
    <w:rsid w:val="00071B11"/>
    <w:rsid w:val="00081B36"/>
    <w:rsid w:val="000828F8"/>
    <w:rsid w:val="00086C90"/>
    <w:rsid w:val="000A65EF"/>
    <w:rsid w:val="000B6FFD"/>
    <w:rsid w:val="000C2F52"/>
    <w:rsid w:val="000F6BEB"/>
    <w:rsid w:val="00103C4E"/>
    <w:rsid w:val="00111EF4"/>
    <w:rsid w:val="00113C72"/>
    <w:rsid w:val="00114CEA"/>
    <w:rsid w:val="001221B8"/>
    <w:rsid w:val="001304EB"/>
    <w:rsid w:val="001334C1"/>
    <w:rsid w:val="00136BC5"/>
    <w:rsid w:val="00143A57"/>
    <w:rsid w:val="00151B55"/>
    <w:rsid w:val="001672FF"/>
    <w:rsid w:val="001819EF"/>
    <w:rsid w:val="00186DBB"/>
    <w:rsid w:val="001965A6"/>
    <w:rsid w:val="001A125C"/>
    <w:rsid w:val="001B00D8"/>
    <w:rsid w:val="001B011E"/>
    <w:rsid w:val="001B508F"/>
    <w:rsid w:val="001B7B58"/>
    <w:rsid w:val="001C169F"/>
    <w:rsid w:val="001C7C07"/>
    <w:rsid w:val="001D5222"/>
    <w:rsid w:val="001D7A5D"/>
    <w:rsid w:val="001E2BC5"/>
    <w:rsid w:val="001E5E64"/>
    <w:rsid w:val="001E7F7C"/>
    <w:rsid w:val="001F2572"/>
    <w:rsid w:val="001F5B62"/>
    <w:rsid w:val="002118DC"/>
    <w:rsid w:val="00214C8F"/>
    <w:rsid w:val="002278FB"/>
    <w:rsid w:val="00232813"/>
    <w:rsid w:val="00234237"/>
    <w:rsid w:val="00234D03"/>
    <w:rsid w:val="00251EF8"/>
    <w:rsid w:val="002525E9"/>
    <w:rsid w:val="0025271B"/>
    <w:rsid w:val="00255B4A"/>
    <w:rsid w:val="00256250"/>
    <w:rsid w:val="002650F9"/>
    <w:rsid w:val="00267056"/>
    <w:rsid w:val="002739C7"/>
    <w:rsid w:val="00273BE7"/>
    <w:rsid w:val="00273D9E"/>
    <w:rsid w:val="0028148B"/>
    <w:rsid w:val="00286F7B"/>
    <w:rsid w:val="0029285E"/>
    <w:rsid w:val="00293FBB"/>
    <w:rsid w:val="00295236"/>
    <w:rsid w:val="002A15B6"/>
    <w:rsid w:val="002B0AD4"/>
    <w:rsid w:val="002B75F5"/>
    <w:rsid w:val="002C1C3B"/>
    <w:rsid w:val="002C23DD"/>
    <w:rsid w:val="002C3AD1"/>
    <w:rsid w:val="002D15D1"/>
    <w:rsid w:val="002D3753"/>
    <w:rsid w:val="002F1B04"/>
    <w:rsid w:val="002F4C46"/>
    <w:rsid w:val="002F6EAD"/>
    <w:rsid w:val="00307607"/>
    <w:rsid w:val="00307EC1"/>
    <w:rsid w:val="0031032E"/>
    <w:rsid w:val="003131C3"/>
    <w:rsid w:val="0031371B"/>
    <w:rsid w:val="00320D9D"/>
    <w:rsid w:val="00320EA7"/>
    <w:rsid w:val="00327CE4"/>
    <w:rsid w:val="00336191"/>
    <w:rsid w:val="00340A0E"/>
    <w:rsid w:val="003413FD"/>
    <w:rsid w:val="003508D5"/>
    <w:rsid w:val="003524BC"/>
    <w:rsid w:val="0035572A"/>
    <w:rsid w:val="00362CD0"/>
    <w:rsid w:val="00363384"/>
    <w:rsid w:val="0037038A"/>
    <w:rsid w:val="003722F1"/>
    <w:rsid w:val="0037245D"/>
    <w:rsid w:val="00376EB2"/>
    <w:rsid w:val="0038034C"/>
    <w:rsid w:val="00386F86"/>
    <w:rsid w:val="00397642"/>
    <w:rsid w:val="003A2EB2"/>
    <w:rsid w:val="003B13A4"/>
    <w:rsid w:val="003C0892"/>
    <w:rsid w:val="003D2A88"/>
    <w:rsid w:val="003D2F73"/>
    <w:rsid w:val="003D40E0"/>
    <w:rsid w:val="003F2A5A"/>
    <w:rsid w:val="003F6D0B"/>
    <w:rsid w:val="00400B90"/>
    <w:rsid w:val="0040142B"/>
    <w:rsid w:val="00404723"/>
    <w:rsid w:val="004106EC"/>
    <w:rsid w:val="00411262"/>
    <w:rsid w:val="00415FC4"/>
    <w:rsid w:val="00420071"/>
    <w:rsid w:val="0042182D"/>
    <w:rsid w:val="00425BB1"/>
    <w:rsid w:val="00432964"/>
    <w:rsid w:val="00433835"/>
    <w:rsid w:val="00467B9C"/>
    <w:rsid w:val="00470346"/>
    <w:rsid w:val="00472F77"/>
    <w:rsid w:val="00473F91"/>
    <w:rsid w:val="00482D5D"/>
    <w:rsid w:val="004859A7"/>
    <w:rsid w:val="00485F14"/>
    <w:rsid w:val="00495655"/>
    <w:rsid w:val="004A58CB"/>
    <w:rsid w:val="004B500C"/>
    <w:rsid w:val="004C11F9"/>
    <w:rsid w:val="004C3E41"/>
    <w:rsid w:val="004C6956"/>
    <w:rsid w:val="004D4156"/>
    <w:rsid w:val="004D614E"/>
    <w:rsid w:val="004E25DD"/>
    <w:rsid w:val="004E4CBB"/>
    <w:rsid w:val="004F5C3F"/>
    <w:rsid w:val="0050092E"/>
    <w:rsid w:val="00504DF9"/>
    <w:rsid w:val="00507071"/>
    <w:rsid w:val="00510286"/>
    <w:rsid w:val="00524D04"/>
    <w:rsid w:val="00534D66"/>
    <w:rsid w:val="0054404C"/>
    <w:rsid w:val="00572A6D"/>
    <w:rsid w:val="00582D78"/>
    <w:rsid w:val="00584526"/>
    <w:rsid w:val="00584D8F"/>
    <w:rsid w:val="00587DAB"/>
    <w:rsid w:val="00590DC4"/>
    <w:rsid w:val="005917EA"/>
    <w:rsid w:val="005953E9"/>
    <w:rsid w:val="005A0CBE"/>
    <w:rsid w:val="005A17E4"/>
    <w:rsid w:val="005A3CFE"/>
    <w:rsid w:val="005A4D77"/>
    <w:rsid w:val="005B17EF"/>
    <w:rsid w:val="005B3D04"/>
    <w:rsid w:val="005B628F"/>
    <w:rsid w:val="005C19C5"/>
    <w:rsid w:val="005C6678"/>
    <w:rsid w:val="005D087C"/>
    <w:rsid w:val="005D20DD"/>
    <w:rsid w:val="005E4F20"/>
    <w:rsid w:val="005E5F7A"/>
    <w:rsid w:val="005F207B"/>
    <w:rsid w:val="005F2C62"/>
    <w:rsid w:val="005F3897"/>
    <w:rsid w:val="005F7318"/>
    <w:rsid w:val="006016A0"/>
    <w:rsid w:val="00605119"/>
    <w:rsid w:val="00606A42"/>
    <w:rsid w:val="00623855"/>
    <w:rsid w:val="00626FB3"/>
    <w:rsid w:val="0063129A"/>
    <w:rsid w:val="006323B5"/>
    <w:rsid w:val="00642382"/>
    <w:rsid w:val="00643F90"/>
    <w:rsid w:val="0064637F"/>
    <w:rsid w:val="00653A71"/>
    <w:rsid w:val="00655835"/>
    <w:rsid w:val="00667FB5"/>
    <w:rsid w:val="00672C00"/>
    <w:rsid w:val="00686E4C"/>
    <w:rsid w:val="0069619A"/>
    <w:rsid w:val="00696B55"/>
    <w:rsid w:val="006A2E11"/>
    <w:rsid w:val="006A3184"/>
    <w:rsid w:val="006E0ACC"/>
    <w:rsid w:val="006E3B82"/>
    <w:rsid w:val="006E7372"/>
    <w:rsid w:val="006F32A2"/>
    <w:rsid w:val="006F438E"/>
    <w:rsid w:val="00701E34"/>
    <w:rsid w:val="007118F2"/>
    <w:rsid w:val="00713A75"/>
    <w:rsid w:val="00733488"/>
    <w:rsid w:val="00735F4D"/>
    <w:rsid w:val="00746249"/>
    <w:rsid w:val="00751592"/>
    <w:rsid w:val="00756A97"/>
    <w:rsid w:val="00757362"/>
    <w:rsid w:val="0076183F"/>
    <w:rsid w:val="00770B3F"/>
    <w:rsid w:val="00771A91"/>
    <w:rsid w:val="00773213"/>
    <w:rsid w:val="00785284"/>
    <w:rsid w:val="00791920"/>
    <w:rsid w:val="0079430A"/>
    <w:rsid w:val="00794C8B"/>
    <w:rsid w:val="00795940"/>
    <w:rsid w:val="007A4905"/>
    <w:rsid w:val="007B196F"/>
    <w:rsid w:val="007C0F40"/>
    <w:rsid w:val="007C39F3"/>
    <w:rsid w:val="007C7447"/>
    <w:rsid w:val="007C7D09"/>
    <w:rsid w:val="007E1F58"/>
    <w:rsid w:val="007F2176"/>
    <w:rsid w:val="00806573"/>
    <w:rsid w:val="00814484"/>
    <w:rsid w:val="008160A1"/>
    <w:rsid w:val="00816CED"/>
    <w:rsid w:val="008204EC"/>
    <w:rsid w:val="00821685"/>
    <w:rsid w:val="00827C6C"/>
    <w:rsid w:val="00836E8C"/>
    <w:rsid w:val="008453D5"/>
    <w:rsid w:val="00857E84"/>
    <w:rsid w:val="00873293"/>
    <w:rsid w:val="00875E95"/>
    <w:rsid w:val="008914C8"/>
    <w:rsid w:val="00894406"/>
    <w:rsid w:val="00895CC6"/>
    <w:rsid w:val="008A120E"/>
    <w:rsid w:val="008B4886"/>
    <w:rsid w:val="008C04C9"/>
    <w:rsid w:val="008C4D32"/>
    <w:rsid w:val="008C6B72"/>
    <w:rsid w:val="008C7588"/>
    <w:rsid w:val="008C7F7D"/>
    <w:rsid w:val="008D2B96"/>
    <w:rsid w:val="008D3726"/>
    <w:rsid w:val="008E245B"/>
    <w:rsid w:val="008F5F3A"/>
    <w:rsid w:val="00900BAF"/>
    <w:rsid w:val="009108F5"/>
    <w:rsid w:val="0091400E"/>
    <w:rsid w:val="009157EF"/>
    <w:rsid w:val="009224F5"/>
    <w:rsid w:val="00924412"/>
    <w:rsid w:val="0092574C"/>
    <w:rsid w:val="00941808"/>
    <w:rsid w:val="00942951"/>
    <w:rsid w:val="009457DF"/>
    <w:rsid w:val="0095035C"/>
    <w:rsid w:val="009553B1"/>
    <w:rsid w:val="0096018C"/>
    <w:rsid w:val="00966C22"/>
    <w:rsid w:val="009678BF"/>
    <w:rsid w:val="009776A7"/>
    <w:rsid w:val="00980694"/>
    <w:rsid w:val="009868C0"/>
    <w:rsid w:val="00991961"/>
    <w:rsid w:val="009A7B97"/>
    <w:rsid w:val="009C06A4"/>
    <w:rsid w:val="009C63B1"/>
    <w:rsid w:val="009E0B46"/>
    <w:rsid w:val="009E3D68"/>
    <w:rsid w:val="00A03AA1"/>
    <w:rsid w:val="00A04996"/>
    <w:rsid w:val="00A05042"/>
    <w:rsid w:val="00A10F5B"/>
    <w:rsid w:val="00A16F6F"/>
    <w:rsid w:val="00A31B20"/>
    <w:rsid w:val="00A32B73"/>
    <w:rsid w:val="00A32ED1"/>
    <w:rsid w:val="00A37775"/>
    <w:rsid w:val="00A40825"/>
    <w:rsid w:val="00A41A06"/>
    <w:rsid w:val="00A56101"/>
    <w:rsid w:val="00A57863"/>
    <w:rsid w:val="00A6487E"/>
    <w:rsid w:val="00A70EC0"/>
    <w:rsid w:val="00A71BFD"/>
    <w:rsid w:val="00A758DA"/>
    <w:rsid w:val="00A76F0C"/>
    <w:rsid w:val="00A878CB"/>
    <w:rsid w:val="00A97143"/>
    <w:rsid w:val="00A97D76"/>
    <w:rsid w:val="00AA5E76"/>
    <w:rsid w:val="00AB03BB"/>
    <w:rsid w:val="00AB45D6"/>
    <w:rsid w:val="00AD237A"/>
    <w:rsid w:val="00AD445E"/>
    <w:rsid w:val="00AD4B08"/>
    <w:rsid w:val="00AE00B6"/>
    <w:rsid w:val="00AE3EE3"/>
    <w:rsid w:val="00AF6EE4"/>
    <w:rsid w:val="00B024AD"/>
    <w:rsid w:val="00B07508"/>
    <w:rsid w:val="00B12278"/>
    <w:rsid w:val="00B27C19"/>
    <w:rsid w:val="00B36A53"/>
    <w:rsid w:val="00B4298C"/>
    <w:rsid w:val="00B446BA"/>
    <w:rsid w:val="00B47853"/>
    <w:rsid w:val="00B57667"/>
    <w:rsid w:val="00B577E9"/>
    <w:rsid w:val="00B61BCB"/>
    <w:rsid w:val="00B67838"/>
    <w:rsid w:val="00B70645"/>
    <w:rsid w:val="00B73AED"/>
    <w:rsid w:val="00B855F5"/>
    <w:rsid w:val="00B8596B"/>
    <w:rsid w:val="00B87C18"/>
    <w:rsid w:val="00B922C8"/>
    <w:rsid w:val="00B948F2"/>
    <w:rsid w:val="00B95F5D"/>
    <w:rsid w:val="00B97200"/>
    <w:rsid w:val="00BB20B3"/>
    <w:rsid w:val="00BD393C"/>
    <w:rsid w:val="00BE0789"/>
    <w:rsid w:val="00BE20BB"/>
    <w:rsid w:val="00BE277C"/>
    <w:rsid w:val="00BE3E1F"/>
    <w:rsid w:val="00BE54C4"/>
    <w:rsid w:val="00BE5D9C"/>
    <w:rsid w:val="00BF1133"/>
    <w:rsid w:val="00C001F3"/>
    <w:rsid w:val="00C055DE"/>
    <w:rsid w:val="00C104B8"/>
    <w:rsid w:val="00C1636B"/>
    <w:rsid w:val="00C207C2"/>
    <w:rsid w:val="00C277D2"/>
    <w:rsid w:val="00C32714"/>
    <w:rsid w:val="00C37AAB"/>
    <w:rsid w:val="00C40B1A"/>
    <w:rsid w:val="00C42788"/>
    <w:rsid w:val="00C47614"/>
    <w:rsid w:val="00C5254A"/>
    <w:rsid w:val="00C52F40"/>
    <w:rsid w:val="00C531CC"/>
    <w:rsid w:val="00C55E93"/>
    <w:rsid w:val="00C56171"/>
    <w:rsid w:val="00C70DF2"/>
    <w:rsid w:val="00C7174C"/>
    <w:rsid w:val="00C860DF"/>
    <w:rsid w:val="00C91519"/>
    <w:rsid w:val="00C9168C"/>
    <w:rsid w:val="00C91FD9"/>
    <w:rsid w:val="00C951AA"/>
    <w:rsid w:val="00CC092E"/>
    <w:rsid w:val="00CC2419"/>
    <w:rsid w:val="00CC4FD6"/>
    <w:rsid w:val="00CC6538"/>
    <w:rsid w:val="00CC78CC"/>
    <w:rsid w:val="00CD419D"/>
    <w:rsid w:val="00CD5CAD"/>
    <w:rsid w:val="00CD65D6"/>
    <w:rsid w:val="00CD66E0"/>
    <w:rsid w:val="00CE6D72"/>
    <w:rsid w:val="00CF6F6C"/>
    <w:rsid w:val="00D018E3"/>
    <w:rsid w:val="00D100A7"/>
    <w:rsid w:val="00D12BD7"/>
    <w:rsid w:val="00D13CFA"/>
    <w:rsid w:val="00D170E1"/>
    <w:rsid w:val="00D208A4"/>
    <w:rsid w:val="00D327C1"/>
    <w:rsid w:val="00D37CB6"/>
    <w:rsid w:val="00D40C13"/>
    <w:rsid w:val="00D41E36"/>
    <w:rsid w:val="00D5622E"/>
    <w:rsid w:val="00D7427C"/>
    <w:rsid w:val="00D76F2A"/>
    <w:rsid w:val="00D84DF8"/>
    <w:rsid w:val="00D93D53"/>
    <w:rsid w:val="00D96FB9"/>
    <w:rsid w:val="00DA4962"/>
    <w:rsid w:val="00DA5894"/>
    <w:rsid w:val="00DB1D3C"/>
    <w:rsid w:val="00DD2242"/>
    <w:rsid w:val="00DD27C7"/>
    <w:rsid w:val="00DE31A5"/>
    <w:rsid w:val="00DE7F6D"/>
    <w:rsid w:val="00E0172D"/>
    <w:rsid w:val="00E07C47"/>
    <w:rsid w:val="00E24E41"/>
    <w:rsid w:val="00E32A31"/>
    <w:rsid w:val="00E5267C"/>
    <w:rsid w:val="00E53347"/>
    <w:rsid w:val="00E53783"/>
    <w:rsid w:val="00E61A61"/>
    <w:rsid w:val="00E64488"/>
    <w:rsid w:val="00E668C5"/>
    <w:rsid w:val="00E803AB"/>
    <w:rsid w:val="00E93DA5"/>
    <w:rsid w:val="00EA3651"/>
    <w:rsid w:val="00EA6288"/>
    <w:rsid w:val="00EC10E4"/>
    <w:rsid w:val="00EC1ED4"/>
    <w:rsid w:val="00EC28FD"/>
    <w:rsid w:val="00ED3AB2"/>
    <w:rsid w:val="00ED53EA"/>
    <w:rsid w:val="00EE02A6"/>
    <w:rsid w:val="00EE16DD"/>
    <w:rsid w:val="00EE26CD"/>
    <w:rsid w:val="00EE7C85"/>
    <w:rsid w:val="00F06B8F"/>
    <w:rsid w:val="00F1256C"/>
    <w:rsid w:val="00F142F3"/>
    <w:rsid w:val="00F32FC6"/>
    <w:rsid w:val="00F42E00"/>
    <w:rsid w:val="00F50F83"/>
    <w:rsid w:val="00F51380"/>
    <w:rsid w:val="00F5385A"/>
    <w:rsid w:val="00F60682"/>
    <w:rsid w:val="00F6394E"/>
    <w:rsid w:val="00F66E15"/>
    <w:rsid w:val="00F743F0"/>
    <w:rsid w:val="00F744EC"/>
    <w:rsid w:val="00F74675"/>
    <w:rsid w:val="00F76634"/>
    <w:rsid w:val="00F870FA"/>
    <w:rsid w:val="00F87C66"/>
    <w:rsid w:val="00F93AD8"/>
    <w:rsid w:val="00F9738B"/>
    <w:rsid w:val="00FA56AE"/>
    <w:rsid w:val="00FB28D9"/>
    <w:rsid w:val="00FB28F5"/>
    <w:rsid w:val="00FB4A0F"/>
    <w:rsid w:val="00FC12C0"/>
    <w:rsid w:val="00FC19DF"/>
    <w:rsid w:val="00FC2937"/>
    <w:rsid w:val="00FC55FE"/>
    <w:rsid w:val="00FD225E"/>
    <w:rsid w:val="00FE33A1"/>
    <w:rsid w:val="00FE6D51"/>
    <w:rsid w:val="00FE6ED9"/>
    <w:rsid w:val="00FF291F"/>
    <w:rsid w:val="00FF4F78"/>
    <w:rsid w:val="019569B5"/>
    <w:rsid w:val="0505364C"/>
    <w:rsid w:val="06C62F02"/>
    <w:rsid w:val="07427673"/>
    <w:rsid w:val="095D21A6"/>
    <w:rsid w:val="0A824621"/>
    <w:rsid w:val="0B8964BF"/>
    <w:rsid w:val="0C69427F"/>
    <w:rsid w:val="0CA71F47"/>
    <w:rsid w:val="15152076"/>
    <w:rsid w:val="170F6A1D"/>
    <w:rsid w:val="181555FA"/>
    <w:rsid w:val="1F636849"/>
    <w:rsid w:val="23507FD7"/>
    <w:rsid w:val="236164F1"/>
    <w:rsid w:val="27483067"/>
    <w:rsid w:val="27C525A2"/>
    <w:rsid w:val="28194487"/>
    <w:rsid w:val="2BC04734"/>
    <w:rsid w:val="2C1125C1"/>
    <w:rsid w:val="2D1904D8"/>
    <w:rsid w:val="2DB02E38"/>
    <w:rsid w:val="2DCC0037"/>
    <w:rsid w:val="2F064DB0"/>
    <w:rsid w:val="2FA3416A"/>
    <w:rsid w:val="32242D99"/>
    <w:rsid w:val="33154B7C"/>
    <w:rsid w:val="3A59760D"/>
    <w:rsid w:val="460C46F9"/>
    <w:rsid w:val="467F0394"/>
    <w:rsid w:val="47A14C13"/>
    <w:rsid w:val="49370972"/>
    <w:rsid w:val="4CF7225E"/>
    <w:rsid w:val="5613656D"/>
    <w:rsid w:val="591A7E3E"/>
    <w:rsid w:val="59433F8E"/>
    <w:rsid w:val="5A6D6682"/>
    <w:rsid w:val="5CB9735E"/>
    <w:rsid w:val="5D7674BF"/>
    <w:rsid w:val="5E151E13"/>
    <w:rsid w:val="645667E8"/>
    <w:rsid w:val="684967F1"/>
    <w:rsid w:val="685428D3"/>
    <w:rsid w:val="6CE67F73"/>
    <w:rsid w:val="6E137615"/>
    <w:rsid w:val="6F827230"/>
    <w:rsid w:val="6F9B77A5"/>
    <w:rsid w:val="6FFE0FCD"/>
    <w:rsid w:val="70B10349"/>
    <w:rsid w:val="736D1458"/>
    <w:rsid w:val="7A831561"/>
    <w:rsid w:val="7D9832A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9"/>
    <w:pPr>
      <w:keepNext/>
      <w:keepLines/>
      <w:spacing w:before="260" w:after="260"/>
      <w:outlineLvl w:val="1"/>
    </w:pPr>
    <w:rPr>
      <w:rFonts w:ascii="Cambria" w:hAnsi="Cambria"/>
      <w:b/>
      <w:bCs/>
      <w:kern w:val="0"/>
      <w:szCs w:val="32"/>
    </w:rPr>
  </w:style>
  <w:style w:type="paragraph" w:styleId="3">
    <w:name w:val="heading 3"/>
    <w:basedOn w:val="1"/>
    <w:next w:val="1"/>
    <w:link w:val="21"/>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7"/>
    <w:semiHidden/>
    <w:unhideWhenUsed/>
    <w:qFormat/>
    <w:uiPriority w:val="99"/>
    <w:pPr>
      <w:jc w:val="left"/>
    </w:pPr>
  </w:style>
  <w:style w:type="paragraph" w:styleId="5">
    <w:name w:val="Balloon Text"/>
    <w:basedOn w:val="1"/>
    <w:link w:val="19"/>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20"/>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9">
    <w:name w:val="annotation subject"/>
    <w:basedOn w:val="4"/>
    <w:next w:val="4"/>
    <w:link w:val="18"/>
    <w:semiHidden/>
    <w:unhideWhenUsed/>
    <w:qFormat/>
    <w:uiPriority w:val="99"/>
    <w:rPr>
      <w:b/>
      <w:bCs/>
    </w:rPr>
  </w:style>
  <w:style w:type="table" w:styleId="11">
    <w:name w:val="Table Grid"/>
    <w:basedOn w:val="10"/>
    <w:qFormat/>
    <w:uiPriority w:val="3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3">
    <w:name w:val="annotation reference"/>
    <w:basedOn w:val="12"/>
    <w:semiHidden/>
    <w:unhideWhenUsed/>
    <w:qFormat/>
    <w:uiPriority w:val="99"/>
    <w:rPr>
      <w:sz w:val="21"/>
      <w:szCs w:val="21"/>
    </w:rPr>
  </w:style>
  <w:style w:type="character" w:customStyle="1" w:styleId="14">
    <w:name w:val="页眉 字符"/>
    <w:basedOn w:val="12"/>
    <w:link w:val="7"/>
    <w:qFormat/>
    <w:uiPriority w:val="99"/>
    <w:rPr>
      <w:kern w:val="2"/>
      <w:sz w:val="18"/>
      <w:szCs w:val="18"/>
    </w:rPr>
  </w:style>
  <w:style w:type="character" w:customStyle="1" w:styleId="15">
    <w:name w:val="页脚 字符"/>
    <w:basedOn w:val="12"/>
    <w:link w:val="6"/>
    <w:qFormat/>
    <w:uiPriority w:val="99"/>
    <w:rPr>
      <w:kern w:val="2"/>
      <w:sz w:val="18"/>
      <w:szCs w:val="18"/>
    </w:rPr>
  </w:style>
  <w:style w:type="paragraph" w:styleId="16">
    <w:name w:val="List Paragraph"/>
    <w:basedOn w:val="1"/>
    <w:qFormat/>
    <w:uiPriority w:val="99"/>
    <w:pPr>
      <w:ind w:firstLine="420" w:firstLineChars="200"/>
    </w:pPr>
  </w:style>
  <w:style w:type="character" w:customStyle="1" w:styleId="17">
    <w:name w:val="批注文字 字符"/>
    <w:basedOn w:val="12"/>
    <w:link w:val="4"/>
    <w:semiHidden/>
    <w:qFormat/>
    <w:uiPriority w:val="99"/>
    <w:rPr>
      <w:kern w:val="2"/>
      <w:sz w:val="21"/>
      <w:szCs w:val="22"/>
    </w:rPr>
  </w:style>
  <w:style w:type="character" w:customStyle="1" w:styleId="18">
    <w:name w:val="批注主题 字符"/>
    <w:basedOn w:val="17"/>
    <w:link w:val="9"/>
    <w:semiHidden/>
    <w:qFormat/>
    <w:uiPriority w:val="99"/>
    <w:rPr>
      <w:b/>
      <w:bCs/>
      <w:kern w:val="2"/>
      <w:sz w:val="21"/>
      <w:szCs w:val="22"/>
    </w:rPr>
  </w:style>
  <w:style w:type="character" w:customStyle="1" w:styleId="19">
    <w:name w:val="批注框文本 字符"/>
    <w:basedOn w:val="12"/>
    <w:link w:val="5"/>
    <w:semiHidden/>
    <w:qFormat/>
    <w:uiPriority w:val="99"/>
    <w:rPr>
      <w:kern w:val="2"/>
      <w:sz w:val="18"/>
      <w:szCs w:val="18"/>
    </w:rPr>
  </w:style>
  <w:style w:type="character" w:customStyle="1" w:styleId="20">
    <w:name w:val="HTML 预设格式 字符"/>
    <w:basedOn w:val="12"/>
    <w:link w:val="8"/>
    <w:qFormat/>
    <w:uiPriority w:val="99"/>
    <w:rPr>
      <w:rFonts w:ascii="宋体" w:hAnsi="宋体" w:eastAsia="宋体" w:cs="宋体"/>
      <w:sz w:val="24"/>
      <w:szCs w:val="24"/>
    </w:rPr>
  </w:style>
  <w:style w:type="character" w:customStyle="1" w:styleId="21">
    <w:name w:val="标题 3 字符"/>
    <w:basedOn w:val="12"/>
    <w:link w:val="3"/>
    <w:qFormat/>
    <w:uiPriority w:val="9"/>
    <w:rPr>
      <w:b/>
      <w:bCs/>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80510-F973-41D6-AAF5-BD2BB115F534}">
  <ds:schemaRefs/>
</ds:datastoreItem>
</file>

<file path=docProps/app.xml><?xml version="1.0" encoding="utf-8"?>
<Properties xmlns="http://schemas.openxmlformats.org/officeDocument/2006/extended-properties" xmlns:vt="http://schemas.openxmlformats.org/officeDocument/2006/docPropsVTypes">
  <Template>Normal.dotm</Template>
  <Pages>5</Pages>
  <Words>4583</Words>
  <Characters>4751</Characters>
  <Lines>27</Lines>
  <Paragraphs>7</Paragraphs>
  <TotalTime>6</TotalTime>
  <ScaleCrop>false</ScaleCrop>
  <LinksUpToDate>false</LinksUpToDate>
  <CharactersWithSpaces>4829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2023-11-30T08:59:00Z</dcterms:created>
  <dc:creator>Li Xiang</dc:creator>
  <cp:lastModifiedBy>One</cp:lastModifiedBy>
  <dcterms:modified xsi:type="dcterms:W3CDTF">2026-10-14T06:31:44Z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8565A6EC3EE84BEBB6368A07C6A038B6_13</vt:lpwstr>
  </property>
  <property fmtid="{D5CDD505-2E9C-101B-9397-08002B2CF9AE}" pid="4" name="KSOTemplateDocerSaveRecord">
    <vt:lpwstr>eyJoZGlkIjoiNzE2ZTBiMzJlMzNmODNhNTM5MGRkN2Y0MzYyNzgzMjQiLCJ1c2VySWQiOiI0NjkwNjg3OTYifQ==</vt:lpwstr>
  </property>
</Properties>
</file>