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04E6FA">
      <w:pPr>
        <w:spacing w:before="156" w:beforeLines="50" w:after="156" w:afterLines="50" w:line="360" w:lineRule="auto"/>
        <w:rPr>
          <w:rFonts w:hint="eastAsia" w:ascii="宋体" w:hAnsi="宋体"/>
          <w:bCs/>
          <w:iCs/>
          <w:color w:val="000000"/>
          <w:sz w:val="28"/>
        </w:rPr>
      </w:pPr>
      <w:r>
        <w:rPr>
          <w:rFonts w:hint="eastAsia" w:ascii="宋体" w:hAnsi="宋体"/>
          <w:bCs/>
          <w:iCs/>
          <w:color w:val="000000"/>
          <w:sz w:val="28"/>
        </w:rPr>
        <w:t>证券代码：</w:t>
      </w:r>
      <w:r>
        <w:rPr>
          <w:rFonts w:ascii="宋体" w:hAnsi="宋体"/>
          <w:bCs/>
          <w:iCs/>
          <w:color w:val="000000"/>
          <w:sz w:val="28"/>
        </w:rPr>
        <w:t>688</w:t>
      </w:r>
      <w:r>
        <w:rPr>
          <w:rFonts w:hint="eastAsia" w:ascii="宋体" w:hAnsi="宋体"/>
          <w:bCs/>
          <w:iCs/>
          <w:color w:val="000000"/>
          <w:sz w:val="28"/>
        </w:rPr>
        <w:t>5</w:t>
      </w:r>
      <w:r>
        <w:rPr>
          <w:rFonts w:ascii="宋体" w:hAnsi="宋体"/>
          <w:bCs/>
          <w:iCs/>
          <w:color w:val="000000"/>
          <w:sz w:val="28"/>
        </w:rPr>
        <w:t>48</w:t>
      </w:r>
      <w:r>
        <w:rPr>
          <w:rFonts w:hint="eastAsia" w:ascii="宋体" w:hAnsi="宋体"/>
          <w:bCs/>
          <w:iCs/>
          <w:color w:val="000000"/>
          <w:sz w:val="28"/>
        </w:rPr>
        <w:t xml:space="preserve">                         证券简称：广钢气体</w:t>
      </w:r>
    </w:p>
    <w:p w14:paraId="5D1DD2F8">
      <w:pPr>
        <w:spacing w:before="156" w:beforeLines="50" w:after="156" w:afterLines="50" w:line="360" w:lineRule="auto"/>
        <w:jc w:val="center"/>
        <w:rPr>
          <w:rFonts w:hint="eastAsia" w:ascii="宋体" w:hAnsi="宋体"/>
          <w:b/>
          <w:bCs/>
          <w:iCs/>
          <w:color w:val="000000"/>
          <w:sz w:val="32"/>
          <w:szCs w:val="32"/>
        </w:rPr>
      </w:pPr>
    </w:p>
    <w:p w14:paraId="5C335F3D">
      <w:pPr>
        <w:spacing w:before="156" w:beforeLines="50" w:after="156" w:afterLines="50" w:line="360" w:lineRule="auto"/>
        <w:jc w:val="center"/>
        <w:rPr>
          <w:rFonts w:hint="eastAsia" w:ascii="宋体" w:hAnsi="宋体"/>
          <w:b/>
          <w:bCs/>
          <w:iCs/>
          <w:color w:val="000000"/>
          <w:sz w:val="32"/>
          <w:szCs w:val="32"/>
        </w:rPr>
      </w:pPr>
      <w:r>
        <w:rPr>
          <w:rFonts w:hint="eastAsia" w:ascii="宋体" w:hAnsi="宋体"/>
          <w:b/>
          <w:bCs/>
          <w:iCs/>
          <w:color w:val="000000"/>
          <w:sz w:val="32"/>
          <w:szCs w:val="32"/>
        </w:rPr>
        <w:t>广州广钢气体能源股份有限公司</w:t>
      </w:r>
    </w:p>
    <w:p w14:paraId="39D99D9F">
      <w:pPr>
        <w:spacing w:before="156" w:beforeLines="50" w:after="156" w:afterLines="50" w:line="360" w:lineRule="auto"/>
        <w:jc w:val="center"/>
        <w:rPr>
          <w:rFonts w:hint="eastAsia" w:ascii="宋体" w:hAnsi="宋体"/>
          <w:b/>
          <w:bCs/>
          <w:iCs/>
          <w:color w:val="000000"/>
          <w:sz w:val="32"/>
          <w:szCs w:val="32"/>
        </w:rPr>
      </w:pPr>
      <w:r>
        <w:rPr>
          <w:rFonts w:hint="eastAsia" w:ascii="宋体" w:hAnsi="宋体"/>
          <w:b/>
          <w:bCs/>
          <w:iCs/>
          <w:color w:val="000000"/>
          <w:sz w:val="32"/>
          <w:szCs w:val="32"/>
        </w:rPr>
        <w:t>投资者关系活动记录表</w:t>
      </w:r>
    </w:p>
    <w:p w14:paraId="6C80BD44">
      <w:pPr>
        <w:spacing w:line="360" w:lineRule="auto"/>
        <w:rPr>
          <w:rFonts w:hint="eastAsia" w:ascii="宋体" w:hAnsi="宋体"/>
          <w:bCs/>
          <w:iCs/>
          <w:color w:val="000000"/>
          <w:sz w:val="24"/>
        </w:rPr>
      </w:pPr>
      <w:r>
        <w:rPr>
          <w:rFonts w:hint="eastAsia" w:ascii="宋体" w:hAnsi="宋体"/>
          <w:bCs/>
          <w:iCs/>
          <w:color w:val="000000"/>
          <w:sz w:val="24"/>
        </w:rPr>
        <w:t xml:space="preserve">                                                        编号：2</w:t>
      </w:r>
      <w:r>
        <w:rPr>
          <w:rFonts w:ascii="宋体" w:hAnsi="宋体"/>
          <w:bCs/>
          <w:iCs/>
          <w:color w:val="000000"/>
          <w:sz w:val="24"/>
        </w:rPr>
        <w:t>02</w:t>
      </w:r>
      <w:r>
        <w:rPr>
          <w:rFonts w:hint="eastAsia" w:ascii="宋体" w:hAnsi="宋体"/>
          <w:bCs/>
          <w:iCs/>
          <w:color w:val="000000"/>
          <w:sz w:val="24"/>
        </w:rPr>
        <w:t>6-</w:t>
      </w:r>
      <w:r>
        <w:rPr>
          <w:rFonts w:ascii="宋体" w:hAnsi="宋体"/>
          <w:bCs/>
          <w:iCs/>
          <w:color w:val="000000"/>
          <w:sz w:val="24"/>
        </w:rPr>
        <w:t>00</w:t>
      </w:r>
      <w:r>
        <w:rPr>
          <w:rFonts w:hint="eastAsia" w:ascii="宋体" w:hAnsi="宋体"/>
          <w:bCs/>
          <w:iCs/>
          <w:color w:val="000000"/>
          <w:sz w:val="24"/>
        </w:rPr>
        <w:t>7</w:t>
      </w:r>
    </w:p>
    <w:tbl>
      <w:tblPr>
        <w:tblStyle w:val="9"/>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9"/>
        <w:gridCol w:w="6631"/>
      </w:tblGrid>
      <w:tr w14:paraId="59FA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21E9D81C">
            <w:pPr>
              <w:spacing w:line="360" w:lineRule="auto"/>
              <w:rPr>
                <w:rFonts w:hint="eastAsia" w:ascii="宋体" w:hAnsi="宋体"/>
                <w:bCs/>
                <w:iCs/>
                <w:color w:val="000000"/>
                <w:sz w:val="24"/>
              </w:rPr>
            </w:pPr>
            <w:r>
              <w:rPr>
                <w:rFonts w:hint="eastAsia" w:ascii="宋体" w:hAnsi="宋体"/>
                <w:bCs/>
                <w:iCs/>
                <w:color w:val="000000"/>
                <w:sz w:val="24"/>
              </w:rPr>
              <w:t>投资者关系活动类别</w:t>
            </w:r>
          </w:p>
          <w:p w14:paraId="23146E22">
            <w:pPr>
              <w:spacing w:line="360" w:lineRule="auto"/>
              <w:rPr>
                <w:rFonts w:hint="eastAsia" w:ascii="宋体" w:hAnsi="宋体"/>
                <w:bCs/>
                <w:iCs/>
                <w:color w:val="000000"/>
                <w:sz w:val="24"/>
              </w:rPr>
            </w:pPr>
          </w:p>
        </w:tc>
        <w:tc>
          <w:tcPr>
            <w:tcW w:w="6631" w:type="dxa"/>
            <w:tcBorders>
              <w:top w:val="single" w:color="auto" w:sz="4" w:space="0"/>
              <w:left w:val="single" w:color="auto" w:sz="4" w:space="0"/>
              <w:bottom w:val="single" w:color="auto" w:sz="4" w:space="0"/>
              <w:right w:val="single" w:color="auto" w:sz="4" w:space="0"/>
            </w:tcBorders>
          </w:tcPr>
          <w:p w14:paraId="1512AB7C">
            <w:pPr>
              <w:tabs>
                <w:tab w:val="center" w:pos="3199"/>
              </w:tabs>
              <w:spacing w:line="360" w:lineRule="auto"/>
              <w:rPr>
                <w:rFonts w:hint="eastAsia" w:ascii="宋体" w:hAnsi="宋体"/>
                <w:bCs/>
                <w:iCs/>
                <w:color w:val="000000"/>
                <w:sz w:val="24"/>
              </w:rPr>
            </w:pPr>
            <w:r>
              <w:rPr>
                <w:rFonts w:hint="eastAsia" w:ascii="宋体" w:hAnsi="宋体"/>
                <w:bCs/>
                <w:iCs/>
                <w:color w:val="000000"/>
                <w:sz w:val="24"/>
              </w:rPr>
              <w:t>□</w:t>
            </w:r>
            <w:r>
              <w:rPr>
                <w:rFonts w:hint="eastAsia" w:ascii="宋体" w:hAnsi="宋体"/>
                <w:sz w:val="24"/>
              </w:rPr>
              <w:t xml:space="preserve">特定对象调研        </w:t>
            </w:r>
            <w:r>
              <w:rPr>
                <w:rFonts w:hint="eastAsia" w:ascii="宋体" w:hAnsi="宋体"/>
                <w:bCs/>
                <w:iCs/>
                <w:color w:val="000000"/>
                <w:sz w:val="24"/>
              </w:rPr>
              <w:t>□</w:t>
            </w:r>
            <w:r>
              <w:rPr>
                <w:rFonts w:hint="eastAsia" w:ascii="宋体" w:hAnsi="宋体"/>
                <w:sz w:val="24"/>
              </w:rPr>
              <w:t>分析师会议</w:t>
            </w:r>
          </w:p>
          <w:p w14:paraId="6008A9A6">
            <w:pPr>
              <w:tabs>
                <w:tab w:val="center" w:pos="3199"/>
              </w:tabs>
              <w:spacing w:line="360" w:lineRule="auto"/>
              <w:rPr>
                <w:rFonts w:hint="eastAsia" w:ascii="宋体" w:hAnsi="宋体"/>
                <w:bCs/>
                <w:iCs/>
                <w:color w:val="000000"/>
                <w:sz w:val="24"/>
              </w:rPr>
            </w:pPr>
            <w:r>
              <w:rPr>
                <w:rFonts w:hint="eastAsia" w:ascii="宋体" w:hAnsi="宋体"/>
                <w:bCs/>
                <w:iCs/>
                <w:color w:val="000000"/>
                <w:sz w:val="24"/>
              </w:rPr>
              <w:t>□</w:t>
            </w:r>
            <w:r>
              <w:rPr>
                <w:rFonts w:hint="eastAsia" w:ascii="宋体" w:hAnsi="宋体"/>
                <w:sz w:val="24"/>
              </w:rPr>
              <w:t xml:space="preserve">媒体采访            </w:t>
            </w:r>
            <w:r>
              <w:rPr>
                <w:rFonts w:hint="eastAsia" w:ascii="宋体" w:hAnsi="宋体"/>
                <w:bCs/>
                <w:iCs/>
                <w:color w:val="000000"/>
                <w:sz w:val="24"/>
              </w:rPr>
              <w:t>□</w:t>
            </w:r>
            <w:r>
              <w:rPr>
                <w:rFonts w:hint="eastAsia" w:ascii="宋体" w:hAnsi="宋体"/>
                <w:sz w:val="24"/>
              </w:rPr>
              <w:t>业绩说明会</w:t>
            </w:r>
          </w:p>
          <w:p w14:paraId="4C32ECA6">
            <w:pPr>
              <w:tabs>
                <w:tab w:val="center" w:pos="3199"/>
              </w:tabs>
              <w:spacing w:line="360" w:lineRule="auto"/>
              <w:rPr>
                <w:rFonts w:hint="eastAsia" w:ascii="宋体" w:hAnsi="宋体"/>
                <w:sz w:val="24"/>
              </w:rPr>
            </w:pPr>
            <w:r>
              <w:rPr>
                <w:rFonts w:hint="eastAsia" w:ascii="宋体" w:hAnsi="宋体"/>
                <w:bCs/>
                <w:iCs/>
                <w:color w:val="000000"/>
                <w:sz w:val="24"/>
              </w:rPr>
              <w:t>□</w:t>
            </w:r>
            <w:r>
              <w:rPr>
                <w:rFonts w:hint="eastAsia" w:ascii="宋体" w:hAnsi="宋体"/>
                <w:sz w:val="24"/>
              </w:rPr>
              <w:t xml:space="preserve">新闻发布会          </w:t>
            </w:r>
            <w:r>
              <w:rPr>
                <w:rFonts w:hint="eastAsia" w:ascii="宋体" w:hAnsi="宋体"/>
                <w:bCs/>
                <w:iCs/>
                <w:color w:val="000000"/>
                <w:sz w:val="24"/>
              </w:rPr>
              <w:t>□</w:t>
            </w:r>
            <w:r>
              <w:rPr>
                <w:rFonts w:hint="eastAsia" w:ascii="宋体" w:hAnsi="宋体"/>
                <w:sz w:val="24"/>
              </w:rPr>
              <w:t>路演活动</w:t>
            </w:r>
          </w:p>
          <w:p w14:paraId="2B722296">
            <w:pPr>
              <w:tabs>
                <w:tab w:val="center" w:pos="3199"/>
              </w:tabs>
              <w:spacing w:line="360" w:lineRule="auto"/>
              <w:rPr>
                <w:rFonts w:hint="eastAsia" w:ascii="宋体" w:hAnsi="宋体"/>
                <w:bCs/>
                <w:iCs/>
                <w:color w:val="000000"/>
                <w:sz w:val="24"/>
              </w:rPr>
            </w:pPr>
            <w:r>
              <w:rPr>
                <w:rFonts w:hint="eastAsia" w:ascii="宋体" w:hAnsi="宋体"/>
                <w:bCs/>
                <w:iCs/>
                <w:color w:val="000000"/>
                <w:sz w:val="24"/>
              </w:rPr>
              <w:t>√</w:t>
            </w:r>
            <w:r>
              <w:rPr>
                <w:rFonts w:hint="eastAsia" w:ascii="宋体" w:hAnsi="宋体"/>
                <w:sz w:val="24"/>
              </w:rPr>
              <w:t xml:space="preserve">现场参观          </w:t>
            </w:r>
            <w:r>
              <w:rPr>
                <w:rFonts w:ascii="宋体" w:hAnsi="宋体"/>
                <w:sz w:val="24"/>
              </w:rPr>
              <w:t xml:space="preserve">  </w:t>
            </w:r>
            <w:r>
              <w:rPr>
                <w:rFonts w:hint="eastAsia" w:ascii="宋体" w:hAnsi="宋体"/>
                <w:bCs/>
                <w:iCs/>
                <w:color w:val="000000"/>
                <w:sz w:val="24"/>
              </w:rPr>
              <w:t>□</w:t>
            </w:r>
            <w:r>
              <w:rPr>
                <w:rFonts w:hint="eastAsia" w:ascii="宋体" w:hAnsi="宋体"/>
                <w:sz w:val="24"/>
              </w:rPr>
              <w:t>电话会议</w:t>
            </w:r>
          </w:p>
          <w:p w14:paraId="50B20F1A">
            <w:pPr>
              <w:tabs>
                <w:tab w:val="center" w:pos="3199"/>
              </w:tabs>
              <w:spacing w:line="360" w:lineRule="auto"/>
              <w:rPr>
                <w:rFonts w:hint="eastAsia" w:ascii="宋体" w:hAnsi="宋体"/>
                <w:bCs/>
                <w:iCs/>
                <w:color w:val="000000"/>
                <w:sz w:val="24"/>
              </w:rPr>
            </w:pPr>
            <w:r>
              <w:rPr>
                <w:rFonts w:hint="eastAsia" w:ascii="宋体" w:hAnsi="宋体"/>
                <w:bCs/>
                <w:iCs/>
                <w:color w:val="000000"/>
                <w:sz w:val="24"/>
              </w:rPr>
              <w:t>√</w:t>
            </w:r>
            <w:r>
              <w:rPr>
                <w:rFonts w:hint="eastAsia" w:ascii="宋体" w:hAnsi="宋体"/>
                <w:sz w:val="24"/>
              </w:rPr>
              <w:t>其他 （2026年集体投资者会议）</w:t>
            </w:r>
            <w:bookmarkStart w:id="0" w:name="_GoBack"/>
            <w:bookmarkEnd w:id="0"/>
          </w:p>
        </w:tc>
      </w:tr>
      <w:tr w14:paraId="0995A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6DFAB11A">
            <w:pPr>
              <w:spacing w:line="360" w:lineRule="auto"/>
              <w:rPr>
                <w:rFonts w:hint="eastAsia" w:ascii="宋体" w:hAnsi="宋体"/>
                <w:bCs/>
                <w:iCs/>
                <w:color w:val="000000"/>
                <w:sz w:val="24"/>
              </w:rPr>
            </w:pPr>
            <w:r>
              <w:rPr>
                <w:rFonts w:hint="eastAsia" w:ascii="宋体" w:hAnsi="宋体"/>
                <w:bCs/>
                <w:iCs/>
                <w:color w:val="000000"/>
                <w:sz w:val="24"/>
              </w:rPr>
              <w:t>参与单位名称</w:t>
            </w:r>
          </w:p>
          <w:p w14:paraId="45693558">
            <w:pPr>
              <w:spacing w:line="360" w:lineRule="auto"/>
              <w:rPr>
                <w:rFonts w:hint="eastAsia" w:ascii="宋体" w:hAnsi="宋体"/>
                <w:bCs/>
                <w:iCs/>
                <w:color w:val="000000"/>
                <w:sz w:val="24"/>
              </w:rPr>
            </w:pPr>
            <w:r>
              <w:rPr>
                <w:rFonts w:hint="eastAsia" w:ascii="宋体" w:hAnsi="宋体"/>
                <w:bCs/>
                <w:iCs/>
                <w:color w:val="000000"/>
                <w:sz w:val="24"/>
              </w:rPr>
              <w:t>（排名不分先后）</w:t>
            </w:r>
          </w:p>
        </w:tc>
        <w:tc>
          <w:tcPr>
            <w:tcW w:w="6631" w:type="dxa"/>
            <w:tcBorders>
              <w:top w:val="single" w:color="auto" w:sz="4" w:space="0"/>
              <w:left w:val="single" w:color="auto" w:sz="4" w:space="0"/>
              <w:bottom w:val="single" w:color="auto" w:sz="4" w:space="0"/>
              <w:right w:val="single" w:color="auto" w:sz="4" w:space="0"/>
            </w:tcBorders>
            <w:vAlign w:val="center"/>
          </w:tcPr>
          <w:p w14:paraId="70305765">
            <w:pPr>
              <w:spacing w:line="360" w:lineRule="auto"/>
              <w:rPr>
                <w:rFonts w:hint="eastAsia" w:ascii="宋体" w:hAnsi="宋体"/>
                <w:bCs/>
                <w:iCs/>
                <w:color w:val="000000"/>
                <w:sz w:val="24"/>
              </w:rPr>
            </w:pPr>
            <w:r>
              <w:rPr>
                <w:rFonts w:hint="eastAsia" w:ascii="宋体" w:hAnsi="宋体"/>
                <w:bCs/>
                <w:iCs/>
                <w:color w:val="000000"/>
                <w:sz w:val="24"/>
              </w:rPr>
              <w:t>具体名单详见附件</w:t>
            </w:r>
          </w:p>
        </w:tc>
      </w:tr>
      <w:tr w14:paraId="0554D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4CA09A2F">
            <w:pPr>
              <w:spacing w:line="360" w:lineRule="auto"/>
              <w:rPr>
                <w:rFonts w:hint="eastAsia" w:ascii="宋体" w:hAnsi="宋体"/>
                <w:bCs/>
                <w:iCs/>
                <w:color w:val="000000"/>
                <w:sz w:val="24"/>
              </w:rPr>
            </w:pPr>
            <w:r>
              <w:rPr>
                <w:rFonts w:hint="eastAsia" w:ascii="宋体" w:hAnsi="宋体"/>
                <w:bCs/>
                <w:iCs/>
                <w:color w:val="000000"/>
                <w:sz w:val="24"/>
              </w:rPr>
              <w:t>时间</w:t>
            </w:r>
          </w:p>
        </w:tc>
        <w:tc>
          <w:tcPr>
            <w:tcW w:w="6631" w:type="dxa"/>
            <w:tcBorders>
              <w:top w:val="single" w:color="auto" w:sz="4" w:space="0"/>
              <w:left w:val="single" w:color="auto" w:sz="4" w:space="0"/>
              <w:bottom w:val="single" w:color="auto" w:sz="4" w:space="0"/>
              <w:right w:val="single" w:color="auto" w:sz="4" w:space="0"/>
            </w:tcBorders>
          </w:tcPr>
          <w:p w14:paraId="4847CB73">
            <w:pPr>
              <w:spacing w:line="360" w:lineRule="auto"/>
              <w:rPr>
                <w:rFonts w:hint="eastAsia" w:ascii="宋体" w:hAnsi="宋体"/>
                <w:bCs/>
                <w:iCs/>
                <w:color w:val="000000"/>
                <w:sz w:val="24"/>
              </w:rPr>
            </w:pPr>
            <w:r>
              <w:rPr>
                <w:rFonts w:hint="eastAsia" w:ascii="宋体" w:hAnsi="宋体"/>
                <w:bCs/>
                <w:iCs/>
                <w:color w:val="000000"/>
                <w:sz w:val="24"/>
              </w:rPr>
              <w:t>2</w:t>
            </w:r>
            <w:r>
              <w:rPr>
                <w:rFonts w:ascii="宋体" w:hAnsi="宋体"/>
                <w:bCs/>
                <w:iCs/>
                <w:color w:val="000000"/>
                <w:sz w:val="24"/>
              </w:rPr>
              <w:t>02</w:t>
            </w:r>
            <w:r>
              <w:rPr>
                <w:rFonts w:hint="eastAsia" w:ascii="宋体" w:hAnsi="宋体"/>
                <w:bCs/>
                <w:iCs/>
                <w:color w:val="000000"/>
                <w:sz w:val="24"/>
              </w:rPr>
              <w:t>6年10月15日</w:t>
            </w:r>
            <w:r>
              <w:rPr>
                <w:rFonts w:ascii="宋体" w:hAnsi="宋体"/>
                <w:bCs/>
                <w:iCs/>
                <w:color w:val="000000"/>
                <w:sz w:val="24"/>
              </w:rPr>
              <w:t>1</w:t>
            </w:r>
            <w:r>
              <w:rPr>
                <w:rFonts w:hint="eastAsia" w:ascii="宋体" w:hAnsi="宋体"/>
                <w:bCs/>
                <w:iCs/>
                <w:color w:val="000000"/>
                <w:sz w:val="24"/>
              </w:rPr>
              <w:t>4</w:t>
            </w:r>
            <w:r>
              <w:rPr>
                <w:rFonts w:ascii="宋体" w:hAnsi="宋体"/>
                <w:bCs/>
                <w:iCs/>
                <w:color w:val="000000"/>
                <w:sz w:val="24"/>
              </w:rPr>
              <w:t>:</w:t>
            </w:r>
            <w:r>
              <w:rPr>
                <w:rFonts w:hint="eastAsia" w:ascii="宋体" w:hAnsi="宋体"/>
                <w:bCs/>
                <w:iCs/>
                <w:color w:val="000000"/>
                <w:sz w:val="24"/>
              </w:rPr>
              <w:t>3</w:t>
            </w:r>
            <w:r>
              <w:rPr>
                <w:rFonts w:ascii="宋体" w:hAnsi="宋体"/>
                <w:bCs/>
                <w:iCs/>
                <w:color w:val="000000"/>
                <w:sz w:val="24"/>
              </w:rPr>
              <w:t>0-17:</w:t>
            </w:r>
            <w:r>
              <w:rPr>
                <w:rFonts w:hint="eastAsia" w:ascii="宋体" w:hAnsi="宋体"/>
                <w:bCs/>
                <w:iCs/>
                <w:color w:val="000000"/>
                <w:sz w:val="24"/>
              </w:rPr>
              <w:t>0</w:t>
            </w:r>
            <w:r>
              <w:rPr>
                <w:rFonts w:ascii="宋体" w:hAnsi="宋体"/>
                <w:bCs/>
                <w:iCs/>
                <w:color w:val="000000"/>
                <w:sz w:val="24"/>
              </w:rPr>
              <w:t>0</w:t>
            </w:r>
          </w:p>
        </w:tc>
      </w:tr>
      <w:tr w14:paraId="56923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2267C355">
            <w:pPr>
              <w:spacing w:line="360" w:lineRule="auto"/>
              <w:rPr>
                <w:rFonts w:hint="eastAsia" w:ascii="宋体" w:hAnsi="宋体"/>
                <w:bCs/>
                <w:iCs/>
                <w:color w:val="000000"/>
                <w:sz w:val="24"/>
              </w:rPr>
            </w:pPr>
            <w:r>
              <w:rPr>
                <w:rFonts w:hint="eastAsia" w:ascii="宋体" w:hAnsi="宋体"/>
                <w:bCs/>
                <w:iCs/>
                <w:color w:val="000000"/>
                <w:sz w:val="24"/>
              </w:rPr>
              <w:t>地点</w:t>
            </w:r>
          </w:p>
        </w:tc>
        <w:tc>
          <w:tcPr>
            <w:tcW w:w="6631" w:type="dxa"/>
            <w:tcBorders>
              <w:top w:val="single" w:color="auto" w:sz="4" w:space="0"/>
              <w:left w:val="single" w:color="auto" w:sz="4" w:space="0"/>
              <w:bottom w:val="single" w:color="auto" w:sz="4" w:space="0"/>
              <w:right w:val="single" w:color="auto" w:sz="4" w:space="0"/>
            </w:tcBorders>
          </w:tcPr>
          <w:p w14:paraId="01BD4F27">
            <w:pPr>
              <w:spacing w:line="360" w:lineRule="auto"/>
              <w:rPr>
                <w:rFonts w:hint="eastAsia" w:ascii="宋体" w:hAnsi="宋体"/>
                <w:bCs/>
                <w:iCs/>
                <w:color w:val="000000"/>
                <w:sz w:val="24"/>
              </w:rPr>
            </w:pPr>
            <w:r>
              <w:rPr>
                <w:rFonts w:hint="eastAsia" w:ascii="宋体" w:hAnsi="宋体"/>
                <w:bCs/>
                <w:iCs/>
                <w:color w:val="000000"/>
                <w:sz w:val="24"/>
              </w:rPr>
              <w:t>广钢气体建德智能制造基地</w:t>
            </w:r>
          </w:p>
        </w:tc>
      </w:tr>
      <w:tr w14:paraId="2C822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419FC6F4">
            <w:pPr>
              <w:spacing w:line="360" w:lineRule="auto"/>
              <w:rPr>
                <w:rFonts w:hint="eastAsia" w:ascii="宋体" w:hAnsi="宋体"/>
                <w:bCs/>
                <w:iCs/>
                <w:color w:val="000000"/>
                <w:sz w:val="24"/>
              </w:rPr>
            </w:pPr>
            <w:r>
              <w:rPr>
                <w:rFonts w:hint="eastAsia" w:ascii="宋体" w:hAnsi="宋体"/>
                <w:bCs/>
                <w:iCs/>
                <w:color w:val="000000"/>
                <w:sz w:val="24"/>
              </w:rPr>
              <w:t>上市公司接待人员</w:t>
            </w:r>
          </w:p>
        </w:tc>
        <w:tc>
          <w:tcPr>
            <w:tcW w:w="6631" w:type="dxa"/>
            <w:tcBorders>
              <w:top w:val="single" w:color="auto" w:sz="4" w:space="0"/>
              <w:left w:val="single" w:color="auto" w:sz="4" w:space="0"/>
              <w:bottom w:val="single" w:color="auto" w:sz="4" w:space="0"/>
              <w:right w:val="single" w:color="auto" w:sz="4" w:space="0"/>
            </w:tcBorders>
          </w:tcPr>
          <w:p w14:paraId="29A06478">
            <w:pPr>
              <w:spacing w:line="360" w:lineRule="auto"/>
              <w:rPr>
                <w:rFonts w:hint="eastAsia" w:ascii="宋体" w:hAnsi="宋体"/>
                <w:bCs/>
                <w:iCs/>
                <w:color w:val="000000"/>
                <w:sz w:val="24"/>
              </w:rPr>
            </w:pPr>
            <w:r>
              <w:rPr>
                <w:rFonts w:ascii="宋体" w:hAnsi="宋体"/>
                <w:bCs/>
                <w:iCs/>
                <w:color w:val="000000"/>
                <w:sz w:val="24"/>
              </w:rPr>
              <w:t>党委书记</w:t>
            </w:r>
            <w:r>
              <w:rPr>
                <w:rFonts w:hint="eastAsia" w:ascii="宋体" w:hAnsi="宋体"/>
                <w:bCs/>
                <w:iCs/>
                <w:color w:val="000000"/>
                <w:sz w:val="24"/>
              </w:rPr>
              <w:t>、董事长、首席科学家：邓韬先生</w:t>
            </w:r>
          </w:p>
          <w:p w14:paraId="3CD402F4">
            <w:pPr>
              <w:spacing w:line="360" w:lineRule="auto"/>
              <w:rPr>
                <w:rFonts w:hint="eastAsia" w:ascii="宋体" w:hAnsi="宋体"/>
                <w:bCs/>
                <w:iCs/>
                <w:color w:val="000000"/>
                <w:sz w:val="24"/>
              </w:rPr>
            </w:pPr>
            <w:r>
              <w:rPr>
                <w:rFonts w:hint="eastAsia" w:ascii="宋体" w:hAnsi="宋体"/>
                <w:bCs/>
                <w:iCs/>
                <w:color w:val="000000"/>
                <w:sz w:val="24"/>
              </w:rPr>
              <w:t>董事会秘书、</w:t>
            </w:r>
            <w:r>
              <w:rPr>
                <w:rFonts w:ascii="宋体" w:hAnsi="宋体"/>
                <w:bCs/>
                <w:iCs/>
                <w:color w:val="000000"/>
                <w:sz w:val="24"/>
              </w:rPr>
              <w:t>总法律顾问</w:t>
            </w:r>
            <w:r>
              <w:rPr>
                <w:rFonts w:hint="eastAsia" w:ascii="宋体" w:hAnsi="宋体"/>
                <w:bCs/>
                <w:iCs/>
                <w:color w:val="000000"/>
                <w:sz w:val="24"/>
              </w:rPr>
              <w:t>：贺新先生</w:t>
            </w:r>
          </w:p>
          <w:p w14:paraId="01798B92">
            <w:pPr>
              <w:spacing w:line="360" w:lineRule="auto"/>
              <w:rPr>
                <w:rFonts w:hint="eastAsia" w:ascii="宋体" w:hAnsi="宋体"/>
                <w:bCs/>
                <w:iCs/>
                <w:color w:val="000000"/>
                <w:sz w:val="24"/>
              </w:rPr>
            </w:pPr>
            <w:r>
              <w:rPr>
                <w:rFonts w:hint="eastAsia" w:ascii="宋体" w:hAnsi="宋体"/>
                <w:bCs/>
                <w:iCs/>
                <w:color w:val="000000"/>
                <w:sz w:val="24"/>
              </w:rPr>
              <w:t>工艺技术研发中心总经理：李伟先生</w:t>
            </w:r>
          </w:p>
          <w:p w14:paraId="46BFEF69">
            <w:pPr>
              <w:spacing w:line="360" w:lineRule="auto"/>
              <w:rPr>
                <w:rFonts w:hint="eastAsia" w:ascii="宋体" w:hAnsi="宋体"/>
                <w:bCs/>
                <w:iCs/>
                <w:color w:val="000000"/>
                <w:sz w:val="24"/>
              </w:rPr>
            </w:pPr>
            <w:r>
              <w:rPr>
                <w:rFonts w:hint="eastAsia" w:ascii="宋体" w:hAnsi="宋体"/>
                <w:bCs/>
                <w:iCs/>
                <w:color w:val="000000"/>
                <w:sz w:val="24"/>
              </w:rPr>
              <w:t>制造高级总监：章伟星先生</w:t>
            </w:r>
          </w:p>
        </w:tc>
      </w:tr>
      <w:tr w14:paraId="67A94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193CA328">
            <w:pPr>
              <w:spacing w:line="360" w:lineRule="auto"/>
              <w:rPr>
                <w:rFonts w:hint="eastAsia" w:ascii="宋体" w:hAnsi="宋体"/>
                <w:bCs/>
                <w:iCs/>
                <w:color w:val="000000"/>
                <w:sz w:val="24"/>
              </w:rPr>
            </w:pPr>
            <w:r>
              <w:rPr>
                <w:rFonts w:hint="eastAsia" w:ascii="宋体" w:hAnsi="宋体"/>
                <w:bCs/>
                <w:iCs/>
                <w:color w:val="000000"/>
                <w:sz w:val="24"/>
              </w:rPr>
              <w:t>投资者关系活动主要内容介绍</w:t>
            </w:r>
          </w:p>
        </w:tc>
        <w:tc>
          <w:tcPr>
            <w:tcW w:w="6631" w:type="dxa"/>
            <w:tcBorders>
              <w:top w:val="single" w:color="auto" w:sz="4" w:space="0"/>
              <w:left w:val="single" w:color="auto" w:sz="4" w:space="0"/>
              <w:bottom w:val="single" w:color="auto" w:sz="4" w:space="0"/>
              <w:right w:val="single" w:color="auto" w:sz="4" w:space="0"/>
            </w:tcBorders>
          </w:tcPr>
          <w:p w14:paraId="1F294DA1">
            <w:pPr>
              <w:widowControl/>
              <w:spacing w:line="360" w:lineRule="auto"/>
              <w:rPr>
                <w:rFonts w:hint="eastAsia" w:ascii="宋体" w:hAnsi="宋体"/>
                <w:b/>
                <w:iCs/>
                <w:color w:val="000000"/>
                <w:sz w:val="24"/>
              </w:rPr>
            </w:pPr>
            <w:r>
              <w:rPr>
                <w:rFonts w:hint="eastAsia" w:ascii="宋体" w:hAnsi="宋体"/>
                <w:b/>
                <w:iCs/>
                <w:color w:val="000000"/>
                <w:sz w:val="24"/>
              </w:rPr>
              <w:t>一、参观情况：</w:t>
            </w:r>
          </w:p>
          <w:p w14:paraId="35D1F9FD">
            <w:pPr>
              <w:widowControl/>
              <w:spacing w:line="360" w:lineRule="auto"/>
              <w:ind w:firstLine="480" w:firstLineChars="200"/>
              <w:rPr>
                <w:rFonts w:hint="eastAsia" w:ascii="宋体" w:hAnsi="宋体"/>
                <w:bCs/>
                <w:iCs/>
                <w:color w:val="000000"/>
                <w:sz w:val="24"/>
              </w:rPr>
            </w:pPr>
            <w:r>
              <w:rPr>
                <w:rFonts w:hint="eastAsia" w:ascii="宋体" w:hAnsi="宋体"/>
                <w:bCs/>
                <w:iCs/>
                <w:color w:val="000000"/>
                <w:sz w:val="24"/>
              </w:rPr>
              <w:t>本次参观地点为建德市，广钢气体建德智能制造基地是公司核心高端装备自研智造平台，聚焦公司“Super-N”系列超高纯制氮装置的研制，突破“卡脖子”技术，装置可稳定产出ppb级超高纯氮气，9N级产品性能对标国际。目前建德智能制造基地已取得美国ASME、韩国KGS国际双认证。</w:t>
            </w:r>
          </w:p>
          <w:p w14:paraId="464C03E8">
            <w:pPr>
              <w:spacing w:line="360" w:lineRule="auto"/>
              <w:rPr>
                <w:rFonts w:hint="eastAsia" w:ascii="宋体" w:hAnsi="宋体"/>
                <w:b/>
                <w:iCs/>
                <w:color w:val="000000"/>
                <w:sz w:val="24"/>
              </w:rPr>
            </w:pPr>
            <w:r>
              <w:rPr>
                <w:rFonts w:hint="eastAsia" w:ascii="宋体" w:hAnsi="宋体"/>
                <w:b/>
                <w:iCs/>
                <w:color w:val="000000"/>
                <w:sz w:val="24"/>
              </w:rPr>
              <w:t>二、经营情况简介：</w:t>
            </w:r>
          </w:p>
          <w:p w14:paraId="70641047">
            <w:pPr>
              <w:widowControl/>
              <w:spacing w:line="360" w:lineRule="auto"/>
              <w:ind w:firstLine="480" w:firstLineChars="200"/>
              <w:rPr>
                <w:rFonts w:hint="eastAsia" w:ascii="宋体" w:hAnsi="宋体"/>
                <w:bCs/>
                <w:iCs/>
                <w:color w:val="000000"/>
                <w:sz w:val="24"/>
              </w:rPr>
            </w:pPr>
            <w:r>
              <w:rPr>
                <w:rFonts w:hint="eastAsia" w:ascii="宋体" w:hAnsi="宋体"/>
                <w:bCs/>
                <w:iCs/>
                <w:color w:val="000000"/>
                <w:sz w:val="24"/>
              </w:rPr>
              <w:t>2026年上半年公司实现营业收入13.33亿元，同比增长19.62%；归母净利润2.56亿元，同比增长117.73%，利润增速远超收入增速，盈利弹性充分释放。上半年电子大宗气体业务实现收入10.56亿元，同比增长30.18%，占主营业务收入比重进一步提升至八成。通用工业气体业务作为重要补充，上半年实现收入2.17亿元。</w:t>
            </w:r>
          </w:p>
          <w:p w14:paraId="2C30FF2B">
            <w:pPr>
              <w:spacing w:line="360" w:lineRule="auto"/>
              <w:ind w:firstLine="480" w:firstLineChars="200"/>
              <w:rPr>
                <w:rFonts w:hint="eastAsia" w:ascii="宋体" w:hAnsi="宋体"/>
                <w:bCs/>
                <w:iCs/>
                <w:color w:val="000000"/>
                <w:sz w:val="24"/>
              </w:rPr>
            </w:pPr>
            <w:r>
              <w:rPr>
                <w:rFonts w:hint="eastAsia" w:ascii="宋体" w:hAnsi="宋体"/>
                <w:bCs/>
                <w:iCs/>
                <w:color w:val="000000"/>
                <w:sz w:val="24"/>
              </w:rPr>
              <w:t>气源布局方面，公司已构建涵盖中东、欧洲、北美等多区域气源的全球化氦气供应体系，上半年面对全球供应链阶段性紧张格局，有效保障战略客户的稳定供应；储运能力方面，公司已累计投资近百台液氦冷箱；战略储备方面，全力推进国内首个小分子深地存储项目建设，着力打造“氦气银行”，进一步夯实国内氦气战略储备能力。</w:t>
            </w:r>
          </w:p>
          <w:p w14:paraId="0D91D876">
            <w:pPr>
              <w:widowControl/>
              <w:spacing w:line="360" w:lineRule="auto"/>
              <w:ind w:firstLine="480" w:firstLineChars="200"/>
              <w:rPr>
                <w:rFonts w:hint="eastAsia" w:ascii="宋体" w:hAnsi="宋体"/>
                <w:bCs/>
                <w:iCs/>
                <w:color w:val="000000"/>
                <w:sz w:val="24"/>
              </w:rPr>
            </w:pPr>
            <w:r>
              <w:rPr>
                <w:rFonts w:hint="eastAsia" w:ascii="宋体" w:hAnsi="宋体"/>
                <w:bCs/>
                <w:iCs/>
                <w:color w:val="000000"/>
                <w:sz w:val="24"/>
              </w:rPr>
              <w:t>截至2026年上半年，公司累计服务11座12英寸晶圆厂，为8条高世代显示产线供应电子大宗气体。</w:t>
            </w:r>
          </w:p>
          <w:p w14:paraId="1B442BA3">
            <w:pPr>
              <w:widowControl/>
              <w:spacing w:line="360" w:lineRule="auto"/>
              <w:ind w:firstLine="480" w:firstLineChars="200"/>
              <w:rPr>
                <w:rFonts w:hint="eastAsia" w:ascii="宋体" w:hAnsi="宋体"/>
                <w:bCs/>
                <w:iCs/>
                <w:color w:val="000000"/>
                <w:sz w:val="24"/>
              </w:rPr>
            </w:pPr>
          </w:p>
          <w:p w14:paraId="677E3594">
            <w:pPr>
              <w:widowControl/>
              <w:spacing w:line="360" w:lineRule="auto"/>
              <w:rPr>
                <w:rFonts w:hint="eastAsia" w:ascii="宋体" w:hAnsi="宋体"/>
                <w:b/>
                <w:iCs/>
                <w:color w:val="000000"/>
                <w:sz w:val="24"/>
              </w:rPr>
            </w:pPr>
            <w:r>
              <w:rPr>
                <w:rFonts w:hint="eastAsia" w:ascii="宋体" w:hAnsi="宋体"/>
                <w:b/>
                <w:iCs/>
                <w:color w:val="000000"/>
                <w:sz w:val="24"/>
              </w:rPr>
              <w:t>三、问答环节主要内容：</w:t>
            </w:r>
          </w:p>
          <w:p w14:paraId="741C8ACD">
            <w:pPr>
              <w:widowControl/>
              <w:spacing w:line="360" w:lineRule="auto"/>
              <w:rPr>
                <w:rFonts w:hint="eastAsia" w:ascii="宋体" w:hAnsi="宋体"/>
                <w:b/>
                <w:iCs/>
                <w:color w:val="000000"/>
                <w:sz w:val="24"/>
              </w:rPr>
            </w:pPr>
            <w:r>
              <w:rPr>
                <w:rFonts w:hint="eastAsia" w:ascii="宋体" w:hAnsi="宋体"/>
                <w:b/>
                <w:iCs/>
                <w:color w:val="000000"/>
                <w:sz w:val="24"/>
              </w:rPr>
              <w:t>Q1、对于未来的资本开支，公司资金安排上是如何规划的？</w:t>
            </w:r>
          </w:p>
          <w:p w14:paraId="144F9C9E">
            <w:pPr>
              <w:widowControl/>
              <w:spacing w:line="360" w:lineRule="auto"/>
              <w:rPr>
                <w:rFonts w:hint="eastAsia" w:ascii="宋体" w:hAnsi="宋体"/>
                <w:bCs/>
                <w:iCs/>
                <w:color w:val="000000"/>
                <w:sz w:val="24"/>
              </w:rPr>
            </w:pPr>
            <w:r>
              <w:rPr>
                <w:rFonts w:hint="eastAsia" w:ascii="宋体" w:hAnsi="宋体"/>
                <w:bCs/>
                <w:iCs/>
                <w:color w:val="000000"/>
                <w:sz w:val="24"/>
              </w:rPr>
              <w:t>答：公司近三年每年平均资本开支投入十亿元以上，截至2026年6月末，公司资产负债率33.61%，整体财务状况健康，现金流创造能力强劲。伴随国内半导体行业发展机遇期，公司预计未来资本开支需求将进一步提升。公司将结合中长期资本开支规划及投资建设需求，考量灵活运用各项融资工具，保障项目投资及业务发展的资金需求。</w:t>
            </w:r>
          </w:p>
          <w:p w14:paraId="34452242">
            <w:pPr>
              <w:widowControl/>
              <w:spacing w:line="360" w:lineRule="auto"/>
              <w:rPr>
                <w:rFonts w:hint="eastAsia" w:ascii="宋体" w:hAnsi="宋体"/>
                <w:bCs/>
                <w:iCs/>
                <w:color w:val="000000"/>
                <w:sz w:val="24"/>
              </w:rPr>
            </w:pPr>
          </w:p>
          <w:p w14:paraId="6B1A1997">
            <w:pPr>
              <w:widowControl/>
              <w:spacing w:line="360" w:lineRule="auto"/>
              <w:rPr>
                <w:rFonts w:hint="eastAsia" w:ascii="宋体" w:hAnsi="宋体"/>
                <w:b/>
                <w:iCs/>
                <w:color w:val="000000"/>
                <w:sz w:val="24"/>
              </w:rPr>
            </w:pPr>
            <w:r>
              <w:rPr>
                <w:rFonts w:hint="eastAsia" w:ascii="宋体" w:hAnsi="宋体"/>
                <w:b/>
                <w:iCs/>
                <w:color w:val="000000"/>
                <w:sz w:val="24"/>
              </w:rPr>
              <w:t>Q2、海外的气体公司不只做电子大宗气体，还包括电子特种气体，下游行业分布均衡，零售占比较高，公司未来业务发展的规划？</w:t>
            </w:r>
          </w:p>
          <w:p w14:paraId="2423A536">
            <w:pPr>
              <w:widowControl/>
              <w:spacing w:line="360" w:lineRule="auto"/>
              <w:rPr>
                <w:rFonts w:hint="eastAsia" w:ascii="宋体" w:hAnsi="宋体"/>
                <w:bCs/>
                <w:iCs/>
                <w:color w:val="000000"/>
                <w:sz w:val="24"/>
              </w:rPr>
            </w:pPr>
            <w:r>
              <w:rPr>
                <w:rFonts w:hint="eastAsia" w:ascii="宋体" w:hAnsi="宋体"/>
                <w:bCs/>
                <w:iCs/>
                <w:color w:val="000000"/>
                <w:sz w:val="24"/>
              </w:rPr>
              <w:t>答：</w:t>
            </w:r>
            <w:r>
              <w:rPr>
                <w:rFonts w:ascii="宋体" w:hAnsi="宋体" w:cs="宋体"/>
                <w:sz w:val="24"/>
              </w:rPr>
              <w:t>公司主营业务聚焦高景气度的电子大宗气体领域</w:t>
            </w:r>
            <w:r>
              <w:rPr>
                <w:rFonts w:hint="eastAsia" w:ascii="宋体" w:hAnsi="宋体" w:cs="宋体"/>
                <w:sz w:val="24"/>
              </w:rPr>
              <w:t>，以现场制气为主</w:t>
            </w:r>
            <w:r>
              <w:rPr>
                <w:rFonts w:ascii="宋体" w:hAnsi="宋体" w:cs="宋体"/>
                <w:sz w:val="24"/>
              </w:rPr>
              <w:t>。在电子特种气体板块，</w:t>
            </w:r>
            <w:r>
              <w:rPr>
                <w:rFonts w:hint="eastAsia" w:ascii="宋体" w:hAnsi="宋体" w:cs="宋体"/>
                <w:sz w:val="24"/>
              </w:rPr>
              <w:t>海外气体公司更多发挥自身品牌、渠道及终端品控等优势，通过供应链方式开展特气业务。同时，海外气体公司发挥其研发能力，与半导体客户共同推动下一代产品应用开发。广钢气体</w:t>
            </w:r>
            <w:r>
              <w:rPr>
                <w:rFonts w:ascii="宋体" w:hAnsi="宋体" w:cs="宋体"/>
                <w:sz w:val="24"/>
              </w:rPr>
              <w:t>主要基于下游客户需求开展产品布局，综合考量市场空间、国产化前景等因素，择优选择</w:t>
            </w:r>
            <w:r>
              <w:rPr>
                <w:rFonts w:hint="eastAsia" w:ascii="宋体" w:hAnsi="宋体" w:cs="宋体"/>
                <w:sz w:val="24"/>
              </w:rPr>
              <w:t>半导体产业用量较大的品种作为产品发展方向。目前，公司已对</w:t>
            </w:r>
            <w:r>
              <w:rPr>
                <w:rFonts w:hint="eastAsia" w:ascii="宋体" w:hAnsi="宋体"/>
                <w:bCs/>
                <w:iCs/>
                <w:color w:val="000000"/>
                <w:sz w:val="24"/>
              </w:rPr>
              <w:t>六氟丁二烯（C4F6）、溴化氢（HBr）、电子级氯化氢（HCl）</w:t>
            </w:r>
            <w:r>
              <w:rPr>
                <w:rFonts w:ascii="宋体" w:hAnsi="宋体" w:cs="宋体"/>
                <w:sz w:val="24"/>
              </w:rPr>
              <w:t>等品种进行产业化布局，提升对半导体客户一体化供气服务能力。</w:t>
            </w:r>
          </w:p>
          <w:p w14:paraId="6E270132">
            <w:pPr>
              <w:widowControl/>
              <w:spacing w:line="360" w:lineRule="auto"/>
              <w:rPr>
                <w:rFonts w:hint="eastAsia" w:ascii="宋体" w:hAnsi="宋体"/>
                <w:bCs/>
                <w:iCs/>
                <w:color w:val="000000"/>
                <w:sz w:val="24"/>
              </w:rPr>
            </w:pPr>
          </w:p>
          <w:p w14:paraId="41B27A1F">
            <w:pPr>
              <w:widowControl/>
              <w:spacing w:line="360" w:lineRule="auto"/>
              <w:rPr>
                <w:rFonts w:hint="eastAsia" w:ascii="宋体" w:hAnsi="宋体"/>
                <w:b/>
                <w:iCs/>
                <w:color w:val="000000"/>
                <w:sz w:val="24"/>
              </w:rPr>
            </w:pPr>
            <w:r>
              <w:rPr>
                <w:rFonts w:hint="eastAsia" w:ascii="宋体" w:hAnsi="宋体"/>
                <w:b/>
                <w:iCs/>
                <w:color w:val="000000"/>
                <w:sz w:val="24"/>
              </w:rPr>
              <w:t>Q3：招投标的价格机制对公司的影响？</w:t>
            </w:r>
          </w:p>
          <w:p w14:paraId="29C97826">
            <w:pPr>
              <w:widowControl/>
              <w:spacing w:line="360" w:lineRule="auto"/>
              <w:rPr>
                <w:rFonts w:hint="eastAsia" w:ascii="宋体" w:hAnsi="宋体"/>
                <w:bCs/>
                <w:iCs/>
                <w:color w:val="000000"/>
                <w:sz w:val="24"/>
              </w:rPr>
            </w:pPr>
            <w:r>
              <w:rPr>
                <w:rFonts w:hint="eastAsia" w:ascii="宋体" w:hAnsi="宋体"/>
                <w:bCs/>
                <w:iCs/>
                <w:color w:val="000000"/>
                <w:sz w:val="24"/>
              </w:rPr>
              <w:t>答：目前电子大宗气体项目</w:t>
            </w:r>
            <w:r>
              <w:rPr>
                <w:rFonts w:ascii="宋体" w:hAnsi="宋体" w:cs="宋体"/>
                <w:sz w:val="24"/>
              </w:rPr>
              <w:t>采用市场化招投标定价机制</w:t>
            </w:r>
            <w:r>
              <w:rPr>
                <w:rFonts w:hint="eastAsia" w:ascii="宋体" w:hAnsi="宋体"/>
                <w:bCs/>
                <w:iCs/>
                <w:color w:val="000000"/>
                <w:sz w:val="24"/>
              </w:rPr>
              <w:t>，公司与外资气体公司保持竞争关系。伴随半导体产业持续扩张，为电子大宗气体业务带来两点特征：其一是市场需求扩张，</w:t>
            </w:r>
            <w:r>
              <w:rPr>
                <w:rFonts w:hint="eastAsia" w:ascii="宋体" w:hAnsi="宋体"/>
                <w:bCs/>
                <w:iCs/>
                <w:color w:val="000000"/>
                <w:sz w:val="24"/>
                <w:lang w:val="en-US" w:eastAsia="zh-CN"/>
              </w:rPr>
              <w:t>客户</w:t>
            </w:r>
            <w:r>
              <w:rPr>
                <w:rFonts w:hint="eastAsia" w:ascii="宋体" w:hAnsi="宋体"/>
                <w:bCs/>
                <w:iCs/>
                <w:color w:val="000000"/>
                <w:sz w:val="24"/>
              </w:rPr>
              <w:t>新建项目</w:t>
            </w:r>
            <w:r>
              <w:rPr>
                <w:rFonts w:hint="eastAsia" w:ascii="宋体" w:hAnsi="宋体"/>
                <w:bCs/>
                <w:iCs/>
                <w:color w:val="000000"/>
                <w:sz w:val="24"/>
                <w:lang w:val="en-US" w:eastAsia="zh-CN"/>
              </w:rPr>
              <w:t>带来更多业务机会</w:t>
            </w:r>
            <w:r>
              <w:rPr>
                <w:rFonts w:hint="eastAsia" w:ascii="宋体" w:hAnsi="宋体"/>
                <w:bCs/>
                <w:iCs/>
                <w:color w:val="000000"/>
                <w:sz w:val="24"/>
              </w:rPr>
              <w:t>；其二是已建成客户随着产能爬升，技术迭代</w:t>
            </w:r>
            <w:r>
              <w:rPr>
                <w:rFonts w:hint="eastAsia" w:ascii="宋体" w:hAnsi="宋体"/>
                <w:bCs/>
                <w:iCs/>
                <w:color w:val="000000"/>
                <w:sz w:val="24"/>
                <w:lang w:val="en-US" w:eastAsia="zh-CN"/>
              </w:rPr>
              <w:t>升级</w:t>
            </w:r>
            <w:r>
              <w:rPr>
                <w:rFonts w:hint="eastAsia" w:ascii="宋体" w:hAnsi="宋体"/>
                <w:bCs/>
                <w:iCs/>
                <w:color w:val="000000"/>
                <w:sz w:val="24"/>
              </w:rPr>
              <w:t>，电子大宗气体用量</w:t>
            </w:r>
            <w:r>
              <w:rPr>
                <w:rFonts w:hint="eastAsia" w:ascii="宋体" w:hAnsi="宋体"/>
                <w:bCs/>
                <w:iCs/>
                <w:color w:val="000000"/>
                <w:sz w:val="24"/>
                <w:lang w:val="en-US" w:eastAsia="zh-CN"/>
              </w:rPr>
              <w:t>持续</w:t>
            </w:r>
            <w:r>
              <w:rPr>
                <w:rFonts w:hint="eastAsia" w:ascii="宋体" w:hAnsi="宋体"/>
                <w:bCs/>
                <w:iCs/>
                <w:color w:val="000000"/>
                <w:sz w:val="24"/>
              </w:rPr>
              <w:t>增长</w:t>
            </w:r>
            <w:r>
              <w:rPr>
                <w:rFonts w:hint="eastAsia" w:ascii="宋体" w:hAnsi="宋体"/>
                <w:bCs/>
                <w:iCs/>
                <w:color w:val="000000"/>
                <w:sz w:val="24"/>
                <w:lang w:eastAsia="zh-CN"/>
              </w:rPr>
              <w:t>，</w:t>
            </w:r>
            <w:r>
              <w:rPr>
                <w:rFonts w:hint="eastAsia" w:ascii="宋体" w:hAnsi="宋体"/>
                <w:bCs/>
                <w:iCs/>
                <w:color w:val="000000"/>
                <w:sz w:val="24"/>
              </w:rPr>
              <w:t>新气体品种、</w:t>
            </w:r>
            <w:r>
              <w:rPr>
                <w:rFonts w:hint="eastAsia" w:ascii="宋体" w:hAnsi="宋体"/>
                <w:bCs/>
                <w:iCs/>
                <w:color w:val="000000"/>
                <w:sz w:val="24"/>
                <w:lang w:val="en-US" w:eastAsia="zh-CN"/>
              </w:rPr>
              <w:t>新兴</w:t>
            </w:r>
            <w:r>
              <w:rPr>
                <w:rFonts w:hint="eastAsia" w:ascii="宋体" w:hAnsi="宋体"/>
                <w:bCs/>
                <w:iCs/>
                <w:color w:val="000000"/>
                <w:sz w:val="24"/>
              </w:rPr>
              <w:t>应用场景</w:t>
            </w:r>
            <w:r>
              <w:rPr>
                <w:rFonts w:hint="eastAsia" w:ascii="宋体" w:hAnsi="宋体"/>
                <w:bCs/>
                <w:iCs/>
                <w:color w:val="000000"/>
                <w:sz w:val="24"/>
                <w:lang w:val="en-US" w:eastAsia="zh-CN"/>
              </w:rPr>
              <w:t>不断涌现</w:t>
            </w:r>
            <w:r>
              <w:rPr>
                <w:rFonts w:hint="eastAsia" w:ascii="宋体" w:hAnsi="宋体"/>
                <w:bCs/>
                <w:iCs/>
                <w:color w:val="000000"/>
                <w:sz w:val="24"/>
              </w:rPr>
              <w:t>，</w:t>
            </w:r>
            <w:r>
              <w:rPr>
                <w:rFonts w:hint="eastAsia" w:ascii="宋体" w:hAnsi="宋体"/>
                <w:bCs/>
                <w:iCs/>
                <w:color w:val="000000"/>
                <w:sz w:val="24"/>
                <w:lang w:val="en-US" w:eastAsia="zh-CN"/>
              </w:rPr>
              <w:t>持续创造</w:t>
            </w:r>
            <w:r>
              <w:rPr>
                <w:rFonts w:hint="eastAsia" w:ascii="宋体" w:hAnsi="宋体"/>
                <w:bCs/>
                <w:iCs/>
                <w:color w:val="000000"/>
                <w:sz w:val="24"/>
              </w:rPr>
              <w:t>新的业务机会，从而</w:t>
            </w:r>
            <w:r>
              <w:rPr>
                <w:rFonts w:hint="eastAsia" w:ascii="宋体" w:hAnsi="宋体"/>
                <w:bCs/>
                <w:iCs/>
                <w:color w:val="000000"/>
                <w:sz w:val="24"/>
                <w:lang w:val="en-US" w:eastAsia="zh-CN"/>
              </w:rPr>
              <w:t>助力</w:t>
            </w:r>
            <w:r>
              <w:rPr>
                <w:rFonts w:hint="eastAsia" w:ascii="宋体" w:hAnsi="宋体"/>
                <w:bCs/>
                <w:iCs/>
                <w:color w:val="000000"/>
                <w:sz w:val="24"/>
              </w:rPr>
              <w:t>公司</w:t>
            </w:r>
            <w:r>
              <w:rPr>
                <w:rFonts w:hint="eastAsia" w:ascii="宋体" w:hAnsi="宋体"/>
                <w:bCs/>
                <w:iCs/>
                <w:color w:val="000000"/>
                <w:sz w:val="24"/>
                <w:lang w:val="en-US" w:eastAsia="zh-CN"/>
              </w:rPr>
              <w:t>实现</w:t>
            </w:r>
            <w:r>
              <w:rPr>
                <w:rFonts w:hint="eastAsia" w:ascii="宋体" w:hAnsi="宋体"/>
                <w:bCs/>
                <w:iCs/>
                <w:color w:val="000000"/>
                <w:sz w:val="24"/>
              </w:rPr>
              <w:t>业绩及利润</w:t>
            </w:r>
            <w:r>
              <w:rPr>
                <w:rFonts w:hint="eastAsia" w:ascii="宋体" w:hAnsi="宋体"/>
                <w:bCs/>
                <w:iCs/>
                <w:color w:val="000000"/>
                <w:sz w:val="24"/>
                <w:lang w:val="en-US" w:eastAsia="zh-CN"/>
              </w:rPr>
              <w:t>的增长</w:t>
            </w:r>
            <w:r>
              <w:rPr>
                <w:rFonts w:hint="eastAsia" w:ascii="宋体" w:hAnsi="宋体"/>
                <w:bCs/>
                <w:iCs/>
                <w:color w:val="000000"/>
                <w:sz w:val="24"/>
              </w:rPr>
              <w:t>，</w:t>
            </w:r>
            <w:r>
              <w:rPr>
                <w:rFonts w:hint="eastAsia" w:ascii="宋体" w:hAnsi="宋体"/>
                <w:bCs/>
                <w:iCs/>
                <w:color w:val="000000"/>
                <w:sz w:val="24"/>
                <w:lang w:val="en-US" w:eastAsia="zh-CN"/>
              </w:rPr>
              <w:t>实现</w:t>
            </w:r>
            <w:r>
              <w:rPr>
                <w:rFonts w:hint="eastAsia" w:ascii="宋体" w:hAnsi="宋体"/>
                <w:bCs/>
                <w:iCs/>
                <w:color w:val="000000"/>
                <w:sz w:val="24"/>
              </w:rPr>
              <w:t>IRR水平提升。</w:t>
            </w:r>
          </w:p>
          <w:p w14:paraId="63B28D25">
            <w:pPr>
              <w:widowControl/>
              <w:spacing w:line="360" w:lineRule="auto"/>
              <w:rPr>
                <w:rFonts w:hint="eastAsia" w:ascii="宋体" w:hAnsi="宋体"/>
                <w:bCs/>
                <w:iCs/>
                <w:color w:val="000000"/>
                <w:sz w:val="24"/>
              </w:rPr>
            </w:pPr>
          </w:p>
          <w:p w14:paraId="4F6D2CBA">
            <w:pPr>
              <w:widowControl/>
              <w:spacing w:line="360" w:lineRule="auto"/>
              <w:rPr>
                <w:rFonts w:hint="eastAsia" w:ascii="宋体" w:hAnsi="宋体"/>
                <w:b/>
                <w:iCs/>
                <w:color w:val="000000"/>
                <w:sz w:val="24"/>
                <w:highlight w:val="none"/>
              </w:rPr>
            </w:pPr>
            <w:r>
              <w:rPr>
                <w:rFonts w:hint="eastAsia" w:ascii="宋体" w:hAnsi="宋体"/>
                <w:b/>
                <w:iCs/>
                <w:color w:val="000000"/>
                <w:sz w:val="24"/>
                <w:highlight w:val="none"/>
              </w:rPr>
              <w:t>Q4：公司的竞争优势是什么？</w:t>
            </w:r>
          </w:p>
          <w:p w14:paraId="2EFA9FF9">
            <w:pPr>
              <w:widowControl/>
              <w:spacing w:line="360" w:lineRule="auto"/>
              <w:rPr>
                <w:rFonts w:hint="eastAsia" w:ascii="宋体" w:hAnsi="宋体"/>
                <w:bCs/>
                <w:iCs/>
                <w:color w:val="000000"/>
                <w:sz w:val="24"/>
                <w:highlight w:val="none"/>
              </w:rPr>
            </w:pPr>
            <w:r>
              <w:rPr>
                <w:rFonts w:hint="eastAsia" w:ascii="宋体" w:hAnsi="宋体"/>
                <w:bCs/>
                <w:iCs/>
                <w:color w:val="000000"/>
                <w:sz w:val="24"/>
                <w:highlight w:val="none"/>
              </w:rPr>
              <w:t>答：公司依托三大核心竞争优势夯实长期发展根基：一是体制机制优势，兼具国企责任担当与市场化管理体系，以全球智慧赋能本土产业；二是专业稳定的创业团队，坚持工艺与产品持续迭代升级，能够匹配半导体客户严苛的纯度标准，形成精益求精的品控文化</w:t>
            </w:r>
            <w:r>
              <w:rPr>
                <w:rFonts w:hint="eastAsia" w:ascii="宋体" w:hAnsi="宋体"/>
                <w:bCs/>
                <w:iCs/>
                <w:color w:val="000000"/>
                <w:sz w:val="24"/>
                <w:highlight w:val="none"/>
                <w:lang w:eastAsia="zh-CN"/>
              </w:rPr>
              <w:t>，</w:t>
            </w:r>
            <w:r>
              <w:rPr>
                <w:rFonts w:hint="eastAsia" w:ascii="宋体" w:hAnsi="宋体"/>
                <w:bCs/>
                <w:iCs/>
                <w:color w:val="000000"/>
                <w:sz w:val="24"/>
                <w:highlight w:val="none"/>
                <w:lang w:val="en-US" w:eastAsia="zh-CN"/>
              </w:rPr>
              <w:t>具备十五年</w:t>
            </w:r>
            <w:r>
              <w:rPr>
                <w:rFonts w:ascii="宋体" w:hAnsi="宋体" w:eastAsia="宋体" w:cs="宋体"/>
                <w:sz w:val="24"/>
                <w:szCs w:val="24"/>
                <w:highlight w:val="none"/>
              </w:rPr>
              <w:t>及以上长期稳定运行</w:t>
            </w:r>
            <w:r>
              <w:rPr>
                <w:rFonts w:hint="eastAsia" w:ascii="宋体" w:hAnsi="宋体" w:cs="宋体"/>
                <w:sz w:val="24"/>
                <w:szCs w:val="24"/>
                <w:highlight w:val="none"/>
                <w:lang w:val="en-US" w:eastAsia="zh-CN"/>
              </w:rPr>
              <w:t>能力</w:t>
            </w:r>
            <w:r>
              <w:rPr>
                <w:rFonts w:hint="eastAsia" w:ascii="宋体" w:hAnsi="宋体"/>
                <w:bCs/>
                <w:iCs/>
                <w:color w:val="000000"/>
                <w:sz w:val="24"/>
                <w:highlight w:val="none"/>
              </w:rPr>
              <w:t>；三是数十年的合资和电子大宗气体行业经验，铸就了深厚的历史沉淀</w:t>
            </w:r>
            <w:r>
              <w:rPr>
                <w:rFonts w:hint="eastAsia" w:ascii="宋体" w:hAnsi="宋体"/>
                <w:bCs/>
                <w:iCs/>
                <w:color w:val="000000"/>
                <w:sz w:val="24"/>
                <w:highlight w:val="none"/>
                <w:lang w:eastAsia="zh-CN"/>
              </w:rPr>
              <w:t>，</w:t>
            </w:r>
            <w:r>
              <w:rPr>
                <w:rFonts w:ascii="宋体" w:hAnsi="宋体" w:eastAsia="宋体" w:cs="宋体"/>
                <w:sz w:val="24"/>
                <w:szCs w:val="24"/>
                <w:highlight w:val="none"/>
              </w:rPr>
              <w:t>依托本地化布局优势</w:t>
            </w:r>
            <w:r>
              <w:rPr>
                <w:rFonts w:hint="eastAsia" w:ascii="宋体" w:hAnsi="宋体"/>
                <w:bCs/>
                <w:iCs/>
                <w:color w:val="000000"/>
                <w:sz w:val="24"/>
                <w:highlight w:val="none"/>
                <w:lang w:eastAsia="zh-CN"/>
              </w:rPr>
              <w:t>，具备更高效的交付</w:t>
            </w:r>
            <w:r>
              <w:rPr>
                <w:rFonts w:hint="eastAsia" w:ascii="宋体" w:hAnsi="宋体"/>
                <w:bCs/>
                <w:iCs/>
                <w:color w:val="000000"/>
                <w:sz w:val="24"/>
                <w:highlight w:val="none"/>
                <w:lang w:val="en-US" w:eastAsia="zh-CN"/>
              </w:rPr>
              <w:t>能力，可以快速响应客户需求，为客户提供</w:t>
            </w:r>
            <w:r>
              <w:rPr>
                <w:rFonts w:ascii="宋体" w:hAnsi="宋体" w:eastAsia="宋体" w:cs="宋体"/>
                <w:sz w:val="24"/>
                <w:szCs w:val="24"/>
                <w:highlight w:val="none"/>
              </w:rPr>
              <w:t>更高质量的</w:t>
            </w:r>
            <w:r>
              <w:rPr>
                <w:rFonts w:hint="eastAsia" w:ascii="宋体" w:hAnsi="宋体" w:cs="宋体"/>
                <w:sz w:val="24"/>
                <w:szCs w:val="24"/>
                <w:highlight w:val="none"/>
                <w:lang w:val="en-US" w:eastAsia="zh-CN"/>
              </w:rPr>
              <w:t>配套</w:t>
            </w:r>
            <w:r>
              <w:rPr>
                <w:rFonts w:ascii="宋体" w:hAnsi="宋体" w:eastAsia="宋体" w:cs="宋体"/>
                <w:sz w:val="24"/>
                <w:szCs w:val="24"/>
                <w:highlight w:val="none"/>
              </w:rPr>
              <w:t>服务</w:t>
            </w:r>
            <w:r>
              <w:rPr>
                <w:rFonts w:hint="eastAsia" w:ascii="宋体" w:hAnsi="宋体"/>
                <w:bCs/>
                <w:iCs/>
                <w:color w:val="000000"/>
                <w:sz w:val="24"/>
                <w:highlight w:val="none"/>
              </w:rPr>
              <w:t>。未来，公司将继续推动客户多元化与全球化发展略，持续拓宽成长边界，进一步打开中长期增长空间，支撑经营业绩实现稳健、可持续增长。</w:t>
            </w:r>
          </w:p>
          <w:p w14:paraId="601695CD">
            <w:pPr>
              <w:widowControl/>
              <w:spacing w:line="360" w:lineRule="auto"/>
              <w:rPr>
                <w:rFonts w:hint="eastAsia" w:ascii="宋体" w:hAnsi="宋体"/>
                <w:bCs/>
                <w:iCs/>
                <w:color w:val="000000"/>
                <w:sz w:val="24"/>
              </w:rPr>
            </w:pPr>
          </w:p>
          <w:p w14:paraId="6601A5C7">
            <w:pPr>
              <w:widowControl/>
              <w:spacing w:line="360" w:lineRule="auto"/>
              <w:rPr>
                <w:rFonts w:hint="eastAsia" w:ascii="宋体" w:hAnsi="宋体"/>
                <w:b/>
                <w:iCs/>
                <w:color w:val="000000"/>
                <w:sz w:val="24"/>
              </w:rPr>
            </w:pPr>
            <w:r>
              <w:rPr>
                <w:rFonts w:hint="eastAsia" w:ascii="宋体" w:hAnsi="宋体"/>
                <w:b/>
                <w:iCs/>
                <w:color w:val="000000"/>
                <w:sz w:val="24"/>
              </w:rPr>
              <w:t>Q5:公司募投项目调整的考量及未来规划？</w:t>
            </w:r>
          </w:p>
          <w:p w14:paraId="73F74110">
            <w:pPr>
              <w:widowControl/>
              <w:spacing w:line="360" w:lineRule="auto"/>
              <w:rPr>
                <w:rFonts w:hint="eastAsia" w:ascii="宋体" w:hAnsi="宋体" w:cs="宋体"/>
                <w:sz w:val="24"/>
              </w:rPr>
            </w:pPr>
            <w:r>
              <w:rPr>
                <w:rFonts w:hint="eastAsia" w:ascii="宋体" w:hAnsi="宋体"/>
                <w:bCs/>
                <w:iCs/>
                <w:color w:val="000000"/>
                <w:sz w:val="24"/>
              </w:rPr>
              <w:t>答：公司募投项目调整主要是基于半导体客户发展带来的电子气体需求增加。</w:t>
            </w:r>
            <w:r>
              <w:rPr>
                <w:rFonts w:ascii="宋体" w:hAnsi="宋体" w:cs="宋体"/>
                <w:sz w:val="24"/>
              </w:rPr>
              <w:t>以安徽、北京</w:t>
            </w:r>
            <w:r>
              <w:rPr>
                <w:rFonts w:hint="eastAsia" w:ascii="宋体" w:hAnsi="宋体" w:cs="宋体"/>
                <w:sz w:val="24"/>
              </w:rPr>
              <w:t>等</w:t>
            </w:r>
            <w:r>
              <w:rPr>
                <w:rFonts w:ascii="宋体" w:hAnsi="宋体" w:cs="宋体"/>
                <w:sz w:val="24"/>
              </w:rPr>
              <w:t>项目为例，基于下游半导体客户产能配套需求提升，公司在上述募投项目实施过程中，以自有资金追加投入，相应增加项目总投资规模</w:t>
            </w:r>
            <w:r>
              <w:rPr>
                <w:rFonts w:hint="eastAsia" w:ascii="宋体" w:hAnsi="宋体" w:cs="宋体"/>
                <w:sz w:val="24"/>
              </w:rPr>
              <w:t>。后续其他项目也存在随着半导体客户的</w:t>
            </w:r>
            <w:r>
              <w:rPr>
                <w:rFonts w:ascii="宋体" w:hAnsi="宋体" w:cs="宋体"/>
                <w:sz w:val="24"/>
              </w:rPr>
              <w:t>业务</w:t>
            </w:r>
            <w:r>
              <w:rPr>
                <w:rFonts w:hint="eastAsia" w:ascii="宋体" w:hAnsi="宋体" w:cs="宋体"/>
                <w:sz w:val="24"/>
              </w:rPr>
              <w:t>发展</w:t>
            </w:r>
            <w:r>
              <w:rPr>
                <w:rFonts w:ascii="宋体" w:hAnsi="宋体" w:cs="宋体"/>
                <w:sz w:val="24"/>
              </w:rPr>
              <w:t>及配套用气需求</w:t>
            </w:r>
            <w:r>
              <w:rPr>
                <w:rFonts w:hint="eastAsia" w:ascii="宋体" w:hAnsi="宋体" w:cs="宋体"/>
                <w:sz w:val="24"/>
              </w:rPr>
              <w:t>提升，调整项目总投资规模的需求。</w:t>
            </w:r>
          </w:p>
          <w:p w14:paraId="4C82BD0F">
            <w:pPr>
              <w:widowControl/>
              <w:spacing w:line="360" w:lineRule="auto"/>
              <w:rPr>
                <w:rFonts w:hint="eastAsia" w:ascii="宋体" w:hAnsi="宋体" w:cs="宋体"/>
                <w:sz w:val="24"/>
              </w:rPr>
            </w:pPr>
          </w:p>
          <w:p w14:paraId="39ECFE77">
            <w:pPr>
              <w:widowControl/>
              <w:spacing w:line="360" w:lineRule="auto"/>
              <w:rPr>
                <w:rFonts w:hint="eastAsia" w:ascii="宋体" w:hAnsi="宋体"/>
                <w:b/>
                <w:iCs/>
                <w:color w:val="000000"/>
                <w:sz w:val="24"/>
              </w:rPr>
            </w:pPr>
            <w:r>
              <w:rPr>
                <w:rFonts w:hint="eastAsia" w:ascii="宋体" w:hAnsi="宋体"/>
                <w:b/>
                <w:iCs/>
                <w:color w:val="000000"/>
                <w:sz w:val="24"/>
              </w:rPr>
              <w:t>Q6：未来项目投资额与收入的展望？</w:t>
            </w:r>
          </w:p>
          <w:p w14:paraId="4CFE83C3">
            <w:pPr>
              <w:widowControl/>
              <w:spacing w:line="360" w:lineRule="auto"/>
              <w:rPr>
                <w:rFonts w:hint="eastAsia" w:ascii="宋体" w:hAnsi="宋体"/>
                <w:bCs/>
                <w:iCs/>
                <w:color w:val="000000"/>
                <w:sz w:val="24"/>
              </w:rPr>
            </w:pPr>
            <w:r>
              <w:rPr>
                <w:rFonts w:hint="eastAsia" w:ascii="宋体" w:hAnsi="宋体"/>
                <w:bCs/>
                <w:iCs/>
                <w:color w:val="000000"/>
                <w:sz w:val="24"/>
              </w:rPr>
              <w:t>答：公司近三年每年平均资本开支投入十亿元以上</w:t>
            </w:r>
            <w:r>
              <w:rPr>
                <w:rFonts w:hint="eastAsia" w:ascii="宋体" w:hAnsi="宋体"/>
                <w:bCs/>
                <w:iCs/>
                <w:color w:val="000000"/>
                <w:sz w:val="24"/>
                <w:lang w:eastAsia="zh-CN"/>
              </w:rPr>
              <w:t>，</w:t>
            </w:r>
            <w:r>
              <w:rPr>
                <w:rFonts w:hint="eastAsia" w:ascii="宋体" w:hAnsi="宋体"/>
                <w:bCs/>
                <w:iCs/>
                <w:color w:val="000000"/>
                <w:sz w:val="24"/>
              </w:rPr>
              <w:t>公司现已服务国内主流半导体客户，伴随国内半导体产业持续发展，亦将带来电子大宗气体市场的增长。</w:t>
            </w:r>
          </w:p>
          <w:p w14:paraId="2530CA5D">
            <w:pPr>
              <w:widowControl/>
              <w:spacing w:line="360" w:lineRule="auto"/>
              <w:rPr>
                <w:rFonts w:hint="eastAsia" w:ascii="宋体" w:hAnsi="宋体"/>
                <w:bCs/>
                <w:iCs/>
                <w:color w:val="000000"/>
                <w:sz w:val="24"/>
              </w:rPr>
            </w:pPr>
          </w:p>
          <w:p w14:paraId="7403E8AA">
            <w:pPr>
              <w:widowControl/>
              <w:spacing w:line="360" w:lineRule="auto"/>
              <w:rPr>
                <w:rFonts w:hint="eastAsia" w:ascii="宋体" w:hAnsi="宋体"/>
                <w:bCs/>
                <w:iCs/>
                <w:color w:val="000000"/>
                <w:sz w:val="24"/>
              </w:rPr>
            </w:pPr>
            <w:r>
              <w:rPr>
                <w:rFonts w:ascii="宋体" w:hAnsi="宋体"/>
                <w:bCs/>
                <w:iCs/>
                <w:color w:val="000000"/>
                <w:sz w:val="24"/>
              </w:rPr>
              <w:t>欢迎关注公司微信公众号“广钢气体”，了解更多公司动态。</w:t>
            </w:r>
          </w:p>
        </w:tc>
      </w:tr>
      <w:tr w14:paraId="7D6AC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654C08C9">
            <w:pPr>
              <w:spacing w:line="360" w:lineRule="auto"/>
              <w:rPr>
                <w:rFonts w:hint="eastAsia" w:ascii="宋体" w:hAnsi="宋体"/>
                <w:bCs/>
                <w:iCs/>
                <w:color w:val="000000"/>
                <w:sz w:val="24"/>
              </w:rPr>
            </w:pPr>
            <w:r>
              <w:rPr>
                <w:rFonts w:hint="eastAsia" w:ascii="宋体" w:hAnsi="宋体"/>
                <w:bCs/>
                <w:iCs/>
                <w:color w:val="000000"/>
                <w:sz w:val="24"/>
              </w:rPr>
              <w:t>附件清单（如有）</w:t>
            </w:r>
          </w:p>
        </w:tc>
        <w:tc>
          <w:tcPr>
            <w:tcW w:w="6631" w:type="dxa"/>
            <w:tcBorders>
              <w:top w:val="single" w:color="auto" w:sz="4" w:space="0"/>
              <w:left w:val="single" w:color="auto" w:sz="4" w:space="0"/>
              <w:bottom w:val="single" w:color="auto" w:sz="4" w:space="0"/>
              <w:right w:val="single" w:color="auto" w:sz="4" w:space="0"/>
            </w:tcBorders>
            <w:vAlign w:val="center"/>
          </w:tcPr>
          <w:p w14:paraId="30F9E249">
            <w:pPr>
              <w:rPr>
                <w:rFonts w:hint="eastAsia" w:ascii="宋体" w:hAnsi="宋体"/>
                <w:bCs/>
                <w:iCs/>
                <w:color w:val="000000"/>
                <w:sz w:val="24"/>
              </w:rPr>
            </w:pPr>
            <w:r>
              <w:rPr>
                <w:rFonts w:hint="eastAsia" w:ascii="宋体" w:hAnsi="宋体"/>
                <w:bCs/>
                <w:iCs/>
                <w:color w:val="000000"/>
                <w:sz w:val="24"/>
              </w:rPr>
              <w:t>参会机构名单</w:t>
            </w:r>
          </w:p>
        </w:tc>
      </w:tr>
      <w:tr w14:paraId="21DF0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047B39D6">
            <w:pPr>
              <w:spacing w:line="360" w:lineRule="auto"/>
              <w:rPr>
                <w:rFonts w:hint="eastAsia" w:ascii="宋体" w:hAnsi="宋体"/>
                <w:bCs/>
                <w:iCs/>
                <w:color w:val="000000"/>
                <w:sz w:val="24"/>
              </w:rPr>
            </w:pPr>
            <w:r>
              <w:rPr>
                <w:rFonts w:hint="eastAsia" w:ascii="宋体" w:hAnsi="宋体"/>
                <w:bCs/>
                <w:iCs/>
                <w:color w:val="000000"/>
                <w:sz w:val="24"/>
              </w:rPr>
              <w:t>风险提示</w:t>
            </w:r>
          </w:p>
        </w:tc>
        <w:tc>
          <w:tcPr>
            <w:tcW w:w="6631" w:type="dxa"/>
            <w:tcBorders>
              <w:top w:val="single" w:color="auto" w:sz="4" w:space="0"/>
              <w:left w:val="single" w:color="auto" w:sz="4" w:space="0"/>
              <w:bottom w:val="single" w:color="auto" w:sz="4" w:space="0"/>
              <w:right w:val="single" w:color="auto" w:sz="4" w:space="0"/>
            </w:tcBorders>
            <w:vAlign w:val="center"/>
          </w:tcPr>
          <w:p w14:paraId="06666937">
            <w:pPr>
              <w:spacing w:line="360" w:lineRule="auto"/>
              <w:rPr>
                <w:rFonts w:hint="eastAsia" w:ascii="宋体" w:hAnsi="宋体"/>
                <w:bCs/>
                <w:iCs/>
                <w:color w:val="000000"/>
                <w:sz w:val="24"/>
              </w:rPr>
            </w:pPr>
            <w:r>
              <w:rPr>
                <w:rFonts w:hint="eastAsia" w:ascii="宋体" w:hAnsi="宋体"/>
                <w:bCs/>
                <w:iCs/>
                <w:color w:val="000000"/>
                <w:sz w:val="24"/>
              </w:rPr>
              <w:t>以上如涉及对行业的预测、公司发展战略规划等相关内容，不能视作公司或公司管理层对行业、公司发展或业绩的承诺和保证，敬请广大投资者注意投资风险。</w:t>
            </w:r>
          </w:p>
        </w:tc>
      </w:tr>
      <w:tr w14:paraId="4D3D6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04666189">
            <w:pPr>
              <w:spacing w:line="360" w:lineRule="auto"/>
              <w:rPr>
                <w:rFonts w:hint="eastAsia" w:ascii="宋体" w:hAnsi="宋体"/>
                <w:bCs/>
                <w:iCs/>
                <w:color w:val="000000"/>
                <w:sz w:val="24"/>
              </w:rPr>
            </w:pPr>
            <w:r>
              <w:rPr>
                <w:rFonts w:hint="eastAsia" w:ascii="宋体" w:hAnsi="宋体"/>
                <w:bCs/>
                <w:iCs/>
                <w:color w:val="000000"/>
                <w:sz w:val="24"/>
              </w:rPr>
              <w:t>关于本次活动是否涉及应当披露重大信息的说明</w:t>
            </w:r>
          </w:p>
        </w:tc>
        <w:tc>
          <w:tcPr>
            <w:tcW w:w="6631" w:type="dxa"/>
            <w:tcBorders>
              <w:top w:val="single" w:color="auto" w:sz="4" w:space="0"/>
              <w:left w:val="single" w:color="auto" w:sz="4" w:space="0"/>
              <w:bottom w:val="single" w:color="auto" w:sz="4" w:space="0"/>
              <w:right w:val="single" w:color="auto" w:sz="4" w:space="0"/>
            </w:tcBorders>
            <w:vAlign w:val="center"/>
          </w:tcPr>
          <w:p w14:paraId="66B873BF">
            <w:pPr>
              <w:spacing w:line="360" w:lineRule="auto"/>
              <w:rPr>
                <w:rFonts w:hint="eastAsia" w:ascii="宋体" w:hAnsi="宋体"/>
                <w:bCs/>
                <w:iCs/>
                <w:color w:val="000000"/>
                <w:sz w:val="24"/>
              </w:rPr>
            </w:pPr>
            <w:r>
              <w:rPr>
                <w:rFonts w:hint="eastAsia" w:ascii="宋体" w:hAnsi="宋体"/>
                <w:bCs/>
                <w:iCs/>
                <w:color w:val="000000"/>
                <w:sz w:val="24"/>
              </w:rPr>
              <w:t>本次活动不涉及应当披露重大信息。</w:t>
            </w:r>
          </w:p>
        </w:tc>
      </w:tr>
      <w:tr w14:paraId="36FD5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46F1A7E6">
            <w:pPr>
              <w:spacing w:line="360" w:lineRule="auto"/>
              <w:rPr>
                <w:rFonts w:hint="eastAsia" w:ascii="宋体" w:hAnsi="宋体"/>
                <w:bCs/>
                <w:iCs/>
                <w:color w:val="000000"/>
                <w:sz w:val="24"/>
              </w:rPr>
            </w:pPr>
            <w:r>
              <w:rPr>
                <w:rFonts w:hint="eastAsia" w:ascii="宋体" w:hAnsi="宋体"/>
                <w:bCs/>
                <w:iCs/>
                <w:color w:val="000000"/>
                <w:sz w:val="24"/>
              </w:rPr>
              <w:t>日期</w:t>
            </w:r>
          </w:p>
        </w:tc>
        <w:tc>
          <w:tcPr>
            <w:tcW w:w="6631" w:type="dxa"/>
            <w:tcBorders>
              <w:top w:val="single" w:color="auto" w:sz="4" w:space="0"/>
              <w:left w:val="single" w:color="auto" w:sz="4" w:space="0"/>
              <w:bottom w:val="single" w:color="auto" w:sz="4" w:space="0"/>
              <w:right w:val="single" w:color="auto" w:sz="4" w:space="0"/>
            </w:tcBorders>
            <w:vAlign w:val="center"/>
          </w:tcPr>
          <w:p w14:paraId="3FC300AA">
            <w:pPr>
              <w:spacing w:line="360" w:lineRule="auto"/>
              <w:rPr>
                <w:rFonts w:hint="eastAsia" w:ascii="宋体" w:hAnsi="宋体"/>
                <w:bCs/>
                <w:iCs/>
                <w:color w:val="000000"/>
                <w:sz w:val="24"/>
              </w:rPr>
            </w:pPr>
            <w:r>
              <w:rPr>
                <w:rFonts w:hint="eastAsia" w:ascii="宋体" w:hAnsi="宋体"/>
                <w:bCs/>
                <w:iCs/>
                <w:color w:val="000000"/>
                <w:sz w:val="24"/>
              </w:rPr>
              <w:t>2</w:t>
            </w:r>
            <w:r>
              <w:rPr>
                <w:rFonts w:ascii="宋体" w:hAnsi="宋体"/>
                <w:bCs/>
                <w:iCs/>
                <w:color w:val="000000"/>
                <w:sz w:val="24"/>
              </w:rPr>
              <w:t>02</w:t>
            </w:r>
            <w:r>
              <w:rPr>
                <w:rFonts w:hint="eastAsia" w:ascii="宋体" w:hAnsi="宋体"/>
                <w:bCs/>
                <w:iCs/>
                <w:color w:val="000000"/>
                <w:sz w:val="24"/>
              </w:rPr>
              <w:t>6年10月15日</w:t>
            </w:r>
          </w:p>
        </w:tc>
      </w:tr>
    </w:tbl>
    <w:p w14:paraId="57A392EA">
      <w:pPr>
        <w:widowControl/>
        <w:jc w:val="left"/>
        <w:rPr>
          <w:color w:val="000000" w:themeColor="text1"/>
          <w14:textFill>
            <w14:solidFill>
              <w14:schemeClr w14:val="tx1"/>
            </w14:solidFill>
          </w14:textFill>
        </w:rPr>
      </w:pPr>
      <w:r>
        <w:rPr>
          <w:color w:val="000000" w:themeColor="text1"/>
          <w14:textFill>
            <w14:solidFill>
              <w14:schemeClr w14:val="tx1"/>
            </w14:solidFill>
          </w14:textFill>
        </w:rPr>
        <w:br w:type="page"/>
      </w:r>
    </w:p>
    <w:p w14:paraId="1A270251">
      <w:pPr>
        <w:widowControl/>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附件清单：参会机构名单</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E365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bottom"/>
          </w:tcPr>
          <w:p w14:paraId="7D815B9C">
            <w:pPr>
              <w:widowControl/>
              <w:jc w:val="left"/>
              <w:textAlignment w:val="bottom"/>
              <w:rPr>
                <w:rFonts w:hint="eastAsia" w:ascii="宋体" w:hAnsi="宋体" w:cs="宋体"/>
                <w:b/>
                <w:bCs/>
                <w:color w:val="000000"/>
                <w:sz w:val="20"/>
                <w:szCs w:val="20"/>
              </w:rPr>
            </w:pPr>
            <w:r>
              <w:rPr>
                <w:rFonts w:hint="eastAsia" w:ascii="宋体" w:hAnsi="宋体" w:cs="宋体"/>
                <w:b/>
                <w:bCs/>
                <w:color w:val="000000"/>
                <w:kern w:val="0"/>
                <w:sz w:val="20"/>
                <w:szCs w:val="20"/>
                <w:lang w:bidi="ar"/>
              </w:rPr>
              <w:t>机构名称</w:t>
            </w:r>
          </w:p>
        </w:tc>
      </w:tr>
      <w:tr w14:paraId="68DE7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68D71493">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景顺长城基金</w:t>
            </w:r>
          </w:p>
        </w:tc>
      </w:tr>
      <w:tr w14:paraId="657BB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0289DB6F">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国泰基金</w:t>
            </w:r>
          </w:p>
        </w:tc>
      </w:tr>
      <w:tr w14:paraId="7AD1B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521B23EE">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嘉实基金</w:t>
            </w:r>
          </w:p>
        </w:tc>
      </w:tr>
      <w:tr w14:paraId="3892A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536170E0">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汇添富基金</w:t>
            </w:r>
          </w:p>
        </w:tc>
      </w:tr>
      <w:tr w14:paraId="5A1CA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6148EFD2">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鹏华基金</w:t>
            </w:r>
          </w:p>
        </w:tc>
      </w:tr>
      <w:tr w14:paraId="50D13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0B0F185F">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汇安基金</w:t>
            </w:r>
          </w:p>
        </w:tc>
      </w:tr>
      <w:tr w14:paraId="6A17F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50E1FB9E">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易方达基金</w:t>
            </w:r>
          </w:p>
        </w:tc>
      </w:tr>
      <w:tr w14:paraId="4DEAF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2D6F2077">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天弘基金</w:t>
            </w:r>
          </w:p>
        </w:tc>
      </w:tr>
      <w:tr w14:paraId="45A68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18EB7B6D">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南方基金</w:t>
            </w:r>
          </w:p>
        </w:tc>
      </w:tr>
      <w:tr w14:paraId="4E2E8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36D9C2A1">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工银瑞信基金</w:t>
            </w:r>
          </w:p>
        </w:tc>
      </w:tr>
      <w:tr w14:paraId="4EFB0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2412D2F7">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银华基金</w:t>
            </w:r>
          </w:p>
        </w:tc>
      </w:tr>
      <w:tr w14:paraId="362C6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7695EC34">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百年保险资管</w:t>
            </w:r>
          </w:p>
        </w:tc>
      </w:tr>
      <w:tr w14:paraId="1470B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bottom"/>
          </w:tcPr>
          <w:p w14:paraId="623D9B1F">
            <w:pPr>
              <w:widowControl/>
              <w:jc w:val="left"/>
              <w:textAlignment w:val="bottom"/>
              <w:rPr>
                <w:rFonts w:hint="eastAsia" w:ascii="宋体" w:hAnsi="宋体" w:cs="宋体"/>
                <w:color w:val="000000"/>
                <w:sz w:val="20"/>
                <w:szCs w:val="20"/>
              </w:rPr>
            </w:pPr>
            <w:r>
              <w:rPr>
                <w:rFonts w:hint="eastAsia" w:ascii="宋体" w:hAnsi="宋体" w:cs="宋体"/>
                <w:color w:val="000000"/>
                <w:kern w:val="0"/>
                <w:sz w:val="20"/>
                <w:szCs w:val="20"/>
                <w:lang w:bidi="ar"/>
              </w:rPr>
              <w:t>瑞银UBS</w:t>
            </w:r>
          </w:p>
        </w:tc>
      </w:tr>
      <w:tr w14:paraId="02F92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bottom"/>
          </w:tcPr>
          <w:p w14:paraId="513FF3BB">
            <w:pPr>
              <w:widowControl/>
              <w:jc w:val="left"/>
              <w:textAlignment w:val="bottom"/>
              <w:rPr>
                <w:rFonts w:hint="eastAsia" w:ascii="宋体" w:hAnsi="宋体" w:cs="宋体"/>
                <w:color w:val="000000"/>
                <w:sz w:val="20"/>
                <w:szCs w:val="20"/>
              </w:rPr>
            </w:pPr>
            <w:r>
              <w:rPr>
                <w:rFonts w:hint="eastAsia" w:ascii="宋体" w:hAnsi="宋体" w:cs="宋体"/>
                <w:color w:val="000000"/>
                <w:kern w:val="0"/>
                <w:sz w:val="20"/>
                <w:szCs w:val="20"/>
                <w:lang w:bidi="ar"/>
              </w:rPr>
              <w:t>大成基金</w:t>
            </w:r>
          </w:p>
        </w:tc>
      </w:tr>
      <w:tr w14:paraId="4CB63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bottom"/>
          </w:tcPr>
          <w:p w14:paraId="1E5935A1">
            <w:pPr>
              <w:widowControl/>
              <w:jc w:val="left"/>
              <w:textAlignment w:val="bottom"/>
              <w:rPr>
                <w:rFonts w:hint="eastAsia" w:ascii="宋体" w:hAnsi="宋体" w:cs="宋体"/>
                <w:color w:val="000000"/>
                <w:sz w:val="20"/>
                <w:szCs w:val="20"/>
              </w:rPr>
            </w:pPr>
            <w:r>
              <w:rPr>
                <w:rFonts w:hint="eastAsia" w:ascii="宋体" w:hAnsi="宋体" w:cs="宋体"/>
                <w:color w:val="000000"/>
                <w:kern w:val="0"/>
                <w:sz w:val="20"/>
                <w:szCs w:val="20"/>
                <w:lang w:bidi="ar"/>
              </w:rPr>
              <w:t>中欧基金</w:t>
            </w:r>
          </w:p>
        </w:tc>
      </w:tr>
      <w:tr w14:paraId="688AC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bottom"/>
          </w:tcPr>
          <w:p w14:paraId="05EE5459">
            <w:pPr>
              <w:widowControl/>
              <w:jc w:val="left"/>
              <w:textAlignment w:val="bottom"/>
              <w:rPr>
                <w:rFonts w:ascii="Arial" w:hAnsi="Arial" w:cs="Arial"/>
                <w:color w:val="000000"/>
                <w:sz w:val="20"/>
                <w:szCs w:val="20"/>
              </w:rPr>
            </w:pPr>
            <w:r>
              <w:rPr>
                <w:rFonts w:ascii="Arial" w:hAnsi="Arial" w:cs="Arial"/>
                <w:color w:val="000000"/>
                <w:kern w:val="0"/>
                <w:sz w:val="20"/>
                <w:szCs w:val="20"/>
                <w:lang w:bidi="ar"/>
              </w:rPr>
              <w:t>财通基金</w:t>
            </w:r>
          </w:p>
        </w:tc>
      </w:tr>
      <w:tr w14:paraId="58222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778853D0">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招商基金</w:t>
            </w:r>
          </w:p>
        </w:tc>
      </w:tr>
      <w:tr w14:paraId="79E25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280BF690">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申万菱信基金</w:t>
            </w:r>
          </w:p>
        </w:tc>
      </w:tr>
      <w:tr w14:paraId="0BBF5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6FB20FC9">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交银施罗德基金</w:t>
            </w:r>
          </w:p>
        </w:tc>
      </w:tr>
      <w:tr w14:paraId="0E59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68499A0C">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兴证全球基金</w:t>
            </w:r>
          </w:p>
        </w:tc>
      </w:tr>
      <w:tr w14:paraId="526B6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28EDB739">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诺德基金</w:t>
            </w:r>
          </w:p>
        </w:tc>
      </w:tr>
      <w:tr w14:paraId="760E0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3272BC9C">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华商基金</w:t>
            </w:r>
          </w:p>
        </w:tc>
      </w:tr>
      <w:tr w14:paraId="3D177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2DFF1202">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浦银基金</w:t>
            </w:r>
          </w:p>
        </w:tc>
      </w:tr>
      <w:tr w14:paraId="6E634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28FBAA0A">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华富基金</w:t>
            </w:r>
          </w:p>
        </w:tc>
      </w:tr>
      <w:tr w14:paraId="3F66F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1B804AED">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朱雀基金</w:t>
            </w:r>
          </w:p>
        </w:tc>
      </w:tr>
      <w:tr w14:paraId="00F56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bottom"/>
          </w:tcPr>
          <w:p w14:paraId="535E758B">
            <w:pPr>
              <w:widowControl/>
              <w:jc w:val="left"/>
              <w:textAlignment w:val="bottom"/>
              <w:rPr>
                <w:rFonts w:ascii="Arial" w:hAnsi="Arial" w:cs="Arial"/>
                <w:color w:val="000000"/>
                <w:sz w:val="20"/>
                <w:szCs w:val="20"/>
              </w:rPr>
            </w:pPr>
            <w:r>
              <w:rPr>
                <w:rFonts w:hint="eastAsia" w:ascii="宋体" w:hAnsi="宋体" w:cs="宋体"/>
                <w:color w:val="000000"/>
                <w:kern w:val="0"/>
                <w:sz w:val="20"/>
                <w:szCs w:val="20"/>
                <w:lang w:bidi="ar"/>
              </w:rPr>
              <w:t>Point72</w:t>
            </w:r>
          </w:p>
        </w:tc>
      </w:tr>
      <w:tr w14:paraId="5F99A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bottom"/>
          </w:tcPr>
          <w:p w14:paraId="41C16EAB">
            <w:pPr>
              <w:widowControl/>
              <w:jc w:val="left"/>
              <w:textAlignment w:val="bottom"/>
              <w:rPr>
                <w:rFonts w:hint="eastAsia" w:ascii="宋体" w:hAnsi="宋体" w:cs="宋体"/>
                <w:color w:val="000000"/>
                <w:sz w:val="20"/>
                <w:szCs w:val="20"/>
              </w:rPr>
            </w:pPr>
            <w:r>
              <w:rPr>
                <w:rFonts w:hint="eastAsia" w:ascii="宋体" w:hAnsi="宋体" w:cs="宋体"/>
                <w:color w:val="000000"/>
                <w:kern w:val="0"/>
                <w:sz w:val="20"/>
                <w:szCs w:val="20"/>
                <w:lang w:bidi="ar"/>
              </w:rPr>
              <w:t>农银汇理</w:t>
            </w:r>
          </w:p>
        </w:tc>
      </w:tr>
      <w:tr w14:paraId="335B8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bottom"/>
          </w:tcPr>
          <w:p w14:paraId="5A478B0C">
            <w:pPr>
              <w:widowControl/>
              <w:jc w:val="left"/>
              <w:textAlignment w:val="bottom"/>
              <w:rPr>
                <w:rFonts w:hint="eastAsia" w:ascii="宋体" w:hAnsi="宋体" w:cs="宋体"/>
                <w:color w:val="000000"/>
                <w:sz w:val="20"/>
                <w:szCs w:val="20"/>
              </w:rPr>
            </w:pPr>
            <w:r>
              <w:rPr>
                <w:rFonts w:hint="eastAsia" w:ascii="宋体" w:hAnsi="宋体" w:cs="宋体"/>
                <w:color w:val="000000"/>
                <w:kern w:val="0"/>
                <w:sz w:val="20"/>
                <w:szCs w:val="20"/>
                <w:lang w:bidi="ar"/>
              </w:rPr>
              <w:t>宝盈基金</w:t>
            </w:r>
          </w:p>
        </w:tc>
      </w:tr>
      <w:tr w14:paraId="2F06C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3C3F8221">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泓德基金</w:t>
            </w:r>
          </w:p>
        </w:tc>
      </w:tr>
      <w:tr w14:paraId="648AF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bottom"/>
          </w:tcPr>
          <w:p w14:paraId="66D4E253">
            <w:pPr>
              <w:widowControl/>
              <w:jc w:val="left"/>
              <w:textAlignment w:val="bottom"/>
              <w:rPr>
                <w:rFonts w:hint="eastAsia" w:ascii="宋体" w:hAnsi="宋体" w:cs="宋体"/>
                <w:color w:val="000000"/>
                <w:sz w:val="20"/>
                <w:szCs w:val="20"/>
              </w:rPr>
            </w:pPr>
            <w:r>
              <w:rPr>
                <w:rFonts w:hint="eastAsia" w:ascii="宋体" w:hAnsi="宋体" w:cs="宋体"/>
                <w:color w:val="000000"/>
                <w:kern w:val="0"/>
                <w:sz w:val="20"/>
                <w:szCs w:val="20"/>
                <w:lang w:bidi="ar"/>
              </w:rPr>
              <w:t>新华资管</w:t>
            </w:r>
          </w:p>
        </w:tc>
      </w:tr>
      <w:tr w14:paraId="7741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36D61CA7">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中金公司</w:t>
            </w:r>
          </w:p>
        </w:tc>
      </w:tr>
      <w:tr w14:paraId="24144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38AD09A9">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远信投资</w:t>
            </w:r>
          </w:p>
        </w:tc>
      </w:tr>
      <w:tr w14:paraId="5D117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2C483147">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森锦投资</w:t>
            </w:r>
          </w:p>
        </w:tc>
      </w:tr>
      <w:tr w14:paraId="14F8A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4CDBCAF0">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博睿乾远私募</w:t>
            </w:r>
          </w:p>
        </w:tc>
      </w:tr>
      <w:tr w14:paraId="12F08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78FCC785">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杭州同巨</w:t>
            </w:r>
          </w:p>
        </w:tc>
      </w:tr>
      <w:tr w14:paraId="70F1E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237CFE10">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彬元资本</w:t>
            </w:r>
          </w:p>
        </w:tc>
      </w:tr>
      <w:tr w14:paraId="44819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261FD5EB">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重阳投资</w:t>
            </w:r>
          </w:p>
        </w:tc>
      </w:tr>
      <w:tr w14:paraId="1A08C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7598C980">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众量私募基金</w:t>
            </w:r>
          </w:p>
        </w:tc>
      </w:tr>
      <w:tr w14:paraId="71C9A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62D569D4">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宽裕资管</w:t>
            </w:r>
          </w:p>
        </w:tc>
      </w:tr>
      <w:tr w14:paraId="2F136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32337D65">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杭州顺洋资产</w:t>
            </w:r>
          </w:p>
        </w:tc>
      </w:tr>
      <w:tr w14:paraId="2071B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26E5DF91">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东证资管</w:t>
            </w:r>
          </w:p>
        </w:tc>
      </w:tr>
      <w:tr w14:paraId="14B75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6D8D0A3D">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弈宸基金</w:t>
            </w:r>
          </w:p>
        </w:tc>
      </w:tr>
      <w:tr w14:paraId="2F2FF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275A1A2F">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长江资管</w:t>
            </w:r>
          </w:p>
        </w:tc>
      </w:tr>
      <w:tr w14:paraId="352F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018EF7B1">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中金资管</w:t>
            </w:r>
          </w:p>
        </w:tc>
      </w:tr>
      <w:tr w14:paraId="095B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77CA6E6B">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国泰海通资管</w:t>
            </w:r>
          </w:p>
        </w:tc>
      </w:tr>
      <w:tr w14:paraId="4B646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0A6DD4F6">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厚积投资</w:t>
            </w:r>
          </w:p>
        </w:tc>
      </w:tr>
      <w:tr w14:paraId="2DA71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694328EE">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上海厚积</w:t>
            </w:r>
          </w:p>
        </w:tc>
      </w:tr>
      <w:tr w14:paraId="7040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0AD0CAD9">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上海五地投资</w:t>
            </w:r>
          </w:p>
        </w:tc>
      </w:tr>
      <w:tr w14:paraId="5016A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bottom"/>
          </w:tcPr>
          <w:p w14:paraId="2A6705C2">
            <w:pPr>
              <w:widowControl/>
              <w:jc w:val="left"/>
              <w:textAlignment w:val="bottom"/>
              <w:rPr>
                <w:rFonts w:hint="eastAsia" w:ascii="宋体" w:hAnsi="宋体" w:cs="宋体"/>
                <w:color w:val="000000"/>
                <w:sz w:val="20"/>
                <w:szCs w:val="20"/>
              </w:rPr>
            </w:pPr>
            <w:r>
              <w:rPr>
                <w:rFonts w:hint="eastAsia" w:ascii="宋体" w:hAnsi="宋体" w:cs="宋体"/>
                <w:color w:val="000000"/>
                <w:kern w:val="0"/>
                <w:sz w:val="20"/>
                <w:szCs w:val="20"/>
                <w:lang w:bidi="ar"/>
              </w:rPr>
              <w:t>民加基金</w:t>
            </w:r>
          </w:p>
        </w:tc>
      </w:tr>
      <w:tr w14:paraId="40C75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bottom"/>
          </w:tcPr>
          <w:p w14:paraId="2FFE6097">
            <w:pPr>
              <w:widowControl/>
              <w:jc w:val="left"/>
              <w:textAlignment w:val="bottom"/>
              <w:rPr>
                <w:rFonts w:hint="eastAsia" w:ascii="宋体" w:hAnsi="宋体" w:cs="宋体"/>
                <w:color w:val="000000"/>
                <w:sz w:val="20"/>
                <w:szCs w:val="20"/>
              </w:rPr>
            </w:pPr>
            <w:r>
              <w:rPr>
                <w:rFonts w:hint="eastAsia" w:ascii="宋体" w:hAnsi="宋体" w:cs="宋体"/>
                <w:color w:val="000000"/>
                <w:kern w:val="0"/>
                <w:sz w:val="20"/>
                <w:szCs w:val="20"/>
                <w:lang w:bidi="ar"/>
              </w:rPr>
              <w:t>睿远基金</w:t>
            </w:r>
          </w:p>
        </w:tc>
      </w:tr>
      <w:tr w14:paraId="7BD49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bottom"/>
          </w:tcPr>
          <w:p w14:paraId="7B6775B9">
            <w:pPr>
              <w:widowControl/>
              <w:jc w:val="left"/>
              <w:textAlignment w:val="bottom"/>
              <w:rPr>
                <w:rFonts w:hint="eastAsia" w:ascii="宋体" w:hAnsi="宋体" w:cs="宋体"/>
                <w:color w:val="000000"/>
                <w:sz w:val="20"/>
                <w:szCs w:val="20"/>
              </w:rPr>
            </w:pPr>
            <w:r>
              <w:rPr>
                <w:rFonts w:hint="eastAsia" w:ascii="宋体" w:hAnsi="宋体" w:cs="宋体"/>
                <w:color w:val="000000"/>
                <w:kern w:val="0"/>
                <w:sz w:val="20"/>
                <w:szCs w:val="20"/>
                <w:lang w:bidi="ar"/>
              </w:rPr>
              <w:t>太保资管</w:t>
            </w:r>
          </w:p>
        </w:tc>
      </w:tr>
      <w:tr w14:paraId="50318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bottom"/>
          </w:tcPr>
          <w:p w14:paraId="59BAD760">
            <w:pPr>
              <w:widowControl/>
              <w:jc w:val="left"/>
              <w:textAlignment w:val="bottom"/>
              <w:rPr>
                <w:rFonts w:hint="eastAsia" w:ascii="宋体" w:hAnsi="宋体" w:cs="宋体"/>
                <w:color w:val="000000"/>
                <w:sz w:val="20"/>
                <w:szCs w:val="20"/>
              </w:rPr>
            </w:pPr>
            <w:r>
              <w:rPr>
                <w:rFonts w:hint="eastAsia" w:ascii="宋体" w:hAnsi="宋体" w:cs="宋体"/>
                <w:color w:val="000000"/>
                <w:kern w:val="0"/>
                <w:sz w:val="20"/>
                <w:szCs w:val="20"/>
                <w:lang w:bidi="ar"/>
              </w:rPr>
              <w:t>高毅资管</w:t>
            </w:r>
          </w:p>
        </w:tc>
      </w:tr>
      <w:tr w14:paraId="546AD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492485D6">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拾贝投资</w:t>
            </w:r>
          </w:p>
        </w:tc>
      </w:tr>
      <w:tr w14:paraId="0A34D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351BCBE0">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寰宸基金</w:t>
            </w:r>
          </w:p>
        </w:tc>
      </w:tr>
      <w:tr w14:paraId="746BF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334E4539">
            <w:pPr>
              <w:widowControl/>
              <w:jc w:val="left"/>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玖鹏资产</w:t>
            </w:r>
          </w:p>
        </w:tc>
      </w:tr>
      <w:tr w14:paraId="42261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15DD2E39">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华西证券</w:t>
            </w:r>
          </w:p>
        </w:tc>
      </w:tr>
      <w:tr w14:paraId="621C6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2B268E4F">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华创证券</w:t>
            </w:r>
          </w:p>
        </w:tc>
      </w:tr>
      <w:tr w14:paraId="77A07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7BDBB01C">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开源证券</w:t>
            </w:r>
          </w:p>
        </w:tc>
      </w:tr>
      <w:tr w14:paraId="3DCC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4DD5367D">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国金证券</w:t>
            </w:r>
          </w:p>
        </w:tc>
      </w:tr>
      <w:tr w14:paraId="43652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center"/>
          </w:tcPr>
          <w:p w14:paraId="787ACAEE">
            <w:pPr>
              <w:widowControl/>
              <w:jc w:val="left"/>
              <w:textAlignment w:val="center"/>
              <w:rPr>
                <w:rFonts w:ascii="Arial" w:hAnsi="Arial" w:cs="Arial"/>
                <w:color w:val="000000"/>
                <w:sz w:val="20"/>
                <w:szCs w:val="20"/>
              </w:rPr>
            </w:pPr>
            <w:r>
              <w:rPr>
                <w:rFonts w:ascii="Arial" w:hAnsi="Arial" w:cs="Arial"/>
                <w:color w:val="000000"/>
                <w:kern w:val="0"/>
                <w:sz w:val="20"/>
                <w:szCs w:val="20"/>
                <w:lang w:bidi="ar"/>
              </w:rPr>
              <w:t>国盛证券</w:t>
            </w:r>
          </w:p>
        </w:tc>
      </w:tr>
      <w:tr w14:paraId="6A867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bottom"/>
          </w:tcPr>
          <w:p w14:paraId="4825B21C">
            <w:pPr>
              <w:widowControl/>
              <w:jc w:val="left"/>
              <w:textAlignment w:val="bottom"/>
              <w:rPr>
                <w:rFonts w:ascii="Arial" w:hAnsi="Arial" w:cs="Arial"/>
                <w:color w:val="000000"/>
                <w:sz w:val="20"/>
                <w:szCs w:val="20"/>
              </w:rPr>
            </w:pPr>
            <w:r>
              <w:rPr>
                <w:rFonts w:ascii="Arial" w:hAnsi="Arial" w:cs="Arial"/>
                <w:color w:val="000000"/>
                <w:kern w:val="0"/>
                <w:sz w:val="20"/>
                <w:szCs w:val="20"/>
                <w:lang w:bidi="ar"/>
              </w:rPr>
              <w:t>全景网</w:t>
            </w:r>
          </w:p>
        </w:tc>
      </w:tr>
      <w:tr w14:paraId="1FF6F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5000" w:type="pct"/>
            <w:noWrap/>
            <w:vAlign w:val="bottom"/>
          </w:tcPr>
          <w:p w14:paraId="1E6EAD2A">
            <w:pPr>
              <w:widowControl/>
              <w:jc w:val="left"/>
              <w:textAlignment w:val="bottom"/>
              <w:rPr>
                <w:rFonts w:ascii="Arial" w:hAnsi="Arial" w:cs="Arial"/>
                <w:color w:val="000000"/>
                <w:kern w:val="0"/>
                <w:sz w:val="20"/>
                <w:szCs w:val="20"/>
                <w:lang w:bidi="ar"/>
              </w:rPr>
            </w:pPr>
            <w:r>
              <w:rPr>
                <w:rFonts w:hint="eastAsia" w:ascii="Arial" w:hAnsi="Arial" w:cs="Arial"/>
                <w:b/>
                <w:bCs/>
                <w:color w:val="000000"/>
                <w:kern w:val="0"/>
                <w:sz w:val="20"/>
                <w:szCs w:val="20"/>
                <w:lang w:bidi="ar"/>
              </w:rPr>
              <w:t>总计</w:t>
            </w:r>
            <w:r>
              <w:rPr>
                <w:rFonts w:hint="eastAsia" w:ascii="Arial" w:hAnsi="Arial" w:cs="Arial"/>
                <w:b/>
                <w:bCs/>
                <w:color w:val="000000"/>
                <w:kern w:val="0"/>
                <w:sz w:val="20"/>
                <w:szCs w:val="20"/>
                <w:lang w:val="en-US" w:eastAsia="zh-CN" w:bidi="ar"/>
              </w:rPr>
              <w:t>60</w:t>
            </w:r>
            <w:r>
              <w:rPr>
                <w:rFonts w:hint="eastAsia" w:ascii="Arial" w:hAnsi="Arial" w:cs="Arial"/>
                <w:b/>
                <w:bCs/>
                <w:color w:val="000000"/>
                <w:kern w:val="0"/>
                <w:sz w:val="20"/>
                <w:szCs w:val="20"/>
                <w:lang w:bidi="ar"/>
              </w:rPr>
              <w:t>人</w:t>
            </w:r>
          </w:p>
        </w:tc>
      </w:tr>
    </w:tbl>
    <w:p w14:paraId="54D145C0">
      <w:pPr>
        <w:widowControl/>
        <w:jc w:val="left"/>
        <w:rPr>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kzYjRiZTlhMTkxYmRlZjEwMDljMDM5ZDM4M2Y2NDUifQ=="/>
    <w:docVar w:name="KSO_WPS_MARK_KEY" w:val="f24a8a36-8842-49cc-be26-330e00327327"/>
  </w:docVars>
  <w:rsids>
    <w:rsidRoot w:val="002D6BF0"/>
    <w:rsid w:val="00000727"/>
    <w:rsid w:val="000033CE"/>
    <w:rsid w:val="00003FD9"/>
    <w:rsid w:val="0000570B"/>
    <w:rsid w:val="00006EF0"/>
    <w:rsid w:val="0000726A"/>
    <w:rsid w:val="00012948"/>
    <w:rsid w:val="000132DE"/>
    <w:rsid w:val="00015224"/>
    <w:rsid w:val="000154CB"/>
    <w:rsid w:val="000204A3"/>
    <w:rsid w:val="000217A1"/>
    <w:rsid w:val="0002274F"/>
    <w:rsid w:val="00022D3E"/>
    <w:rsid w:val="00024987"/>
    <w:rsid w:val="0002517F"/>
    <w:rsid w:val="00027306"/>
    <w:rsid w:val="00031CB9"/>
    <w:rsid w:val="0004218C"/>
    <w:rsid w:val="000425E4"/>
    <w:rsid w:val="00042F80"/>
    <w:rsid w:val="00045190"/>
    <w:rsid w:val="00046227"/>
    <w:rsid w:val="0004646F"/>
    <w:rsid w:val="00046C97"/>
    <w:rsid w:val="00047F68"/>
    <w:rsid w:val="0005142E"/>
    <w:rsid w:val="00053805"/>
    <w:rsid w:val="00054143"/>
    <w:rsid w:val="000547F3"/>
    <w:rsid w:val="000561D6"/>
    <w:rsid w:val="000574C2"/>
    <w:rsid w:val="00057CED"/>
    <w:rsid w:val="0006409D"/>
    <w:rsid w:val="0006525A"/>
    <w:rsid w:val="00065711"/>
    <w:rsid w:val="00065A24"/>
    <w:rsid w:val="000667F1"/>
    <w:rsid w:val="00067457"/>
    <w:rsid w:val="0006763F"/>
    <w:rsid w:val="00070B77"/>
    <w:rsid w:val="0007276C"/>
    <w:rsid w:val="000730A6"/>
    <w:rsid w:val="00074A20"/>
    <w:rsid w:val="0007530D"/>
    <w:rsid w:val="00077B26"/>
    <w:rsid w:val="00077F37"/>
    <w:rsid w:val="00080364"/>
    <w:rsid w:val="000817D1"/>
    <w:rsid w:val="00083220"/>
    <w:rsid w:val="00084D4C"/>
    <w:rsid w:val="00085565"/>
    <w:rsid w:val="00085946"/>
    <w:rsid w:val="000861B9"/>
    <w:rsid w:val="000877D2"/>
    <w:rsid w:val="00090EED"/>
    <w:rsid w:val="00094143"/>
    <w:rsid w:val="00096E82"/>
    <w:rsid w:val="00097C24"/>
    <w:rsid w:val="000A1E0D"/>
    <w:rsid w:val="000A2E89"/>
    <w:rsid w:val="000A73E3"/>
    <w:rsid w:val="000B4450"/>
    <w:rsid w:val="000B49E8"/>
    <w:rsid w:val="000B5138"/>
    <w:rsid w:val="000B57F9"/>
    <w:rsid w:val="000B63F4"/>
    <w:rsid w:val="000B7D97"/>
    <w:rsid w:val="000C3744"/>
    <w:rsid w:val="000C3844"/>
    <w:rsid w:val="000C4965"/>
    <w:rsid w:val="000C61F5"/>
    <w:rsid w:val="000C64E2"/>
    <w:rsid w:val="000C6E53"/>
    <w:rsid w:val="000C739E"/>
    <w:rsid w:val="000C7651"/>
    <w:rsid w:val="000C78F4"/>
    <w:rsid w:val="000D0BE8"/>
    <w:rsid w:val="000D1215"/>
    <w:rsid w:val="000E1969"/>
    <w:rsid w:val="000E295B"/>
    <w:rsid w:val="000E4C11"/>
    <w:rsid w:val="000E4D0F"/>
    <w:rsid w:val="000E5B6B"/>
    <w:rsid w:val="000E5E40"/>
    <w:rsid w:val="000E7A5F"/>
    <w:rsid w:val="000F1807"/>
    <w:rsid w:val="000F2801"/>
    <w:rsid w:val="001003D0"/>
    <w:rsid w:val="00101719"/>
    <w:rsid w:val="00102350"/>
    <w:rsid w:val="0010401F"/>
    <w:rsid w:val="00105686"/>
    <w:rsid w:val="00107828"/>
    <w:rsid w:val="00111831"/>
    <w:rsid w:val="00112B0C"/>
    <w:rsid w:val="00113FA9"/>
    <w:rsid w:val="00114127"/>
    <w:rsid w:val="001210CC"/>
    <w:rsid w:val="0012177D"/>
    <w:rsid w:val="00123393"/>
    <w:rsid w:val="00123BD5"/>
    <w:rsid w:val="00124B14"/>
    <w:rsid w:val="00125979"/>
    <w:rsid w:val="00130C80"/>
    <w:rsid w:val="00134131"/>
    <w:rsid w:val="00136805"/>
    <w:rsid w:val="00137AEC"/>
    <w:rsid w:val="00140830"/>
    <w:rsid w:val="00142D3E"/>
    <w:rsid w:val="001432D4"/>
    <w:rsid w:val="00146949"/>
    <w:rsid w:val="00147151"/>
    <w:rsid w:val="00150520"/>
    <w:rsid w:val="00151100"/>
    <w:rsid w:val="00151601"/>
    <w:rsid w:val="001532A1"/>
    <w:rsid w:val="00153EB6"/>
    <w:rsid w:val="001549C0"/>
    <w:rsid w:val="00154A45"/>
    <w:rsid w:val="00156EEE"/>
    <w:rsid w:val="00157CB7"/>
    <w:rsid w:val="00157EF7"/>
    <w:rsid w:val="00160ECA"/>
    <w:rsid w:val="001644A6"/>
    <w:rsid w:val="001648E6"/>
    <w:rsid w:val="00164D6C"/>
    <w:rsid w:val="0016537C"/>
    <w:rsid w:val="00165726"/>
    <w:rsid w:val="0016591A"/>
    <w:rsid w:val="00165944"/>
    <w:rsid w:val="00166991"/>
    <w:rsid w:val="0016720A"/>
    <w:rsid w:val="00167356"/>
    <w:rsid w:val="00170227"/>
    <w:rsid w:val="00174B96"/>
    <w:rsid w:val="00174DD2"/>
    <w:rsid w:val="0017578F"/>
    <w:rsid w:val="001771DC"/>
    <w:rsid w:val="00181D04"/>
    <w:rsid w:val="00182FFB"/>
    <w:rsid w:val="0018726A"/>
    <w:rsid w:val="001879C1"/>
    <w:rsid w:val="00190CF8"/>
    <w:rsid w:val="001916C4"/>
    <w:rsid w:val="00192EBC"/>
    <w:rsid w:val="00193963"/>
    <w:rsid w:val="001948F6"/>
    <w:rsid w:val="00196292"/>
    <w:rsid w:val="001A221B"/>
    <w:rsid w:val="001A2657"/>
    <w:rsid w:val="001A2C69"/>
    <w:rsid w:val="001A3020"/>
    <w:rsid w:val="001A5141"/>
    <w:rsid w:val="001A52EC"/>
    <w:rsid w:val="001A6EE3"/>
    <w:rsid w:val="001A7AA3"/>
    <w:rsid w:val="001B1A5D"/>
    <w:rsid w:val="001B4892"/>
    <w:rsid w:val="001B6409"/>
    <w:rsid w:val="001C044F"/>
    <w:rsid w:val="001C0EE4"/>
    <w:rsid w:val="001C3C24"/>
    <w:rsid w:val="001D1B93"/>
    <w:rsid w:val="001D1E8E"/>
    <w:rsid w:val="001D4702"/>
    <w:rsid w:val="001D4732"/>
    <w:rsid w:val="001D5678"/>
    <w:rsid w:val="001D78FA"/>
    <w:rsid w:val="001D7FD8"/>
    <w:rsid w:val="001E0674"/>
    <w:rsid w:val="001E20A7"/>
    <w:rsid w:val="001E6381"/>
    <w:rsid w:val="001E775A"/>
    <w:rsid w:val="001E7946"/>
    <w:rsid w:val="001F032A"/>
    <w:rsid w:val="001F0507"/>
    <w:rsid w:val="001F0F96"/>
    <w:rsid w:val="001F28A5"/>
    <w:rsid w:val="001F37B5"/>
    <w:rsid w:val="001F4328"/>
    <w:rsid w:val="001F5069"/>
    <w:rsid w:val="001F65B7"/>
    <w:rsid w:val="002035FB"/>
    <w:rsid w:val="0020559F"/>
    <w:rsid w:val="00205817"/>
    <w:rsid w:val="00205A92"/>
    <w:rsid w:val="00210D24"/>
    <w:rsid w:val="00211B95"/>
    <w:rsid w:val="00211E06"/>
    <w:rsid w:val="00213C4C"/>
    <w:rsid w:val="00216990"/>
    <w:rsid w:val="00216D7C"/>
    <w:rsid w:val="00216E6F"/>
    <w:rsid w:val="00217146"/>
    <w:rsid w:val="002243CA"/>
    <w:rsid w:val="00227BCB"/>
    <w:rsid w:val="00231C0B"/>
    <w:rsid w:val="00233672"/>
    <w:rsid w:val="00233E1A"/>
    <w:rsid w:val="00233F7A"/>
    <w:rsid w:val="00237252"/>
    <w:rsid w:val="0024328A"/>
    <w:rsid w:val="002435C4"/>
    <w:rsid w:val="00243DD5"/>
    <w:rsid w:val="0024512F"/>
    <w:rsid w:val="00245F88"/>
    <w:rsid w:val="00250CC3"/>
    <w:rsid w:val="002510E1"/>
    <w:rsid w:val="00253E08"/>
    <w:rsid w:val="002600B0"/>
    <w:rsid w:val="002614A5"/>
    <w:rsid w:val="00261B24"/>
    <w:rsid w:val="00265D04"/>
    <w:rsid w:val="00266538"/>
    <w:rsid w:val="00270BB0"/>
    <w:rsid w:val="002719F2"/>
    <w:rsid w:val="00273B43"/>
    <w:rsid w:val="00274A03"/>
    <w:rsid w:val="00275569"/>
    <w:rsid w:val="002762CF"/>
    <w:rsid w:val="00280E59"/>
    <w:rsid w:val="00280EF1"/>
    <w:rsid w:val="0028241D"/>
    <w:rsid w:val="00283D93"/>
    <w:rsid w:val="002876B3"/>
    <w:rsid w:val="00287888"/>
    <w:rsid w:val="00290F92"/>
    <w:rsid w:val="0029503C"/>
    <w:rsid w:val="00295C02"/>
    <w:rsid w:val="00297421"/>
    <w:rsid w:val="002A006A"/>
    <w:rsid w:val="002A082B"/>
    <w:rsid w:val="002A1F85"/>
    <w:rsid w:val="002A2442"/>
    <w:rsid w:val="002A5317"/>
    <w:rsid w:val="002A7857"/>
    <w:rsid w:val="002A7BF9"/>
    <w:rsid w:val="002B307F"/>
    <w:rsid w:val="002B4CB9"/>
    <w:rsid w:val="002C112E"/>
    <w:rsid w:val="002C2B45"/>
    <w:rsid w:val="002C32A8"/>
    <w:rsid w:val="002C47A0"/>
    <w:rsid w:val="002C4E39"/>
    <w:rsid w:val="002C65B8"/>
    <w:rsid w:val="002D139B"/>
    <w:rsid w:val="002D2A95"/>
    <w:rsid w:val="002D2EC8"/>
    <w:rsid w:val="002D30B1"/>
    <w:rsid w:val="002D3D1C"/>
    <w:rsid w:val="002D5986"/>
    <w:rsid w:val="002D6BF0"/>
    <w:rsid w:val="002D71B2"/>
    <w:rsid w:val="002E2152"/>
    <w:rsid w:val="002E2F03"/>
    <w:rsid w:val="002F2A42"/>
    <w:rsid w:val="002F489B"/>
    <w:rsid w:val="002F5047"/>
    <w:rsid w:val="00301C57"/>
    <w:rsid w:val="0031036C"/>
    <w:rsid w:val="00310AB3"/>
    <w:rsid w:val="003119CD"/>
    <w:rsid w:val="00315C96"/>
    <w:rsid w:val="00315ED8"/>
    <w:rsid w:val="003175CF"/>
    <w:rsid w:val="00320048"/>
    <w:rsid w:val="00324D79"/>
    <w:rsid w:val="00326486"/>
    <w:rsid w:val="00326A3D"/>
    <w:rsid w:val="003367CB"/>
    <w:rsid w:val="0034196B"/>
    <w:rsid w:val="00341FBD"/>
    <w:rsid w:val="00342C23"/>
    <w:rsid w:val="00342DDE"/>
    <w:rsid w:val="00343865"/>
    <w:rsid w:val="00343EFE"/>
    <w:rsid w:val="003445DE"/>
    <w:rsid w:val="00346F47"/>
    <w:rsid w:val="003536CB"/>
    <w:rsid w:val="00353C6D"/>
    <w:rsid w:val="00355072"/>
    <w:rsid w:val="00357151"/>
    <w:rsid w:val="00357D1E"/>
    <w:rsid w:val="0036070B"/>
    <w:rsid w:val="00362376"/>
    <w:rsid w:val="0036391C"/>
    <w:rsid w:val="00363E3D"/>
    <w:rsid w:val="00364644"/>
    <w:rsid w:val="003744AA"/>
    <w:rsid w:val="003757B9"/>
    <w:rsid w:val="003822A6"/>
    <w:rsid w:val="003839CC"/>
    <w:rsid w:val="00383C47"/>
    <w:rsid w:val="00384345"/>
    <w:rsid w:val="0038601A"/>
    <w:rsid w:val="0038682D"/>
    <w:rsid w:val="00386C10"/>
    <w:rsid w:val="00393689"/>
    <w:rsid w:val="0039508E"/>
    <w:rsid w:val="00396B9C"/>
    <w:rsid w:val="003A176E"/>
    <w:rsid w:val="003A26A2"/>
    <w:rsid w:val="003A42C4"/>
    <w:rsid w:val="003B0BD4"/>
    <w:rsid w:val="003B3431"/>
    <w:rsid w:val="003B3A10"/>
    <w:rsid w:val="003B6833"/>
    <w:rsid w:val="003B7716"/>
    <w:rsid w:val="003B7801"/>
    <w:rsid w:val="003D3443"/>
    <w:rsid w:val="003E4BB2"/>
    <w:rsid w:val="003E7622"/>
    <w:rsid w:val="003F2773"/>
    <w:rsid w:val="003F2A80"/>
    <w:rsid w:val="003F30C9"/>
    <w:rsid w:val="003F3499"/>
    <w:rsid w:val="003F41C2"/>
    <w:rsid w:val="003F4995"/>
    <w:rsid w:val="0040479E"/>
    <w:rsid w:val="00404BDF"/>
    <w:rsid w:val="00405EE5"/>
    <w:rsid w:val="00405F15"/>
    <w:rsid w:val="00406275"/>
    <w:rsid w:val="004168CE"/>
    <w:rsid w:val="0041695F"/>
    <w:rsid w:val="00416A83"/>
    <w:rsid w:val="004206F6"/>
    <w:rsid w:val="00420F9A"/>
    <w:rsid w:val="00421387"/>
    <w:rsid w:val="00422049"/>
    <w:rsid w:val="00422461"/>
    <w:rsid w:val="00422474"/>
    <w:rsid w:val="004240A7"/>
    <w:rsid w:val="004248AC"/>
    <w:rsid w:val="00427B2E"/>
    <w:rsid w:val="004310AE"/>
    <w:rsid w:val="004335AF"/>
    <w:rsid w:val="00433B0C"/>
    <w:rsid w:val="00433BC7"/>
    <w:rsid w:val="004373F8"/>
    <w:rsid w:val="00437E02"/>
    <w:rsid w:val="004415E9"/>
    <w:rsid w:val="00441D31"/>
    <w:rsid w:val="0044494D"/>
    <w:rsid w:val="00451185"/>
    <w:rsid w:val="0045389C"/>
    <w:rsid w:val="00453D3D"/>
    <w:rsid w:val="00454583"/>
    <w:rsid w:val="00455193"/>
    <w:rsid w:val="0045759A"/>
    <w:rsid w:val="00457CBC"/>
    <w:rsid w:val="004608A6"/>
    <w:rsid w:val="004618CE"/>
    <w:rsid w:val="0046222A"/>
    <w:rsid w:val="00465FBF"/>
    <w:rsid w:val="00466715"/>
    <w:rsid w:val="0046677C"/>
    <w:rsid w:val="00470B97"/>
    <w:rsid w:val="00472D98"/>
    <w:rsid w:val="00476076"/>
    <w:rsid w:val="004765EA"/>
    <w:rsid w:val="004774EF"/>
    <w:rsid w:val="00477746"/>
    <w:rsid w:val="004809B0"/>
    <w:rsid w:val="00483A41"/>
    <w:rsid w:val="00485DE2"/>
    <w:rsid w:val="00485E73"/>
    <w:rsid w:val="0049005F"/>
    <w:rsid w:val="004901C0"/>
    <w:rsid w:val="004906E1"/>
    <w:rsid w:val="00493728"/>
    <w:rsid w:val="0049418F"/>
    <w:rsid w:val="00494BE4"/>
    <w:rsid w:val="004A03C8"/>
    <w:rsid w:val="004A1B58"/>
    <w:rsid w:val="004A2E80"/>
    <w:rsid w:val="004A369C"/>
    <w:rsid w:val="004A5D31"/>
    <w:rsid w:val="004A7827"/>
    <w:rsid w:val="004B21A6"/>
    <w:rsid w:val="004B37BD"/>
    <w:rsid w:val="004B3988"/>
    <w:rsid w:val="004B57BF"/>
    <w:rsid w:val="004B71BB"/>
    <w:rsid w:val="004C0CF1"/>
    <w:rsid w:val="004C2BA8"/>
    <w:rsid w:val="004C3E22"/>
    <w:rsid w:val="004C4D98"/>
    <w:rsid w:val="004D0310"/>
    <w:rsid w:val="004D0B07"/>
    <w:rsid w:val="004D0BF9"/>
    <w:rsid w:val="004D1121"/>
    <w:rsid w:val="004D49CB"/>
    <w:rsid w:val="004D701E"/>
    <w:rsid w:val="004D753E"/>
    <w:rsid w:val="004E1106"/>
    <w:rsid w:val="004E1250"/>
    <w:rsid w:val="004E15C8"/>
    <w:rsid w:val="004E2FF7"/>
    <w:rsid w:val="004E36C0"/>
    <w:rsid w:val="004E5232"/>
    <w:rsid w:val="004E6884"/>
    <w:rsid w:val="004F0DBA"/>
    <w:rsid w:val="004F1E80"/>
    <w:rsid w:val="004F23D7"/>
    <w:rsid w:val="004F25D8"/>
    <w:rsid w:val="004F356C"/>
    <w:rsid w:val="004F3A0C"/>
    <w:rsid w:val="004F4E08"/>
    <w:rsid w:val="004F72B1"/>
    <w:rsid w:val="00501A37"/>
    <w:rsid w:val="005058CD"/>
    <w:rsid w:val="00514D71"/>
    <w:rsid w:val="00515667"/>
    <w:rsid w:val="00521050"/>
    <w:rsid w:val="00521C1D"/>
    <w:rsid w:val="0052255A"/>
    <w:rsid w:val="00522711"/>
    <w:rsid w:val="00523A6B"/>
    <w:rsid w:val="00523CA5"/>
    <w:rsid w:val="005254E7"/>
    <w:rsid w:val="005267B9"/>
    <w:rsid w:val="00526BC1"/>
    <w:rsid w:val="00530E2F"/>
    <w:rsid w:val="005348AD"/>
    <w:rsid w:val="005363BD"/>
    <w:rsid w:val="00536723"/>
    <w:rsid w:val="00536873"/>
    <w:rsid w:val="005368B6"/>
    <w:rsid w:val="005401F3"/>
    <w:rsid w:val="00541BC0"/>
    <w:rsid w:val="00542400"/>
    <w:rsid w:val="00542C76"/>
    <w:rsid w:val="00542D07"/>
    <w:rsid w:val="0054495C"/>
    <w:rsid w:val="00545603"/>
    <w:rsid w:val="005465A9"/>
    <w:rsid w:val="00550D70"/>
    <w:rsid w:val="00552BED"/>
    <w:rsid w:val="005539D9"/>
    <w:rsid w:val="00554F2B"/>
    <w:rsid w:val="00556E22"/>
    <w:rsid w:val="00561315"/>
    <w:rsid w:val="00561803"/>
    <w:rsid w:val="00563D92"/>
    <w:rsid w:val="00564410"/>
    <w:rsid w:val="005644AA"/>
    <w:rsid w:val="0056457B"/>
    <w:rsid w:val="00565C5D"/>
    <w:rsid w:val="0056643D"/>
    <w:rsid w:val="005665C3"/>
    <w:rsid w:val="0056687C"/>
    <w:rsid w:val="00566BFA"/>
    <w:rsid w:val="00570433"/>
    <w:rsid w:val="0057099C"/>
    <w:rsid w:val="005713C6"/>
    <w:rsid w:val="005771DE"/>
    <w:rsid w:val="00577544"/>
    <w:rsid w:val="005827A8"/>
    <w:rsid w:val="005827F7"/>
    <w:rsid w:val="005832F8"/>
    <w:rsid w:val="00584538"/>
    <w:rsid w:val="00584ED0"/>
    <w:rsid w:val="00586F4D"/>
    <w:rsid w:val="00587164"/>
    <w:rsid w:val="0058793E"/>
    <w:rsid w:val="0059063A"/>
    <w:rsid w:val="005906B5"/>
    <w:rsid w:val="00591209"/>
    <w:rsid w:val="00592E91"/>
    <w:rsid w:val="005A0B44"/>
    <w:rsid w:val="005A1AED"/>
    <w:rsid w:val="005A2CA8"/>
    <w:rsid w:val="005A2FE0"/>
    <w:rsid w:val="005A4196"/>
    <w:rsid w:val="005A48C4"/>
    <w:rsid w:val="005A5600"/>
    <w:rsid w:val="005A6D1C"/>
    <w:rsid w:val="005A764B"/>
    <w:rsid w:val="005A7B0F"/>
    <w:rsid w:val="005B2B66"/>
    <w:rsid w:val="005B2F51"/>
    <w:rsid w:val="005B4CC7"/>
    <w:rsid w:val="005C12CC"/>
    <w:rsid w:val="005C2E80"/>
    <w:rsid w:val="005C6089"/>
    <w:rsid w:val="005C6FC3"/>
    <w:rsid w:val="005D72B8"/>
    <w:rsid w:val="005E05C4"/>
    <w:rsid w:val="005E0759"/>
    <w:rsid w:val="005E126B"/>
    <w:rsid w:val="005E1AFC"/>
    <w:rsid w:val="005E69F2"/>
    <w:rsid w:val="005E6F34"/>
    <w:rsid w:val="005E6FF2"/>
    <w:rsid w:val="005F1C39"/>
    <w:rsid w:val="005F517C"/>
    <w:rsid w:val="005F71F6"/>
    <w:rsid w:val="00600B2C"/>
    <w:rsid w:val="00600E8E"/>
    <w:rsid w:val="006060E0"/>
    <w:rsid w:val="00607581"/>
    <w:rsid w:val="0061312F"/>
    <w:rsid w:val="00613E02"/>
    <w:rsid w:val="006214FD"/>
    <w:rsid w:val="00622D6F"/>
    <w:rsid w:val="006250F9"/>
    <w:rsid w:val="006257A4"/>
    <w:rsid w:val="0062689A"/>
    <w:rsid w:val="00632521"/>
    <w:rsid w:val="00632787"/>
    <w:rsid w:val="00633234"/>
    <w:rsid w:val="006347F8"/>
    <w:rsid w:val="00641CB2"/>
    <w:rsid w:val="00645AC5"/>
    <w:rsid w:val="0064659B"/>
    <w:rsid w:val="00646C3D"/>
    <w:rsid w:val="00646FB0"/>
    <w:rsid w:val="006470D6"/>
    <w:rsid w:val="00652143"/>
    <w:rsid w:val="00653C39"/>
    <w:rsid w:val="0065641F"/>
    <w:rsid w:val="00656607"/>
    <w:rsid w:val="00656A40"/>
    <w:rsid w:val="00656A76"/>
    <w:rsid w:val="006611A6"/>
    <w:rsid w:val="006626AA"/>
    <w:rsid w:val="006656EC"/>
    <w:rsid w:val="006657CC"/>
    <w:rsid w:val="0066769B"/>
    <w:rsid w:val="0067032C"/>
    <w:rsid w:val="0067049B"/>
    <w:rsid w:val="00671CF1"/>
    <w:rsid w:val="006746D7"/>
    <w:rsid w:val="0067651E"/>
    <w:rsid w:val="00677486"/>
    <w:rsid w:val="006810D3"/>
    <w:rsid w:val="0068113E"/>
    <w:rsid w:val="00681B9D"/>
    <w:rsid w:val="00682769"/>
    <w:rsid w:val="006828CB"/>
    <w:rsid w:val="00683E29"/>
    <w:rsid w:val="00684849"/>
    <w:rsid w:val="006849A0"/>
    <w:rsid w:val="006850B2"/>
    <w:rsid w:val="00686A94"/>
    <w:rsid w:val="00687E46"/>
    <w:rsid w:val="006943D8"/>
    <w:rsid w:val="00695090"/>
    <w:rsid w:val="00697D61"/>
    <w:rsid w:val="006A1619"/>
    <w:rsid w:val="006A5136"/>
    <w:rsid w:val="006A76A3"/>
    <w:rsid w:val="006B1058"/>
    <w:rsid w:val="006B2C95"/>
    <w:rsid w:val="006B4994"/>
    <w:rsid w:val="006B52D8"/>
    <w:rsid w:val="006B63B6"/>
    <w:rsid w:val="006C2022"/>
    <w:rsid w:val="006C25B0"/>
    <w:rsid w:val="006C3F36"/>
    <w:rsid w:val="006C46C0"/>
    <w:rsid w:val="006C4734"/>
    <w:rsid w:val="006C4C75"/>
    <w:rsid w:val="006D0BDA"/>
    <w:rsid w:val="006D2600"/>
    <w:rsid w:val="006D3B12"/>
    <w:rsid w:val="006D4B0F"/>
    <w:rsid w:val="006E0893"/>
    <w:rsid w:val="006E0A01"/>
    <w:rsid w:val="006E4858"/>
    <w:rsid w:val="006E55D5"/>
    <w:rsid w:val="006E774D"/>
    <w:rsid w:val="006F2E7C"/>
    <w:rsid w:val="006F33C8"/>
    <w:rsid w:val="006F6061"/>
    <w:rsid w:val="006F7A47"/>
    <w:rsid w:val="00700715"/>
    <w:rsid w:val="00701517"/>
    <w:rsid w:val="00704502"/>
    <w:rsid w:val="00705E66"/>
    <w:rsid w:val="0070624D"/>
    <w:rsid w:val="007070FC"/>
    <w:rsid w:val="00707517"/>
    <w:rsid w:val="00707AEA"/>
    <w:rsid w:val="00707EF7"/>
    <w:rsid w:val="007116B4"/>
    <w:rsid w:val="007116DD"/>
    <w:rsid w:val="00711B61"/>
    <w:rsid w:val="00713DEB"/>
    <w:rsid w:val="00713FB0"/>
    <w:rsid w:val="0071712F"/>
    <w:rsid w:val="00717146"/>
    <w:rsid w:val="00720328"/>
    <w:rsid w:val="00721A94"/>
    <w:rsid w:val="007234DD"/>
    <w:rsid w:val="00724688"/>
    <w:rsid w:val="007251BA"/>
    <w:rsid w:val="007279CA"/>
    <w:rsid w:val="00727B53"/>
    <w:rsid w:val="00730497"/>
    <w:rsid w:val="00732A0D"/>
    <w:rsid w:val="00734E16"/>
    <w:rsid w:val="00734EF8"/>
    <w:rsid w:val="007378D0"/>
    <w:rsid w:val="00742D8C"/>
    <w:rsid w:val="00744189"/>
    <w:rsid w:val="00746AC8"/>
    <w:rsid w:val="007530D1"/>
    <w:rsid w:val="0075671B"/>
    <w:rsid w:val="00757769"/>
    <w:rsid w:val="00757EC8"/>
    <w:rsid w:val="00761A8C"/>
    <w:rsid w:val="00762AB8"/>
    <w:rsid w:val="00763C3A"/>
    <w:rsid w:val="007656A2"/>
    <w:rsid w:val="00766DBB"/>
    <w:rsid w:val="00767A09"/>
    <w:rsid w:val="0077080F"/>
    <w:rsid w:val="00773997"/>
    <w:rsid w:val="00775DD2"/>
    <w:rsid w:val="00780F20"/>
    <w:rsid w:val="00781E77"/>
    <w:rsid w:val="00783493"/>
    <w:rsid w:val="00783AA2"/>
    <w:rsid w:val="00785B13"/>
    <w:rsid w:val="00785DA1"/>
    <w:rsid w:val="00786D0B"/>
    <w:rsid w:val="007929DE"/>
    <w:rsid w:val="007930C3"/>
    <w:rsid w:val="007945E9"/>
    <w:rsid w:val="007A03CE"/>
    <w:rsid w:val="007A139B"/>
    <w:rsid w:val="007A2DF0"/>
    <w:rsid w:val="007A41BF"/>
    <w:rsid w:val="007A44CB"/>
    <w:rsid w:val="007A44DB"/>
    <w:rsid w:val="007A4D60"/>
    <w:rsid w:val="007B4DFA"/>
    <w:rsid w:val="007B69C4"/>
    <w:rsid w:val="007C090F"/>
    <w:rsid w:val="007C099A"/>
    <w:rsid w:val="007C14CB"/>
    <w:rsid w:val="007C1F6A"/>
    <w:rsid w:val="007C2F03"/>
    <w:rsid w:val="007C4047"/>
    <w:rsid w:val="007C4E43"/>
    <w:rsid w:val="007C6DE3"/>
    <w:rsid w:val="007D209D"/>
    <w:rsid w:val="007D5BBC"/>
    <w:rsid w:val="007E4FFC"/>
    <w:rsid w:val="007E74D3"/>
    <w:rsid w:val="007E779F"/>
    <w:rsid w:val="007F250D"/>
    <w:rsid w:val="007F4DDC"/>
    <w:rsid w:val="007F509B"/>
    <w:rsid w:val="0080506E"/>
    <w:rsid w:val="00805CB5"/>
    <w:rsid w:val="0080733C"/>
    <w:rsid w:val="00812C72"/>
    <w:rsid w:val="008131F7"/>
    <w:rsid w:val="008169BC"/>
    <w:rsid w:val="00817DAF"/>
    <w:rsid w:val="00817F63"/>
    <w:rsid w:val="0082014D"/>
    <w:rsid w:val="00820227"/>
    <w:rsid w:val="00820E0B"/>
    <w:rsid w:val="008232EE"/>
    <w:rsid w:val="00825767"/>
    <w:rsid w:val="00825BB0"/>
    <w:rsid w:val="00826B9B"/>
    <w:rsid w:val="008279AA"/>
    <w:rsid w:val="00833302"/>
    <w:rsid w:val="00834480"/>
    <w:rsid w:val="008351B0"/>
    <w:rsid w:val="00835873"/>
    <w:rsid w:val="0083587A"/>
    <w:rsid w:val="00840B23"/>
    <w:rsid w:val="00843555"/>
    <w:rsid w:val="00843E7B"/>
    <w:rsid w:val="008442A0"/>
    <w:rsid w:val="00844E68"/>
    <w:rsid w:val="00850E63"/>
    <w:rsid w:val="00852507"/>
    <w:rsid w:val="0085408E"/>
    <w:rsid w:val="0085480C"/>
    <w:rsid w:val="00854958"/>
    <w:rsid w:val="008559D1"/>
    <w:rsid w:val="0086082A"/>
    <w:rsid w:val="00860ABC"/>
    <w:rsid w:val="00862658"/>
    <w:rsid w:val="008643A7"/>
    <w:rsid w:val="00864837"/>
    <w:rsid w:val="00866406"/>
    <w:rsid w:val="00866846"/>
    <w:rsid w:val="00866BBE"/>
    <w:rsid w:val="00867099"/>
    <w:rsid w:val="00867C12"/>
    <w:rsid w:val="008734D4"/>
    <w:rsid w:val="008748DC"/>
    <w:rsid w:val="00876102"/>
    <w:rsid w:val="00880B5A"/>
    <w:rsid w:val="00880EDA"/>
    <w:rsid w:val="00881566"/>
    <w:rsid w:val="00882980"/>
    <w:rsid w:val="00883C9D"/>
    <w:rsid w:val="00885960"/>
    <w:rsid w:val="00886916"/>
    <w:rsid w:val="008874FF"/>
    <w:rsid w:val="008926DD"/>
    <w:rsid w:val="008930F2"/>
    <w:rsid w:val="00895FFB"/>
    <w:rsid w:val="00896C02"/>
    <w:rsid w:val="008A48E2"/>
    <w:rsid w:val="008A6B60"/>
    <w:rsid w:val="008B02D8"/>
    <w:rsid w:val="008B1EE7"/>
    <w:rsid w:val="008B3CEA"/>
    <w:rsid w:val="008B49A5"/>
    <w:rsid w:val="008C0AC6"/>
    <w:rsid w:val="008C0DEA"/>
    <w:rsid w:val="008C122C"/>
    <w:rsid w:val="008C5F5F"/>
    <w:rsid w:val="008D05F3"/>
    <w:rsid w:val="008D09B1"/>
    <w:rsid w:val="008D18B0"/>
    <w:rsid w:val="008D2423"/>
    <w:rsid w:val="008D2E51"/>
    <w:rsid w:val="008D57D8"/>
    <w:rsid w:val="008D6E7B"/>
    <w:rsid w:val="008E0C30"/>
    <w:rsid w:val="008E1221"/>
    <w:rsid w:val="008E3ABD"/>
    <w:rsid w:val="008E58F2"/>
    <w:rsid w:val="008E7E7E"/>
    <w:rsid w:val="008F2279"/>
    <w:rsid w:val="00900A71"/>
    <w:rsid w:val="00900F14"/>
    <w:rsid w:val="00902BCF"/>
    <w:rsid w:val="009039F3"/>
    <w:rsid w:val="0091495C"/>
    <w:rsid w:val="00914B3D"/>
    <w:rsid w:val="00914DC5"/>
    <w:rsid w:val="0091653F"/>
    <w:rsid w:val="009218E9"/>
    <w:rsid w:val="009219CF"/>
    <w:rsid w:val="009243FF"/>
    <w:rsid w:val="00925715"/>
    <w:rsid w:val="00925985"/>
    <w:rsid w:val="009259C5"/>
    <w:rsid w:val="00932349"/>
    <w:rsid w:val="00933718"/>
    <w:rsid w:val="00933BA2"/>
    <w:rsid w:val="00935F77"/>
    <w:rsid w:val="00936DF7"/>
    <w:rsid w:val="00940FAF"/>
    <w:rsid w:val="009410CE"/>
    <w:rsid w:val="0094136F"/>
    <w:rsid w:val="009479F9"/>
    <w:rsid w:val="00952587"/>
    <w:rsid w:val="0095278E"/>
    <w:rsid w:val="00952C36"/>
    <w:rsid w:val="00954214"/>
    <w:rsid w:val="00955210"/>
    <w:rsid w:val="00955BA5"/>
    <w:rsid w:val="00955BCA"/>
    <w:rsid w:val="009565D0"/>
    <w:rsid w:val="00957852"/>
    <w:rsid w:val="00962DF9"/>
    <w:rsid w:val="00963675"/>
    <w:rsid w:val="00963D9A"/>
    <w:rsid w:val="0097054D"/>
    <w:rsid w:val="00971464"/>
    <w:rsid w:val="00971C3A"/>
    <w:rsid w:val="0097300C"/>
    <w:rsid w:val="009757E1"/>
    <w:rsid w:val="00975B13"/>
    <w:rsid w:val="009771D6"/>
    <w:rsid w:val="00980109"/>
    <w:rsid w:val="00982B73"/>
    <w:rsid w:val="00983070"/>
    <w:rsid w:val="00983EAC"/>
    <w:rsid w:val="00985752"/>
    <w:rsid w:val="00987DBF"/>
    <w:rsid w:val="00990D56"/>
    <w:rsid w:val="00991F26"/>
    <w:rsid w:val="00992CB6"/>
    <w:rsid w:val="009936D6"/>
    <w:rsid w:val="00994CFF"/>
    <w:rsid w:val="00994F38"/>
    <w:rsid w:val="00995CEC"/>
    <w:rsid w:val="00995EC2"/>
    <w:rsid w:val="009A0B91"/>
    <w:rsid w:val="009A1BD0"/>
    <w:rsid w:val="009A269F"/>
    <w:rsid w:val="009A414A"/>
    <w:rsid w:val="009A4FD7"/>
    <w:rsid w:val="009A58F6"/>
    <w:rsid w:val="009A7A30"/>
    <w:rsid w:val="009B0C9E"/>
    <w:rsid w:val="009B2735"/>
    <w:rsid w:val="009B62BC"/>
    <w:rsid w:val="009C1C8C"/>
    <w:rsid w:val="009C2135"/>
    <w:rsid w:val="009D014F"/>
    <w:rsid w:val="009D1943"/>
    <w:rsid w:val="009D1C19"/>
    <w:rsid w:val="009D3445"/>
    <w:rsid w:val="009D3D7B"/>
    <w:rsid w:val="009D5BFD"/>
    <w:rsid w:val="009D5DC5"/>
    <w:rsid w:val="009D7088"/>
    <w:rsid w:val="009D70C0"/>
    <w:rsid w:val="009E0402"/>
    <w:rsid w:val="009E07D8"/>
    <w:rsid w:val="009E4F31"/>
    <w:rsid w:val="009E63E0"/>
    <w:rsid w:val="009E6BD0"/>
    <w:rsid w:val="009E718D"/>
    <w:rsid w:val="009F0264"/>
    <w:rsid w:val="009F4F59"/>
    <w:rsid w:val="009F7FE5"/>
    <w:rsid w:val="00A013E7"/>
    <w:rsid w:val="00A01C66"/>
    <w:rsid w:val="00A060E9"/>
    <w:rsid w:val="00A07553"/>
    <w:rsid w:val="00A103E5"/>
    <w:rsid w:val="00A14B18"/>
    <w:rsid w:val="00A174B1"/>
    <w:rsid w:val="00A22555"/>
    <w:rsid w:val="00A228B9"/>
    <w:rsid w:val="00A2681C"/>
    <w:rsid w:val="00A27F6D"/>
    <w:rsid w:val="00A3203B"/>
    <w:rsid w:val="00A34D8E"/>
    <w:rsid w:val="00A353C2"/>
    <w:rsid w:val="00A44324"/>
    <w:rsid w:val="00A45B0F"/>
    <w:rsid w:val="00A46E2D"/>
    <w:rsid w:val="00A51017"/>
    <w:rsid w:val="00A639E1"/>
    <w:rsid w:val="00A63A89"/>
    <w:rsid w:val="00A67A5D"/>
    <w:rsid w:val="00A708F8"/>
    <w:rsid w:val="00A72A8E"/>
    <w:rsid w:val="00A752EA"/>
    <w:rsid w:val="00A77822"/>
    <w:rsid w:val="00A77E70"/>
    <w:rsid w:val="00A801BF"/>
    <w:rsid w:val="00A82366"/>
    <w:rsid w:val="00A86659"/>
    <w:rsid w:val="00A873A9"/>
    <w:rsid w:val="00A9028F"/>
    <w:rsid w:val="00A927D8"/>
    <w:rsid w:val="00A9678C"/>
    <w:rsid w:val="00A96F8A"/>
    <w:rsid w:val="00AA1F7E"/>
    <w:rsid w:val="00AA3C63"/>
    <w:rsid w:val="00AA4EAF"/>
    <w:rsid w:val="00AA5861"/>
    <w:rsid w:val="00AB0539"/>
    <w:rsid w:val="00AB1B23"/>
    <w:rsid w:val="00AB36C7"/>
    <w:rsid w:val="00AC04EC"/>
    <w:rsid w:val="00AC0609"/>
    <w:rsid w:val="00AC22CA"/>
    <w:rsid w:val="00AC4ECE"/>
    <w:rsid w:val="00AD2734"/>
    <w:rsid w:val="00AD428A"/>
    <w:rsid w:val="00AD6202"/>
    <w:rsid w:val="00AD7F7C"/>
    <w:rsid w:val="00AE04C7"/>
    <w:rsid w:val="00AE378B"/>
    <w:rsid w:val="00AE381D"/>
    <w:rsid w:val="00AE5441"/>
    <w:rsid w:val="00AE73C5"/>
    <w:rsid w:val="00AF06BA"/>
    <w:rsid w:val="00AF12C8"/>
    <w:rsid w:val="00AF21F7"/>
    <w:rsid w:val="00AF2DD9"/>
    <w:rsid w:val="00AF2FE4"/>
    <w:rsid w:val="00AF46E0"/>
    <w:rsid w:val="00AF46EB"/>
    <w:rsid w:val="00AF47C3"/>
    <w:rsid w:val="00AF6F6D"/>
    <w:rsid w:val="00AF7813"/>
    <w:rsid w:val="00B00296"/>
    <w:rsid w:val="00B03395"/>
    <w:rsid w:val="00B04232"/>
    <w:rsid w:val="00B04EC4"/>
    <w:rsid w:val="00B062AE"/>
    <w:rsid w:val="00B07955"/>
    <w:rsid w:val="00B163B4"/>
    <w:rsid w:val="00B16A04"/>
    <w:rsid w:val="00B16C2C"/>
    <w:rsid w:val="00B217F0"/>
    <w:rsid w:val="00B22109"/>
    <w:rsid w:val="00B22822"/>
    <w:rsid w:val="00B23BE4"/>
    <w:rsid w:val="00B25769"/>
    <w:rsid w:val="00B25EAC"/>
    <w:rsid w:val="00B4044A"/>
    <w:rsid w:val="00B44364"/>
    <w:rsid w:val="00B45C26"/>
    <w:rsid w:val="00B50020"/>
    <w:rsid w:val="00B506E4"/>
    <w:rsid w:val="00B51FD4"/>
    <w:rsid w:val="00B538B7"/>
    <w:rsid w:val="00B53A58"/>
    <w:rsid w:val="00B54F50"/>
    <w:rsid w:val="00B55E3C"/>
    <w:rsid w:val="00B55EF4"/>
    <w:rsid w:val="00B56808"/>
    <w:rsid w:val="00B5730E"/>
    <w:rsid w:val="00B60F88"/>
    <w:rsid w:val="00B61C93"/>
    <w:rsid w:val="00B65933"/>
    <w:rsid w:val="00B6773B"/>
    <w:rsid w:val="00B709D1"/>
    <w:rsid w:val="00B70F21"/>
    <w:rsid w:val="00B72319"/>
    <w:rsid w:val="00B72C9E"/>
    <w:rsid w:val="00B7331B"/>
    <w:rsid w:val="00B7375F"/>
    <w:rsid w:val="00B73AEA"/>
    <w:rsid w:val="00B767A6"/>
    <w:rsid w:val="00B804FD"/>
    <w:rsid w:val="00B816C0"/>
    <w:rsid w:val="00B8651D"/>
    <w:rsid w:val="00B9171F"/>
    <w:rsid w:val="00B95678"/>
    <w:rsid w:val="00BA247E"/>
    <w:rsid w:val="00BA2878"/>
    <w:rsid w:val="00BA5604"/>
    <w:rsid w:val="00BB2711"/>
    <w:rsid w:val="00BB7A44"/>
    <w:rsid w:val="00BC0473"/>
    <w:rsid w:val="00BC139F"/>
    <w:rsid w:val="00BC4EA9"/>
    <w:rsid w:val="00BC60ED"/>
    <w:rsid w:val="00BC638D"/>
    <w:rsid w:val="00BD2334"/>
    <w:rsid w:val="00BD5125"/>
    <w:rsid w:val="00BD5F44"/>
    <w:rsid w:val="00BD6519"/>
    <w:rsid w:val="00BD734F"/>
    <w:rsid w:val="00BD7984"/>
    <w:rsid w:val="00BE0960"/>
    <w:rsid w:val="00BE0BE9"/>
    <w:rsid w:val="00BE40FB"/>
    <w:rsid w:val="00BE5BC0"/>
    <w:rsid w:val="00BF214B"/>
    <w:rsid w:val="00BF2358"/>
    <w:rsid w:val="00BF25F1"/>
    <w:rsid w:val="00BF61DB"/>
    <w:rsid w:val="00BF62BD"/>
    <w:rsid w:val="00BF6394"/>
    <w:rsid w:val="00BF7B43"/>
    <w:rsid w:val="00C01CD8"/>
    <w:rsid w:val="00C037EE"/>
    <w:rsid w:val="00C05B65"/>
    <w:rsid w:val="00C07E2F"/>
    <w:rsid w:val="00C11D0E"/>
    <w:rsid w:val="00C1243A"/>
    <w:rsid w:val="00C137BE"/>
    <w:rsid w:val="00C147CF"/>
    <w:rsid w:val="00C16B94"/>
    <w:rsid w:val="00C17375"/>
    <w:rsid w:val="00C2199A"/>
    <w:rsid w:val="00C25E8C"/>
    <w:rsid w:val="00C27218"/>
    <w:rsid w:val="00C27632"/>
    <w:rsid w:val="00C27719"/>
    <w:rsid w:val="00C27C9D"/>
    <w:rsid w:val="00C309EE"/>
    <w:rsid w:val="00C30AA2"/>
    <w:rsid w:val="00C32532"/>
    <w:rsid w:val="00C3490F"/>
    <w:rsid w:val="00C352B5"/>
    <w:rsid w:val="00C353CC"/>
    <w:rsid w:val="00C35B04"/>
    <w:rsid w:val="00C36291"/>
    <w:rsid w:val="00C370F0"/>
    <w:rsid w:val="00C37DE0"/>
    <w:rsid w:val="00C4103C"/>
    <w:rsid w:val="00C410AD"/>
    <w:rsid w:val="00C414D2"/>
    <w:rsid w:val="00C440E1"/>
    <w:rsid w:val="00C4447B"/>
    <w:rsid w:val="00C51B41"/>
    <w:rsid w:val="00C60629"/>
    <w:rsid w:val="00C64E8F"/>
    <w:rsid w:val="00C6560E"/>
    <w:rsid w:val="00C65A74"/>
    <w:rsid w:val="00C70871"/>
    <w:rsid w:val="00C710B9"/>
    <w:rsid w:val="00C71EB1"/>
    <w:rsid w:val="00C71F90"/>
    <w:rsid w:val="00C75331"/>
    <w:rsid w:val="00C758D1"/>
    <w:rsid w:val="00C759C9"/>
    <w:rsid w:val="00C776F1"/>
    <w:rsid w:val="00C81620"/>
    <w:rsid w:val="00C85192"/>
    <w:rsid w:val="00C857D8"/>
    <w:rsid w:val="00C90817"/>
    <w:rsid w:val="00C91686"/>
    <w:rsid w:val="00C91F7F"/>
    <w:rsid w:val="00CA09B8"/>
    <w:rsid w:val="00CA1A75"/>
    <w:rsid w:val="00CA1B49"/>
    <w:rsid w:val="00CA209F"/>
    <w:rsid w:val="00CA59F6"/>
    <w:rsid w:val="00CA6103"/>
    <w:rsid w:val="00CB399D"/>
    <w:rsid w:val="00CB6A25"/>
    <w:rsid w:val="00CC17B5"/>
    <w:rsid w:val="00CC2A28"/>
    <w:rsid w:val="00CC335F"/>
    <w:rsid w:val="00CC37AC"/>
    <w:rsid w:val="00CC3CA2"/>
    <w:rsid w:val="00CC59CF"/>
    <w:rsid w:val="00CC62CF"/>
    <w:rsid w:val="00CC6E0E"/>
    <w:rsid w:val="00CC7A8F"/>
    <w:rsid w:val="00CD0DE6"/>
    <w:rsid w:val="00CD1A6A"/>
    <w:rsid w:val="00CD1EA4"/>
    <w:rsid w:val="00CD2182"/>
    <w:rsid w:val="00CD2841"/>
    <w:rsid w:val="00CD7853"/>
    <w:rsid w:val="00CD7A67"/>
    <w:rsid w:val="00CE1521"/>
    <w:rsid w:val="00CE152B"/>
    <w:rsid w:val="00CE1A8A"/>
    <w:rsid w:val="00CE59DD"/>
    <w:rsid w:val="00CE5CC0"/>
    <w:rsid w:val="00CE7272"/>
    <w:rsid w:val="00CF1A13"/>
    <w:rsid w:val="00CF1EF4"/>
    <w:rsid w:val="00CF2D70"/>
    <w:rsid w:val="00CF3B25"/>
    <w:rsid w:val="00CF4A62"/>
    <w:rsid w:val="00CF4B8D"/>
    <w:rsid w:val="00CF5F45"/>
    <w:rsid w:val="00CF79ED"/>
    <w:rsid w:val="00D0076A"/>
    <w:rsid w:val="00D014BE"/>
    <w:rsid w:val="00D016B0"/>
    <w:rsid w:val="00D02CB0"/>
    <w:rsid w:val="00D04061"/>
    <w:rsid w:val="00D04135"/>
    <w:rsid w:val="00D041AE"/>
    <w:rsid w:val="00D07000"/>
    <w:rsid w:val="00D079C6"/>
    <w:rsid w:val="00D11A56"/>
    <w:rsid w:val="00D14211"/>
    <w:rsid w:val="00D16EF4"/>
    <w:rsid w:val="00D2248C"/>
    <w:rsid w:val="00D23A03"/>
    <w:rsid w:val="00D23C27"/>
    <w:rsid w:val="00D27D79"/>
    <w:rsid w:val="00D3167E"/>
    <w:rsid w:val="00D3202F"/>
    <w:rsid w:val="00D36DB9"/>
    <w:rsid w:val="00D37DAB"/>
    <w:rsid w:val="00D402C3"/>
    <w:rsid w:val="00D4263B"/>
    <w:rsid w:val="00D44475"/>
    <w:rsid w:val="00D45A48"/>
    <w:rsid w:val="00D464EF"/>
    <w:rsid w:val="00D46677"/>
    <w:rsid w:val="00D5120C"/>
    <w:rsid w:val="00D54527"/>
    <w:rsid w:val="00D54C39"/>
    <w:rsid w:val="00D55730"/>
    <w:rsid w:val="00D60DA6"/>
    <w:rsid w:val="00D628B6"/>
    <w:rsid w:val="00D62A3B"/>
    <w:rsid w:val="00D63459"/>
    <w:rsid w:val="00D63527"/>
    <w:rsid w:val="00D6390B"/>
    <w:rsid w:val="00D63E4F"/>
    <w:rsid w:val="00D64C35"/>
    <w:rsid w:val="00D65360"/>
    <w:rsid w:val="00D70CD4"/>
    <w:rsid w:val="00D71460"/>
    <w:rsid w:val="00D74967"/>
    <w:rsid w:val="00D74CD9"/>
    <w:rsid w:val="00D81BB7"/>
    <w:rsid w:val="00D81C26"/>
    <w:rsid w:val="00D877B0"/>
    <w:rsid w:val="00D90C31"/>
    <w:rsid w:val="00D9155B"/>
    <w:rsid w:val="00D91F61"/>
    <w:rsid w:val="00D93F5B"/>
    <w:rsid w:val="00D96228"/>
    <w:rsid w:val="00DA0839"/>
    <w:rsid w:val="00DA4F04"/>
    <w:rsid w:val="00DA51D6"/>
    <w:rsid w:val="00DA74AA"/>
    <w:rsid w:val="00DA7F24"/>
    <w:rsid w:val="00DB1751"/>
    <w:rsid w:val="00DB35EC"/>
    <w:rsid w:val="00DB39C9"/>
    <w:rsid w:val="00DB3B41"/>
    <w:rsid w:val="00DB3FF4"/>
    <w:rsid w:val="00DB40FB"/>
    <w:rsid w:val="00DB535D"/>
    <w:rsid w:val="00DB5374"/>
    <w:rsid w:val="00DC0055"/>
    <w:rsid w:val="00DC039E"/>
    <w:rsid w:val="00DC1067"/>
    <w:rsid w:val="00DC1669"/>
    <w:rsid w:val="00DC3185"/>
    <w:rsid w:val="00DC7D2F"/>
    <w:rsid w:val="00DD292D"/>
    <w:rsid w:val="00DD4964"/>
    <w:rsid w:val="00DD503F"/>
    <w:rsid w:val="00DE1C6D"/>
    <w:rsid w:val="00DE1CC0"/>
    <w:rsid w:val="00DE3CF8"/>
    <w:rsid w:val="00DE4BAB"/>
    <w:rsid w:val="00DE4BD1"/>
    <w:rsid w:val="00DE4C92"/>
    <w:rsid w:val="00DE66A4"/>
    <w:rsid w:val="00DE78E6"/>
    <w:rsid w:val="00DE78F6"/>
    <w:rsid w:val="00DF3AF4"/>
    <w:rsid w:val="00DF7C9B"/>
    <w:rsid w:val="00E00EFD"/>
    <w:rsid w:val="00E01953"/>
    <w:rsid w:val="00E02924"/>
    <w:rsid w:val="00E036BD"/>
    <w:rsid w:val="00E04D98"/>
    <w:rsid w:val="00E0530D"/>
    <w:rsid w:val="00E065B8"/>
    <w:rsid w:val="00E109AF"/>
    <w:rsid w:val="00E11203"/>
    <w:rsid w:val="00E15A6E"/>
    <w:rsid w:val="00E2028D"/>
    <w:rsid w:val="00E20AC5"/>
    <w:rsid w:val="00E21BAF"/>
    <w:rsid w:val="00E236C0"/>
    <w:rsid w:val="00E237D9"/>
    <w:rsid w:val="00E239E4"/>
    <w:rsid w:val="00E25236"/>
    <w:rsid w:val="00E30CC7"/>
    <w:rsid w:val="00E316B2"/>
    <w:rsid w:val="00E34D2E"/>
    <w:rsid w:val="00E36DE1"/>
    <w:rsid w:val="00E37302"/>
    <w:rsid w:val="00E408FD"/>
    <w:rsid w:val="00E41063"/>
    <w:rsid w:val="00E418A3"/>
    <w:rsid w:val="00E432C8"/>
    <w:rsid w:val="00E475E0"/>
    <w:rsid w:val="00E50AA8"/>
    <w:rsid w:val="00E54341"/>
    <w:rsid w:val="00E55391"/>
    <w:rsid w:val="00E5569D"/>
    <w:rsid w:val="00E55904"/>
    <w:rsid w:val="00E55963"/>
    <w:rsid w:val="00E565D9"/>
    <w:rsid w:val="00E57AE5"/>
    <w:rsid w:val="00E60DA0"/>
    <w:rsid w:val="00E626CF"/>
    <w:rsid w:val="00E63048"/>
    <w:rsid w:val="00E63AEB"/>
    <w:rsid w:val="00E64492"/>
    <w:rsid w:val="00E6706D"/>
    <w:rsid w:val="00E677EB"/>
    <w:rsid w:val="00E713E4"/>
    <w:rsid w:val="00E713E5"/>
    <w:rsid w:val="00E721B0"/>
    <w:rsid w:val="00E73CA5"/>
    <w:rsid w:val="00E8035C"/>
    <w:rsid w:val="00E81E94"/>
    <w:rsid w:val="00E840E6"/>
    <w:rsid w:val="00E84103"/>
    <w:rsid w:val="00E859F3"/>
    <w:rsid w:val="00E87B39"/>
    <w:rsid w:val="00E9394C"/>
    <w:rsid w:val="00E96C23"/>
    <w:rsid w:val="00E96FDF"/>
    <w:rsid w:val="00EA0662"/>
    <w:rsid w:val="00EA0C5B"/>
    <w:rsid w:val="00EA1464"/>
    <w:rsid w:val="00EA293A"/>
    <w:rsid w:val="00EB3700"/>
    <w:rsid w:val="00EB3E1E"/>
    <w:rsid w:val="00EB42D3"/>
    <w:rsid w:val="00EB53A3"/>
    <w:rsid w:val="00EB6D36"/>
    <w:rsid w:val="00EC1B12"/>
    <w:rsid w:val="00EC4DF3"/>
    <w:rsid w:val="00EC5107"/>
    <w:rsid w:val="00EC5BDE"/>
    <w:rsid w:val="00EC5CC7"/>
    <w:rsid w:val="00ED1DA5"/>
    <w:rsid w:val="00ED331A"/>
    <w:rsid w:val="00ED527D"/>
    <w:rsid w:val="00ED5728"/>
    <w:rsid w:val="00ED6393"/>
    <w:rsid w:val="00ED760C"/>
    <w:rsid w:val="00EE02D8"/>
    <w:rsid w:val="00EE110F"/>
    <w:rsid w:val="00EE2585"/>
    <w:rsid w:val="00EE2EC0"/>
    <w:rsid w:val="00EE3AEB"/>
    <w:rsid w:val="00EE3C6E"/>
    <w:rsid w:val="00EE3F0B"/>
    <w:rsid w:val="00EE60F5"/>
    <w:rsid w:val="00EE68DC"/>
    <w:rsid w:val="00EE71A1"/>
    <w:rsid w:val="00EF06DB"/>
    <w:rsid w:val="00EF2553"/>
    <w:rsid w:val="00EF4BF0"/>
    <w:rsid w:val="00EF4F20"/>
    <w:rsid w:val="00EF4FC9"/>
    <w:rsid w:val="00EF6B4B"/>
    <w:rsid w:val="00EF6EE7"/>
    <w:rsid w:val="00EF79A7"/>
    <w:rsid w:val="00EF79A9"/>
    <w:rsid w:val="00EF7D5D"/>
    <w:rsid w:val="00F00D59"/>
    <w:rsid w:val="00F013FD"/>
    <w:rsid w:val="00F03028"/>
    <w:rsid w:val="00F048C4"/>
    <w:rsid w:val="00F0607A"/>
    <w:rsid w:val="00F07041"/>
    <w:rsid w:val="00F07360"/>
    <w:rsid w:val="00F13913"/>
    <w:rsid w:val="00F142B1"/>
    <w:rsid w:val="00F14AF1"/>
    <w:rsid w:val="00F14D56"/>
    <w:rsid w:val="00F14D96"/>
    <w:rsid w:val="00F15256"/>
    <w:rsid w:val="00F15D13"/>
    <w:rsid w:val="00F176DA"/>
    <w:rsid w:val="00F2139B"/>
    <w:rsid w:val="00F2216E"/>
    <w:rsid w:val="00F225A1"/>
    <w:rsid w:val="00F2353A"/>
    <w:rsid w:val="00F2478E"/>
    <w:rsid w:val="00F24873"/>
    <w:rsid w:val="00F25807"/>
    <w:rsid w:val="00F266B6"/>
    <w:rsid w:val="00F3007D"/>
    <w:rsid w:val="00F32F4D"/>
    <w:rsid w:val="00F336C6"/>
    <w:rsid w:val="00F33D3E"/>
    <w:rsid w:val="00F33EE7"/>
    <w:rsid w:val="00F34D8C"/>
    <w:rsid w:val="00F34E77"/>
    <w:rsid w:val="00F36D84"/>
    <w:rsid w:val="00F36FA9"/>
    <w:rsid w:val="00F402BC"/>
    <w:rsid w:val="00F4074C"/>
    <w:rsid w:val="00F44D24"/>
    <w:rsid w:val="00F47D39"/>
    <w:rsid w:val="00F532C2"/>
    <w:rsid w:val="00F57405"/>
    <w:rsid w:val="00F57DD2"/>
    <w:rsid w:val="00F61024"/>
    <w:rsid w:val="00F6165E"/>
    <w:rsid w:val="00F62593"/>
    <w:rsid w:val="00F62A5E"/>
    <w:rsid w:val="00F6465F"/>
    <w:rsid w:val="00F66245"/>
    <w:rsid w:val="00F67819"/>
    <w:rsid w:val="00F711E1"/>
    <w:rsid w:val="00F72D04"/>
    <w:rsid w:val="00F751B4"/>
    <w:rsid w:val="00F75B74"/>
    <w:rsid w:val="00F75EBD"/>
    <w:rsid w:val="00F8262E"/>
    <w:rsid w:val="00F84B89"/>
    <w:rsid w:val="00F855E2"/>
    <w:rsid w:val="00F85B21"/>
    <w:rsid w:val="00F86506"/>
    <w:rsid w:val="00F903C0"/>
    <w:rsid w:val="00F90F68"/>
    <w:rsid w:val="00F93CD5"/>
    <w:rsid w:val="00F9517D"/>
    <w:rsid w:val="00F96024"/>
    <w:rsid w:val="00F970C1"/>
    <w:rsid w:val="00F9729F"/>
    <w:rsid w:val="00FA217E"/>
    <w:rsid w:val="00FA6E29"/>
    <w:rsid w:val="00FB0800"/>
    <w:rsid w:val="00FB22EF"/>
    <w:rsid w:val="00FB50A5"/>
    <w:rsid w:val="00FB571A"/>
    <w:rsid w:val="00FC016D"/>
    <w:rsid w:val="00FC3B00"/>
    <w:rsid w:val="00FC4DAB"/>
    <w:rsid w:val="00FC725E"/>
    <w:rsid w:val="00FD054E"/>
    <w:rsid w:val="00FD0A33"/>
    <w:rsid w:val="00FD1E0E"/>
    <w:rsid w:val="00FD24D1"/>
    <w:rsid w:val="00FD28B9"/>
    <w:rsid w:val="00FE2D7B"/>
    <w:rsid w:val="00FE3082"/>
    <w:rsid w:val="00FE36B9"/>
    <w:rsid w:val="00FE522A"/>
    <w:rsid w:val="00FE56A2"/>
    <w:rsid w:val="00FE57AD"/>
    <w:rsid w:val="00FF1452"/>
    <w:rsid w:val="00FF14B6"/>
    <w:rsid w:val="00FF1F6D"/>
    <w:rsid w:val="00FF4CA9"/>
    <w:rsid w:val="00FF5D09"/>
    <w:rsid w:val="00FF71B5"/>
    <w:rsid w:val="06923289"/>
    <w:rsid w:val="0775534D"/>
    <w:rsid w:val="0B702D7E"/>
    <w:rsid w:val="15BC3062"/>
    <w:rsid w:val="1DFA16B9"/>
    <w:rsid w:val="1F545487"/>
    <w:rsid w:val="2290075A"/>
    <w:rsid w:val="232230CD"/>
    <w:rsid w:val="2D242488"/>
    <w:rsid w:val="3200110E"/>
    <w:rsid w:val="396226AE"/>
    <w:rsid w:val="3E5D7693"/>
    <w:rsid w:val="422A7562"/>
    <w:rsid w:val="4BF65952"/>
    <w:rsid w:val="4CA10E5E"/>
    <w:rsid w:val="5DD63F6C"/>
    <w:rsid w:val="6077603F"/>
    <w:rsid w:val="61D316F1"/>
    <w:rsid w:val="723B7B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9"/>
    <w:pPr>
      <w:spacing w:beforeAutospacing="1" w:afterAutospacing="1"/>
      <w:jc w:val="left"/>
      <w:outlineLvl w:val="2"/>
    </w:pPr>
    <w:rPr>
      <w:rFonts w:hint="eastAsia" w:ascii="宋体" w:hAnsi="宋体"/>
      <w:b/>
      <w:bCs/>
      <w:kern w:val="0"/>
      <w:sz w:val="27"/>
      <w:szCs w:val="27"/>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unhideWhenUsed/>
    <w:qFormat/>
    <w:uiPriority w:val="99"/>
    <w:pPr>
      <w:jc w:val="left"/>
    </w:pPr>
  </w:style>
  <w:style w:type="paragraph" w:styleId="4">
    <w:name w:val="Balloon Text"/>
    <w:basedOn w:val="1"/>
    <w:link w:val="18"/>
    <w:semiHidden/>
    <w:unhideWhenUsed/>
    <w:qFormat/>
    <w:uiPriority w:val="99"/>
    <w:rPr>
      <w:sz w:val="18"/>
      <w:szCs w:val="18"/>
    </w:rPr>
  </w:style>
  <w:style w:type="paragraph" w:styleId="5">
    <w:name w:val="footer"/>
    <w:basedOn w:val="1"/>
    <w:link w:val="20"/>
    <w:unhideWhenUsed/>
    <w:qFormat/>
    <w:uiPriority w:val="99"/>
    <w:pPr>
      <w:tabs>
        <w:tab w:val="center" w:pos="4153"/>
        <w:tab w:val="right" w:pos="8306"/>
      </w:tabs>
      <w:snapToGrid w:val="0"/>
      <w:jc w:val="left"/>
    </w:pPr>
    <w:rPr>
      <w:sz w:val="18"/>
      <w:szCs w:val="18"/>
    </w:rPr>
  </w:style>
  <w:style w:type="paragraph" w:styleId="6">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link w:val="23"/>
    <w:semiHidden/>
    <w:unhideWhenUsed/>
    <w:qFormat/>
    <w:uiPriority w:val="99"/>
    <w:rPr>
      <w:rFonts w:ascii="Courier New" w:hAnsi="Courier New" w:cs="Courier New"/>
      <w:sz w:val="20"/>
      <w:szCs w:val="20"/>
    </w:rPr>
  </w:style>
  <w:style w:type="paragraph" w:styleId="8">
    <w:name w:val="annotation subject"/>
    <w:basedOn w:val="3"/>
    <w:next w:val="3"/>
    <w:link w:val="16"/>
    <w:semiHidden/>
    <w:unhideWhenUsed/>
    <w:qFormat/>
    <w:uiPriority w:val="99"/>
    <w:rPr>
      <w:b/>
      <w:bCs/>
    </w:rPr>
  </w:style>
  <w:style w:type="character" w:styleId="11">
    <w:name w:val="FollowedHyperlink"/>
    <w:basedOn w:val="10"/>
    <w:semiHidden/>
    <w:unhideWhenUsed/>
    <w:qFormat/>
    <w:uiPriority w:val="99"/>
    <w:rPr>
      <w:color w:val="954F72" w:themeColor="followedHyperlink"/>
      <w:u w:val="single"/>
      <w14:textFill>
        <w14:solidFill>
          <w14:schemeClr w14:val="folHlink"/>
        </w14:solidFill>
      </w14:textFill>
    </w:rPr>
  </w:style>
  <w:style w:type="character" w:styleId="12">
    <w:name w:val="Hyperlink"/>
    <w:basedOn w:val="10"/>
    <w:semiHidden/>
    <w:unhideWhenUsed/>
    <w:qFormat/>
    <w:uiPriority w:val="99"/>
    <w:rPr>
      <w:color w:val="0000FF"/>
      <w:u w:val="single"/>
    </w:rPr>
  </w:style>
  <w:style w:type="character" w:styleId="13">
    <w:name w:val="annotation reference"/>
    <w:basedOn w:val="10"/>
    <w:semiHidden/>
    <w:unhideWhenUsed/>
    <w:qFormat/>
    <w:uiPriority w:val="99"/>
    <w:rPr>
      <w:sz w:val="21"/>
      <w:szCs w:val="21"/>
    </w:rPr>
  </w:style>
  <w:style w:type="paragraph" w:styleId="14">
    <w:name w:val="List Paragraph"/>
    <w:basedOn w:val="1"/>
    <w:qFormat/>
    <w:uiPriority w:val="34"/>
    <w:pPr>
      <w:ind w:firstLine="420" w:firstLineChars="200"/>
    </w:pPr>
  </w:style>
  <w:style w:type="character" w:customStyle="1" w:styleId="15">
    <w:name w:val="批注文字 字符"/>
    <w:basedOn w:val="10"/>
    <w:link w:val="3"/>
    <w:qFormat/>
    <w:uiPriority w:val="99"/>
    <w:rPr>
      <w:rFonts w:ascii="Times New Roman" w:hAnsi="Times New Roman" w:eastAsia="宋体" w:cs="Times New Roman"/>
      <w:szCs w:val="24"/>
    </w:rPr>
  </w:style>
  <w:style w:type="character" w:customStyle="1" w:styleId="16">
    <w:name w:val="批注主题 字符"/>
    <w:basedOn w:val="15"/>
    <w:link w:val="8"/>
    <w:semiHidden/>
    <w:qFormat/>
    <w:uiPriority w:val="99"/>
    <w:rPr>
      <w:rFonts w:ascii="Times New Roman" w:hAnsi="Times New Roman" w:eastAsia="宋体" w:cs="Times New Roman"/>
      <w:b/>
      <w:bCs/>
      <w:szCs w:val="24"/>
    </w:rPr>
  </w:style>
  <w:style w:type="paragraph" w:customStyle="1" w:styleId="17">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8">
    <w:name w:val="批注框文本 字符"/>
    <w:basedOn w:val="10"/>
    <w:link w:val="4"/>
    <w:semiHidden/>
    <w:qFormat/>
    <w:uiPriority w:val="99"/>
    <w:rPr>
      <w:rFonts w:ascii="Times New Roman" w:hAnsi="Times New Roman" w:eastAsia="宋体" w:cs="Times New Roman"/>
      <w:sz w:val="18"/>
      <w:szCs w:val="18"/>
    </w:rPr>
  </w:style>
  <w:style w:type="character" w:customStyle="1" w:styleId="19">
    <w:name w:val="页眉 字符"/>
    <w:basedOn w:val="10"/>
    <w:link w:val="6"/>
    <w:qFormat/>
    <w:uiPriority w:val="99"/>
    <w:rPr>
      <w:rFonts w:ascii="Times New Roman" w:hAnsi="Times New Roman" w:eastAsia="宋体" w:cs="Times New Roman"/>
      <w:sz w:val="18"/>
      <w:szCs w:val="18"/>
    </w:rPr>
  </w:style>
  <w:style w:type="character" w:customStyle="1" w:styleId="20">
    <w:name w:val="页脚 字符"/>
    <w:basedOn w:val="10"/>
    <w:link w:val="5"/>
    <w:qFormat/>
    <w:uiPriority w:val="99"/>
    <w:rPr>
      <w:rFonts w:ascii="Times New Roman" w:hAnsi="Times New Roman" w:eastAsia="宋体" w:cs="Times New Roman"/>
      <w:sz w:val="18"/>
      <w:szCs w:val="18"/>
    </w:rPr>
  </w:style>
  <w:style w:type="paragraph" w:customStyle="1" w:styleId="21">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2">
    <w:name w:val="修订3"/>
    <w:hidden/>
    <w:unhideWhenUsed/>
    <w:qFormat/>
    <w:uiPriority w:val="99"/>
    <w:rPr>
      <w:rFonts w:ascii="Times New Roman" w:hAnsi="Times New Roman" w:eastAsia="宋体" w:cs="Times New Roman"/>
      <w:kern w:val="2"/>
      <w:sz w:val="21"/>
      <w:szCs w:val="24"/>
      <w:lang w:val="en-US" w:eastAsia="zh-CN" w:bidi="ar-SA"/>
    </w:rPr>
  </w:style>
  <w:style w:type="character" w:customStyle="1" w:styleId="23">
    <w:name w:val="HTML 预设格式 字符"/>
    <w:basedOn w:val="10"/>
    <w:link w:val="7"/>
    <w:semiHidden/>
    <w:qFormat/>
    <w:uiPriority w:val="99"/>
    <w:rPr>
      <w:rFonts w:ascii="Courier New" w:hAnsi="Courier New" w:eastAsia="宋体" w:cs="Courier New"/>
      <w:kern w:val="2"/>
    </w:rPr>
  </w:style>
  <w:style w:type="paragraph" w:customStyle="1" w:styleId="24">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25">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15042-0BDC-486E-9E87-25A920923F80}">
  <ds:schemaRefs/>
</ds:datastoreItem>
</file>

<file path=docProps/app.xml><?xml version="1.0" encoding="utf-8"?>
<Properties xmlns="http://schemas.openxmlformats.org/officeDocument/2006/extended-properties" xmlns:vt="http://schemas.openxmlformats.org/officeDocument/2006/docPropsVTypes">
  <Template>Normal</Template>
  <Company>cmtc</Company>
  <Pages>6</Pages>
  <Words>2113</Words>
  <Characters>2224</Characters>
  <Lines>20</Lines>
  <Paragraphs>5</Paragraphs>
  <TotalTime>0</TotalTime>
  <ScaleCrop>false</ScaleCrop>
  <LinksUpToDate>false</LinksUpToDate>
  <CharactersWithSpaces>2348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2026-04-30T04:00:00Z</dcterms:created>
  <dc:creator>龚玉娇</dc:creator>
  <cp:lastModifiedBy>廖敏</cp:lastModifiedBy>
  <cp:lastPrinted>2026-10-22T08:45:00Z</cp:lastPrinted>
  <dcterms:modified xsi:type="dcterms:W3CDTF">2026-10-23T08:14:22Z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E2D6D74674E14B97B6BDA0CCCB64FFA9_13</vt:lpwstr>
  </property>
  <property fmtid="{D5CDD505-2E9C-101B-9397-08002B2CF9AE}" pid="4" name="KSOTemplateDocerSaveRecord">
    <vt:lpwstr>eyJoZGlkIjoiYWQ4MzMzMjYxMzY2MTBkZTQzNDcyNzRlYzViNzMzNzQiLCJ1c2VySWQiOiIxNzY1NjM0NDQ5In0=</vt:lpwstr>
  </property>
</Properties>
</file>