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line="360" w:lineRule="auto"/>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line="360" w:lineRule="auto"/>
        <w:jc w:val="center"/>
        <w:outlineLvl w:val="0"/>
        <w:rPr>
          <w:rFonts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after="120" w:afterLines="50" w:line="360" w:lineRule="auto"/>
        <w:jc w:val="both"/>
        <w:rPr>
          <w:rFonts w:ascii="Times New Roman" w:hAnsi="Times New Roman" w:cs="Times New Roman" w:eastAsiaTheme="minorEastAsia"/>
          <w:sz w:val="24"/>
          <w:szCs w:val="24"/>
          <w:highlight w:val="yellow"/>
          <w:lang w:eastAsia="zh-CN"/>
        </w:rPr>
      </w:pPr>
      <w:r>
        <w:rPr>
          <w:rFonts w:ascii="Times New Roman" w:hAnsi="Times New Roman" w:eastAsia="宋体" w:cs="宋体"/>
          <w:b/>
          <w:bCs/>
          <w:sz w:val="24"/>
          <w:szCs w:val="24"/>
          <w:lang w:eastAsia="zh-CN"/>
        </w:rPr>
        <w:t>证券简称：</w:t>
      </w:r>
      <w:r>
        <w:rPr>
          <w:rFonts w:ascii="Times New Roman" w:hAnsi="Times New Roman" w:eastAsia="宋体" w:cs="宋体"/>
          <w:sz w:val="24"/>
          <w:szCs w:val="24"/>
          <w:lang w:eastAsia="zh-CN"/>
        </w:rPr>
        <w:t>九州一轨</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spacing w:val="-1"/>
          <w:sz w:val="24"/>
          <w:szCs w:val="24"/>
          <w:lang w:eastAsia="zh-CN"/>
        </w:rPr>
        <w:t>202</w:t>
      </w:r>
      <w:r>
        <w:rPr>
          <w:rFonts w:hint="eastAsia" w:ascii="Times New Roman" w:hAnsi="Times New Roman" w:eastAsia="宋体" w:cs="Times New Roman"/>
          <w:spacing w:val="-1"/>
          <w:sz w:val="24"/>
          <w:szCs w:val="24"/>
          <w:lang w:eastAsia="zh-CN"/>
        </w:rPr>
        <w:t>6</w:t>
      </w:r>
      <w:r>
        <w:rPr>
          <w:rFonts w:ascii="Times New Roman" w:hAnsi="Times New Roman" w:eastAsia="宋体" w:cs="Times New Roman"/>
          <w:spacing w:val="-1"/>
          <w:sz w:val="24"/>
          <w:szCs w:val="24"/>
          <w:lang w:eastAsia="zh-CN"/>
        </w:rPr>
        <w:t>-0</w:t>
      </w:r>
      <w:r>
        <w:rPr>
          <w:rFonts w:hint="eastAsia" w:ascii="Times New Roman" w:hAnsi="Times New Roman" w:eastAsia="宋体" w:cs="Times New Roman"/>
          <w:spacing w:val="-1"/>
          <w:sz w:val="24"/>
          <w:szCs w:val="24"/>
          <w:lang w:eastAsia="zh-CN"/>
        </w:rPr>
        <w:t>05</w:t>
      </w:r>
    </w:p>
    <w:tbl>
      <w:tblPr>
        <w:tblStyle w:val="16"/>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7"/>
              <w:spacing w:line="360" w:lineRule="auto"/>
              <w:jc w:val="center"/>
              <w:rPr>
                <w:rFonts w:ascii="Times New Roman" w:hAnsi="Times New Roman"/>
                <w:b/>
                <w:bCs/>
              </w:rPr>
            </w:pPr>
            <w:r>
              <w:rPr>
                <w:rFonts w:hint="eastAsia" w:ascii="Times New Roman" w:hAnsi="Times New Roman"/>
                <w:b/>
                <w:bCs/>
              </w:rPr>
              <w:t>投资者关系活动类别</w:t>
            </w:r>
          </w:p>
        </w:tc>
        <w:tc>
          <w:tcPr>
            <w:tcW w:w="3189" w:type="dxa"/>
            <w:tcBorders>
              <w:bottom w:val="nil"/>
              <w:right w:val="nil"/>
            </w:tcBorders>
            <w:vAlign w:val="center"/>
          </w:tcPr>
          <w:p w14:paraId="6CD66F7D">
            <w:pPr>
              <w:pStyle w:val="17"/>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特定对象调研</w:t>
            </w:r>
          </w:p>
          <w:p w14:paraId="3C799993">
            <w:pPr>
              <w:pStyle w:val="17"/>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媒体采访</w:t>
            </w:r>
          </w:p>
          <w:p w14:paraId="0D74F8FF">
            <w:pPr>
              <w:pStyle w:val="17"/>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新闻发布会</w:t>
            </w:r>
          </w:p>
          <w:p w14:paraId="19211835">
            <w:pPr>
              <w:pStyle w:val="17"/>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rPr>
              <w:t>现场参观</w:t>
            </w:r>
          </w:p>
        </w:tc>
        <w:tc>
          <w:tcPr>
            <w:tcW w:w="2935" w:type="dxa"/>
            <w:tcBorders>
              <w:left w:val="nil"/>
              <w:bottom w:val="nil"/>
            </w:tcBorders>
            <w:vAlign w:val="center"/>
          </w:tcPr>
          <w:p w14:paraId="4F009989">
            <w:pPr>
              <w:pStyle w:val="17"/>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分析师会议</w:t>
            </w:r>
          </w:p>
          <w:p w14:paraId="01616EAD">
            <w:pPr>
              <w:pStyle w:val="17"/>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业绩说明会</w:t>
            </w:r>
          </w:p>
          <w:p w14:paraId="762AEE12">
            <w:pPr>
              <w:pStyle w:val="17"/>
              <w:tabs>
                <w:tab w:val="center" w:pos="1465"/>
              </w:tabs>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路演活动</w:t>
            </w:r>
          </w:p>
          <w:p w14:paraId="397800D4">
            <w:pPr>
              <w:pStyle w:val="17"/>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7"/>
              <w:spacing w:line="360" w:lineRule="auto"/>
              <w:jc w:val="center"/>
              <w:rPr>
                <w:rFonts w:ascii="Times New Roman" w:hAnsi="Times New Roman"/>
                <w:lang w:eastAsia="zh-CN"/>
              </w:rPr>
            </w:pPr>
            <w:r>
              <w:rPr>
                <w:rFonts w:hint="eastAsia" w:ascii="Times New Roman" w:hAnsi="Times New Roman"/>
                <w:b/>
                <w:bCs/>
                <w:lang w:eastAsia="zh-CN"/>
              </w:rPr>
              <w:t>参与单位名称</w:t>
            </w:r>
          </w:p>
          <w:p w14:paraId="5254F3E4">
            <w:pPr>
              <w:pStyle w:val="17"/>
              <w:spacing w:line="360" w:lineRule="auto"/>
              <w:jc w:val="center"/>
              <w:rPr>
                <w:rFonts w:ascii="Times New Roman" w:hAnsi="Times New Roman"/>
                <w:lang w:eastAsia="zh-CN"/>
              </w:rPr>
            </w:pPr>
            <w:r>
              <w:rPr>
                <w:rFonts w:hint="eastAsia" w:ascii="Times New Roman" w:hAnsi="Times New Roman"/>
                <w:b/>
                <w:bCs/>
                <w:lang w:eastAsia="zh-CN"/>
              </w:rPr>
              <w:t>及人员姓名</w:t>
            </w:r>
          </w:p>
        </w:tc>
        <w:tc>
          <w:tcPr>
            <w:tcW w:w="6124" w:type="dxa"/>
            <w:gridSpan w:val="2"/>
            <w:vAlign w:val="center"/>
          </w:tcPr>
          <w:p w14:paraId="370744CB">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太平养老 王书伟</w:t>
            </w:r>
          </w:p>
          <w:p w14:paraId="2A7E73C2">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信泰人寿 邓博</w:t>
            </w:r>
          </w:p>
          <w:p w14:paraId="74541719">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富国基金 邹杰伟</w:t>
            </w:r>
          </w:p>
          <w:p w14:paraId="7399FEA5">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鹏华基金 王天铄</w:t>
            </w:r>
          </w:p>
          <w:p w14:paraId="7E7D5A37">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华泰柏瑞 郭亚男</w:t>
            </w:r>
          </w:p>
          <w:p w14:paraId="304D4173">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国泰基金 孙嘉勤</w:t>
            </w:r>
          </w:p>
          <w:p w14:paraId="4D5551A7">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中信建投基金 钱博文</w:t>
            </w:r>
          </w:p>
          <w:p w14:paraId="2430F752">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万家基金 冯哲</w:t>
            </w:r>
          </w:p>
          <w:p w14:paraId="64BF0704">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大成基金 曾大鹏</w:t>
            </w:r>
          </w:p>
          <w:p w14:paraId="2BC21A5B">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华宝基金 强超廷</w:t>
            </w:r>
          </w:p>
          <w:p w14:paraId="58AA60F0">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浦银基金 胡舜杰</w:t>
            </w:r>
          </w:p>
          <w:p w14:paraId="07DB3DD2">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鑫元基金 王夫伟</w:t>
            </w:r>
          </w:p>
          <w:p w14:paraId="706ACC8A">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宏利基金 丁申</w:t>
            </w:r>
          </w:p>
          <w:p w14:paraId="735048C4">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申万菱信 谢欣雨</w:t>
            </w:r>
          </w:p>
          <w:p w14:paraId="22ED8867">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东吴基金 边梦葳</w:t>
            </w:r>
          </w:p>
          <w:p w14:paraId="616EE989">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恒越基金 朱陈星</w:t>
            </w:r>
          </w:p>
          <w:p w14:paraId="237F8420">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东</w:t>
            </w:r>
            <w:r>
              <w:rPr>
                <w:rFonts w:hint="eastAsia"/>
                <w:color w:val="000000" w:themeColor="text1"/>
                <w:lang w:val="en-US" w:eastAsia="zh-CN"/>
                <w14:textFill>
                  <w14:solidFill>
                    <w14:schemeClr w14:val="tx1"/>
                  </w14:solidFill>
                </w14:textFill>
              </w:rPr>
              <w:t>证创新</w:t>
            </w:r>
            <w:r>
              <w:rPr>
                <w:rFonts w:hint="eastAsia"/>
                <w:color w:val="000000" w:themeColor="text1"/>
                <w:lang w:eastAsia="zh-CN"/>
                <w14:textFill>
                  <w14:solidFill>
                    <w14:schemeClr w14:val="tx1"/>
                  </w14:solidFill>
                </w14:textFill>
              </w:rPr>
              <w:t xml:space="preserve"> </w:t>
            </w:r>
            <w:r>
              <w:rPr>
                <w:lang w:eastAsia="zh-CN"/>
              </w:rPr>
              <w:t>金兆强</w:t>
            </w:r>
          </w:p>
          <w:p w14:paraId="6FCD4051">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野村东方国际 肖令君</w:t>
            </w:r>
          </w:p>
          <w:p w14:paraId="5BC03C33">
            <w:pPr>
              <w:pStyle w:val="17"/>
              <w:autoSpaceDE/>
              <w:autoSpaceDN/>
              <w:spacing w:before="120" w:beforeLines="50" w:after="120" w:afterLines="50"/>
              <w:jc w:val="center"/>
              <w:rPr>
                <w:rFonts w:hint="eastAsia"/>
                <w:lang w:eastAsia="zh-CN"/>
              </w:rPr>
            </w:pPr>
            <w:r>
              <w:rPr>
                <w:lang w:eastAsia="zh-CN"/>
              </w:rPr>
              <w:t>中金众鑫 孙舒禺</w:t>
            </w:r>
          </w:p>
          <w:p w14:paraId="6025C96D">
            <w:pPr>
              <w:pStyle w:val="17"/>
              <w:autoSpaceDE/>
              <w:autoSpaceDN/>
              <w:spacing w:before="120" w:beforeLines="50" w:after="120" w:afterLines="50"/>
              <w:jc w:val="center"/>
              <w:rPr>
                <w:rFonts w:hint="eastAsia"/>
                <w:lang w:eastAsia="zh-CN"/>
              </w:rPr>
            </w:pPr>
            <w:r>
              <w:rPr>
                <w:lang w:eastAsia="zh-CN"/>
              </w:rPr>
              <w:t>沣京资本 杭晓晨</w:t>
            </w:r>
          </w:p>
          <w:p w14:paraId="781347C3">
            <w:pPr>
              <w:pStyle w:val="17"/>
              <w:autoSpaceDE/>
              <w:autoSpaceDN/>
              <w:spacing w:before="120" w:beforeLines="50" w:after="120" w:afterLines="50"/>
              <w:jc w:val="center"/>
              <w:rPr>
                <w:rFonts w:hint="eastAsia"/>
                <w:lang w:eastAsia="zh-CN"/>
              </w:rPr>
            </w:pPr>
            <w:r>
              <w:rPr>
                <w:lang w:eastAsia="zh-CN"/>
              </w:rPr>
              <w:t>竹润投资 诸葛恒中</w:t>
            </w:r>
          </w:p>
          <w:p w14:paraId="5061BD17">
            <w:pPr>
              <w:pStyle w:val="17"/>
              <w:autoSpaceDE/>
              <w:autoSpaceDN/>
              <w:spacing w:before="120" w:beforeLines="50" w:after="120" w:afterLines="50"/>
              <w:jc w:val="center"/>
              <w:rPr>
                <w:rFonts w:hint="eastAsia"/>
                <w:lang w:eastAsia="zh-CN"/>
              </w:rPr>
            </w:pPr>
            <w:r>
              <w:rPr>
                <w:lang w:eastAsia="zh-CN"/>
              </w:rPr>
              <w:t xml:space="preserve">竹润投资 李志虹 </w:t>
            </w:r>
          </w:p>
          <w:p w14:paraId="277A814B">
            <w:pPr>
              <w:pStyle w:val="17"/>
              <w:autoSpaceDE/>
              <w:autoSpaceDN/>
              <w:spacing w:before="120" w:beforeLines="50" w:after="120" w:afterLines="50"/>
              <w:jc w:val="center"/>
              <w:rPr>
                <w:rFonts w:hint="eastAsia"/>
                <w:lang w:eastAsia="zh-CN"/>
              </w:rPr>
            </w:pPr>
            <w:r>
              <w:rPr>
                <w:lang w:eastAsia="zh-CN"/>
              </w:rPr>
              <w:t xml:space="preserve">添橙基金 朱坚 </w:t>
            </w:r>
          </w:p>
          <w:p w14:paraId="11A802B7">
            <w:pPr>
              <w:pStyle w:val="17"/>
              <w:autoSpaceDE/>
              <w:autoSpaceDN/>
              <w:spacing w:before="120" w:beforeLines="50" w:after="120" w:afterLines="50"/>
              <w:jc w:val="center"/>
              <w:rPr>
                <w:rFonts w:hint="eastAsia"/>
                <w:lang w:eastAsia="zh-CN"/>
              </w:rPr>
            </w:pPr>
            <w:r>
              <w:rPr>
                <w:lang w:eastAsia="zh-CN"/>
              </w:rPr>
              <w:t>添橙基金 孙秋婷</w:t>
            </w:r>
          </w:p>
          <w:p w14:paraId="3C4CEF89">
            <w:pPr>
              <w:pStyle w:val="17"/>
              <w:autoSpaceDE/>
              <w:autoSpaceDN/>
              <w:spacing w:before="120" w:beforeLines="50" w:after="120" w:afterLines="50"/>
              <w:jc w:val="center"/>
              <w:rPr>
                <w:rFonts w:hint="eastAsia"/>
                <w:lang w:eastAsia="zh-CN"/>
              </w:rPr>
            </w:pPr>
            <w:r>
              <w:rPr>
                <w:lang w:eastAsia="zh-CN"/>
              </w:rPr>
              <w:t xml:space="preserve">添橙基金 石楠阳 </w:t>
            </w:r>
          </w:p>
          <w:p w14:paraId="6C835205">
            <w:pPr>
              <w:pStyle w:val="17"/>
              <w:autoSpaceDE/>
              <w:autoSpaceDN/>
              <w:spacing w:before="120" w:beforeLines="50" w:after="120" w:afterLines="50"/>
              <w:jc w:val="center"/>
              <w:rPr>
                <w:rFonts w:hint="eastAsia"/>
                <w:lang w:eastAsia="zh-CN"/>
              </w:rPr>
            </w:pPr>
            <w:r>
              <w:rPr>
                <w:lang w:eastAsia="zh-CN"/>
              </w:rPr>
              <w:t xml:space="preserve">浦泓投资 吴敏 </w:t>
            </w:r>
          </w:p>
          <w:p w14:paraId="3D1182FA">
            <w:pPr>
              <w:pStyle w:val="17"/>
              <w:autoSpaceDE/>
              <w:autoSpaceDN/>
              <w:spacing w:before="120" w:beforeLines="50" w:after="120" w:afterLines="50"/>
              <w:jc w:val="center"/>
            </w:pPr>
            <w:r>
              <w:rPr>
                <w:rFonts w:hint="eastAsia"/>
              </w:rPr>
              <w:t>旭诺资本</w:t>
            </w:r>
            <w:r>
              <w:t xml:space="preserve"> 邹润芳</w:t>
            </w:r>
          </w:p>
          <w:p w14:paraId="2B198034">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申万宏源 傅浩玮</w:t>
            </w:r>
          </w:p>
          <w:p w14:paraId="23F154EA">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国海证券 闫智</w:t>
            </w:r>
          </w:p>
          <w:p w14:paraId="374FEBB6">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国海证券 张钰莹</w:t>
            </w:r>
          </w:p>
          <w:p w14:paraId="7E708A3B">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长城证券 张天浩</w:t>
            </w:r>
          </w:p>
          <w:p w14:paraId="28C00653">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长城证券 汪湛帆</w:t>
            </w:r>
          </w:p>
          <w:p w14:paraId="1749D184">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方正证券 黄王琥</w:t>
            </w:r>
          </w:p>
          <w:p w14:paraId="5949D49B">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中邮证券 叶泽佑</w:t>
            </w:r>
          </w:p>
          <w:p w14:paraId="3A820B2B">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财通证券 耿荣晨</w:t>
            </w:r>
          </w:p>
          <w:p w14:paraId="3DB21B2E">
            <w:pPr>
              <w:pStyle w:val="17"/>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国金证券 谭宸</w:t>
            </w:r>
          </w:p>
          <w:p w14:paraId="03059F23">
            <w:pPr>
              <w:pStyle w:val="17"/>
              <w:autoSpaceDE/>
              <w:autoSpaceDN/>
              <w:spacing w:before="120" w:beforeLines="50" w:after="120" w:afterLines="50"/>
              <w:jc w:val="center"/>
              <w:rPr>
                <w:rFonts w:hint="eastAsia"/>
                <w:lang w:eastAsia="zh-CN"/>
              </w:rPr>
            </w:pPr>
            <w:r>
              <w:rPr>
                <w:rFonts w:hint="eastAsia"/>
                <w:color w:val="000000" w:themeColor="text1"/>
                <w:lang w:eastAsia="zh-CN"/>
                <w14:textFill>
                  <w14:solidFill>
                    <w14:schemeClr w14:val="tx1"/>
                  </w14:solidFill>
                </w14:textFill>
              </w:rPr>
              <w:t>华福证券 王艳</w:t>
            </w:r>
            <w:bookmarkStart w:id="5" w:name="_GoBack"/>
            <w:bookmarkEnd w:id="5"/>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7"/>
              <w:autoSpaceDE/>
              <w:autoSpaceDN/>
              <w:jc w:val="center"/>
              <w:rPr>
                <w:rFonts w:ascii="Times New Roman" w:hAnsi="Times New Roman"/>
              </w:rPr>
            </w:pPr>
            <w:r>
              <w:rPr>
                <w:rFonts w:hint="eastAsia" w:ascii="Times New Roman" w:hAnsi="Times New Roman"/>
                <w:b/>
                <w:bCs/>
              </w:rPr>
              <w:t>时间</w:t>
            </w:r>
          </w:p>
        </w:tc>
        <w:tc>
          <w:tcPr>
            <w:tcW w:w="6124" w:type="dxa"/>
            <w:gridSpan w:val="2"/>
          </w:tcPr>
          <w:p w14:paraId="28B60674">
            <w:pPr>
              <w:pStyle w:val="17"/>
              <w:autoSpaceDE/>
              <w:autoSpaceDN/>
              <w:spacing w:before="139" w:line="221" w:lineRule="auto"/>
              <w:jc w:val="center"/>
              <w:rPr>
                <w:rFonts w:ascii="Times New Roman" w:hAnsi="Times New Roman"/>
                <w:lang w:eastAsia="zh-CN"/>
              </w:rPr>
            </w:pPr>
            <w:r>
              <w:rPr>
                <w:rFonts w:hint="eastAsia" w:ascii="Times New Roman" w:hAnsi="Times New Roman"/>
                <w:lang w:eastAsia="zh-CN"/>
              </w:rPr>
              <w:t>2026年10月23日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7"/>
              <w:autoSpaceDE/>
              <w:autoSpaceDN/>
              <w:jc w:val="center"/>
              <w:rPr>
                <w:rFonts w:ascii="Times New Roman" w:hAnsi="Times New Roman"/>
              </w:rPr>
            </w:pPr>
            <w:r>
              <w:rPr>
                <w:rFonts w:hint="eastAsia" w:ascii="Times New Roman" w:hAnsi="Times New Roman"/>
                <w:b/>
                <w:bCs/>
              </w:rPr>
              <w:t>地点</w:t>
            </w:r>
          </w:p>
        </w:tc>
        <w:tc>
          <w:tcPr>
            <w:tcW w:w="6124" w:type="dxa"/>
            <w:gridSpan w:val="2"/>
            <w:vAlign w:val="center"/>
          </w:tcPr>
          <w:p w14:paraId="149433BE">
            <w:pPr>
              <w:pStyle w:val="17"/>
              <w:spacing w:before="78" w:line="219" w:lineRule="auto"/>
              <w:jc w:val="center"/>
              <w:rPr>
                <w:rFonts w:ascii="Times New Roman" w:hAnsi="Times New Roman"/>
                <w:lang w:eastAsia="zh-CN"/>
              </w:rPr>
            </w:pPr>
            <w:r>
              <w:rPr>
                <w:rFonts w:hint="eastAsia" w:ascii="Times New Roman" w:hAnsi="Times New Roman"/>
                <w:lang w:eastAsia="zh-CN"/>
              </w:rPr>
              <w:t>江苏</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7"/>
              <w:autoSpaceDE/>
              <w:autoSpaceDN/>
              <w:jc w:val="center"/>
              <w:rPr>
                <w:rFonts w:ascii="Times New Roman" w:hAnsi="Times New Roman"/>
                <w:lang w:eastAsia="zh-CN"/>
              </w:rPr>
            </w:pPr>
            <w:r>
              <w:rPr>
                <w:rFonts w:hint="eastAsia" w:ascii="Times New Roman" w:hAnsi="Times New Roman"/>
                <w:b/>
                <w:bCs/>
                <w:lang w:eastAsia="zh-CN"/>
              </w:rPr>
              <w:t>上市公司接待人员姓名</w:t>
            </w:r>
          </w:p>
        </w:tc>
        <w:tc>
          <w:tcPr>
            <w:tcW w:w="6124" w:type="dxa"/>
            <w:gridSpan w:val="2"/>
            <w:vAlign w:val="center"/>
          </w:tcPr>
          <w:p w14:paraId="42FE4C5C">
            <w:pPr>
              <w:pStyle w:val="17"/>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副总裁、子公司晶禧半导体总经理</w:t>
            </w:r>
            <w:r>
              <w:rPr>
                <w:rFonts w:ascii="Times New Roman" w:hAnsi="Times New Roman"/>
                <w:lang w:eastAsia="zh-CN"/>
              </w:rPr>
              <w:t xml:space="preserve"> </w:t>
            </w:r>
            <w:r>
              <w:rPr>
                <w:rFonts w:hint="eastAsia" w:ascii="Times New Roman" w:hAnsi="Times New Roman"/>
                <w:lang w:eastAsia="zh-CN"/>
              </w:rPr>
              <w:t>陶为银</w:t>
            </w:r>
          </w:p>
          <w:p w14:paraId="30C44675">
            <w:pPr>
              <w:pStyle w:val="17"/>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副总裁、财务总监兼董事会秘书</w:t>
            </w:r>
            <w:r>
              <w:rPr>
                <w:rFonts w:ascii="Times New Roman" w:hAnsi="Times New Roman"/>
                <w:lang w:eastAsia="zh-CN"/>
              </w:rPr>
              <w:t xml:space="preserve"> </w:t>
            </w:r>
            <w:r>
              <w:rPr>
                <w:rFonts w:hint="eastAsia" w:ascii="Times New Roman" w:hAnsi="Times New Roman"/>
                <w:lang w:eastAsia="zh-CN"/>
              </w:rPr>
              <w:t>张侃</w:t>
            </w:r>
          </w:p>
          <w:p w14:paraId="74CFB298">
            <w:pPr>
              <w:pStyle w:val="17"/>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子公司晶禧半导体执行董事兼常务副总经理</w:t>
            </w:r>
            <w:r>
              <w:rPr>
                <w:rFonts w:ascii="Times New Roman" w:hAnsi="Times New Roman"/>
                <w:lang w:eastAsia="zh-CN"/>
              </w:rPr>
              <w:t xml:space="preserve"> </w:t>
            </w:r>
            <w:r>
              <w:rPr>
                <w:rFonts w:hint="eastAsia" w:ascii="Times New Roman" w:hAnsi="Times New Roman"/>
                <w:lang w:eastAsia="zh-CN"/>
              </w:rPr>
              <w:t>林静</w:t>
            </w:r>
          </w:p>
          <w:p w14:paraId="3ED33D1C">
            <w:pPr>
              <w:pStyle w:val="17"/>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子公司晶禧半导体副总经理</w:t>
            </w:r>
            <w:r>
              <w:rPr>
                <w:rFonts w:ascii="Times New Roman" w:hAnsi="Times New Roman"/>
                <w:lang w:eastAsia="zh-CN"/>
              </w:rPr>
              <w:t xml:space="preserve"> </w:t>
            </w:r>
            <w:r>
              <w:rPr>
                <w:rFonts w:hint="eastAsia" w:ascii="Times New Roman" w:hAnsi="Times New Roman"/>
                <w:lang w:eastAsia="zh-CN"/>
              </w:rPr>
              <w:t>陶明远</w:t>
            </w:r>
          </w:p>
          <w:p w14:paraId="5F0364FB">
            <w:pPr>
              <w:pStyle w:val="17"/>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董事会办公室副主任、证券事务代表</w:t>
            </w:r>
            <w:r>
              <w:rPr>
                <w:rFonts w:ascii="Times New Roman" w:hAnsi="Times New Roman"/>
                <w:lang w:eastAsia="zh-CN"/>
              </w:rPr>
              <w:t xml:space="preserve"> </w:t>
            </w:r>
            <w:r>
              <w:rPr>
                <w:rFonts w:hint="eastAsia" w:ascii="Times New Roman" w:hAnsi="Times New Roman"/>
                <w:lang w:eastAsia="zh-CN"/>
              </w:rPr>
              <w:t>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7"/>
              <w:autoSpaceDE/>
              <w:autoSpaceDN/>
              <w:jc w:val="center"/>
              <w:rPr>
                <w:rFonts w:ascii="Times New Roman" w:hAnsi="Times New Roman"/>
                <w:lang w:eastAsia="zh-CN"/>
              </w:rPr>
            </w:pPr>
            <w:r>
              <w:rPr>
                <w:rFonts w:hint="eastAsia" w:ascii="Times New Roman" w:hAnsi="Times New Roman"/>
                <w:b/>
                <w:bCs/>
                <w:lang w:eastAsia="zh-CN"/>
              </w:rPr>
              <w:t>投资者关系活动主要内容介绍</w:t>
            </w:r>
          </w:p>
        </w:tc>
        <w:tc>
          <w:tcPr>
            <w:tcW w:w="6124" w:type="dxa"/>
            <w:gridSpan w:val="2"/>
          </w:tcPr>
          <w:p w14:paraId="210056AA">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一、公司在轨道交通减振降噪领域深耕十多年，积累了哪些核心竞争优势？</w:t>
            </w:r>
          </w:p>
          <w:p w14:paraId="6B20077F">
            <w:pPr>
              <w:pStyle w:val="18"/>
              <w:numPr>
                <w:ilvl w:val="255"/>
                <w:numId w:val="0"/>
              </w:numPr>
              <w:overflowPunct w:val="0"/>
              <w:spacing w:before="120" w:beforeLines="50" w:after="120" w:afterLines="50"/>
              <w:ind w:firstLine="480" w:firstLineChars="200"/>
              <w:jc w:val="both"/>
              <w:rPr>
                <w:rFonts w:hint="eastAsia" w:ascii="宋体" w:hAnsi="宋体"/>
                <w:sz w:val="24"/>
                <w:szCs w:val="24"/>
              </w:rPr>
            </w:pPr>
            <w:r>
              <w:rPr>
                <w:rFonts w:hint="eastAsia" w:ascii="Times New Roman" w:hAnsi="Times New Roman"/>
                <w:sz w:val="24"/>
                <w:szCs w:val="24"/>
              </w:rPr>
              <w:t>回复：</w:t>
            </w:r>
          </w:p>
          <w:p w14:paraId="4F6EF39C">
            <w:pPr>
              <w:pStyle w:val="18"/>
              <w:numPr>
                <w:ilvl w:val="255"/>
                <w:numId w:val="0"/>
              </w:numPr>
              <w:overflowPunct w:val="0"/>
              <w:spacing w:before="120" w:beforeLines="50" w:after="120" w:afterLines="50"/>
              <w:ind w:firstLine="480" w:firstLineChars="200"/>
              <w:jc w:val="both"/>
              <w:rPr>
                <w:rFonts w:ascii="Times New Roman" w:hAnsi="Times New Roman"/>
                <w:sz w:val="24"/>
                <w:szCs w:val="24"/>
              </w:rPr>
            </w:pPr>
            <w:r>
              <w:rPr>
                <w:rFonts w:hint="eastAsia" w:ascii="宋体" w:hAnsi="宋体"/>
                <w:sz w:val="24"/>
                <w:szCs w:val="24"/>
              </w:rPr>
              <w:t>北京九州一轨环境科技股份有限公司（以下简称“公司”）</w:t>
            </w:r>
            <w:r>
              <w:rPr>
                <w:rFonts w:ascii="宋体" w:hAnsi="宋体"/>
                <w:sz w:val="24"/>
                <w:szCs w:val="24"/>
              </w:rPr>
              <w:t>自科研院所孵化而来，深耕声学领域十余年，</w:t>
            </w:r>
            <w:r>
              <w:rPr>
                <w:rStyle w:val="20"/>
                <w:rFonts w:ascii="Times New Roman" w:hAnsi="Times New Roman" w:cs="Times New Roman"/>
                <w:sz w:val="24"/>
                <w:szCs w:val="24"/>
              </w:rPr>
              <w:t>成功打破了外资在我国轨道交通减振降噪行业的垄断局面</w:t>
            </w:r>
            <w:r>
              <w:rPr>
                <w:rStyle w:val="20"/>
                <w:rFonts w:hint="eastAsia" w:ascii="Times New Roman" w:hAnsi="Times New Roman" w:cs="Times New Roman"/>
                <w:sz w:val="24"/>
                <w:szCs w:val="24"/>
              </w:rPr>
              <w:t>，实现了特殊等级减振降噪技术与产品的国产化替代。</w:t>
            </w:r>
            <w:r>
              <w:rPr>
                <w:rFonts w:ascii="宋体" w:hAnsi="宋体"/>
                <w:sz w:val="24"/>
                <w:szCs w:val="24"/>
              </w:rPr>
              <w:t>公司</w:t>
            </w:r>
            <w:bookmarkStart w:id="0" w:name="OLE_LINK4"/>
            <w:r>
              <w:rPr>
                <w:rFonts w:ascii="宋体" w:hAnsi="宋体"/>
                <w:sz w:val="24"/>
                <w:szCs w:val="24"/>
              </w:rPr>
              <w:t>两次获得</w:t>
            </w:r>
            <w:bookmarkEnd w:id="0"/>
            <w:r>
              <w:rPr>
                <w:rFonts w:ascii="宋体" w:hAnsi="宋体"/>
                <w:sz w:val="24"/>
                <w:szCs w:val="24"/>
              </w:rPr>
              <w:t>北京市科学技术奖一等奖，是国家级</w:t>
            </w:r>
            <w:bookmarkStart w:id="1" w:name="OLE_LINK5"/>
            <w:r>
              <w:rPr>
                <w:rFonts w:ascii="宋体" w:hAnsi="宋体"/>
                <w:sz w:val="24"/>
                <w:szCs w:val="24"/>
              </w:rPr>
              <w:t>专精特新</w:t>
            </w:r>
            <w:bookmarkEnd w:id="1"/>
            <w:r>
              <w:rPr>
                <w:rFonts w:hint="eastAsia" w:ascii="宋体" w:hAnsi="宋体"/>
                <w:sz w:val="24"/>
                <w:szCs w:val="24"/>
              </w:rPr>
              <w:t>“</w:t>
            </w:r>
            <w:r>
              <w:rPr>
                <w:rFonts w:ascii="宋体" w:hAnsi="宋体"/>
                <w:sz w:val="24"/>
                <w:szCs w:val="24"/>
              </w:rPr>
              <w:t>小巨人</w:t>
            </w:r>
            <w:r>
              <w:rPr>
                <w:rFonts w:hint="eastAsia" w:ascii="宋体" w:hAnsi="宋体"/>
                <w:sz w:val="24"/>
                <w:szCs w:val="24"/>
              </w:rPr>
              <w:t>”</w:t>
            </w:r>
            <w:r>
              <w:rPr>
                <w:rFonts w:ascii="宋体" w:hAnsi="宋体"/>
                <w:sz w:val="24"/>
                <w:szCs w:val="24"/>
              </w:rPr>
              <w:t>企业和国家知识产权优势企业，截至2026年6月</w:t>
            </w:r>
            <w:r>
              <w:rPr>
                <w:rFonts w:hint="eastAsia" w:ascii="宋体" w:hAnsi="宋体"/>
                <w:sz w:val="24"/>
                <w:szCs w:val="24"/>
              </w:rPr>
              <w:t>30日，公司</w:t>
            </w:r>
            <w:r>
              <w:rPr>
                <w:rFonts w:ascii="宋体" w:hAnsi="宋体"/>
                <w:sz w:val="24"/>
                <w:szCs w:val="24"/>
              </w:rPr>
              <w:t>累计拥有专利158项，其中发明专利41项。</w:t>
            </w:r>
          </w:p>
          <w:p w14:paraId="533B6402">
            <w:pPr>
              <w:pStyle w:val="18"/>
              <w:numPr>
                <w:ilvl w:val="255"/>
                <w:numId w:val="0"/>
              </w:numPr>
              <w:overflowPunct w:val="0"/>
              <w:spacing w:before="120" w:beforeLines="50" w:after="120" w:afterLines="50"/>
              <w:ind w:firstLine="480" w:firstLineChars="200"/>
              <w:jc w:val="both"/>
              <w:rPr>
                <w:rFonts w:hint="eastAsia" w:ascii="宋体" w:hAnsi="宋体"/>
                <w:sz w:val="24"/>
                <w:szCs w:val="24"/>
              </w:rPr>
            </w:pPr>
            <w:r>
              <w:rPr>
                <w:rFonts w:hint="eastAsia" w:ascii="宋体" w:hAnsi="宋体"/>
                <w:sz w:val="24"/>
                <w:szCs w:val="24"/>
              </w:rPr>
              <w:t>产品体系完整，覆盖全场景需求。公司拥有预制式钢弹簧浮置板、隔离式高弹性减振垫、聚氨酯减振垫等噪声振动物理防治产品；同时运用人工智能、声纹数据和状态监测体系，针对城市轨道交通等领域开展智慧运维和病害治理、结构安全的研究、开发和专业服务。</w:t>
            </w:r>
          </w:p>
          <w:p w14:paraId="00F90354">
            <w:pPr>
              <w:pStyle w:val="18"/>
              <w:numPr>
                <w:ilvl w:val="255"/>
                <w:numId w:val="0"/>
              </w:numPr>
              <w:overflowPunct w:val="0"/>
              <w:spacing w:before="120" w:beforeLines="50" w:after="120" w:afterLines="50"/>
              <w:ind w:firstLine="480" w:firstLineChars="200"/>
              <w:jc w:val="both"/>
              <w:rPr>
                <w:rFonts w:ascii="Times New Roman" w:hAnsi="Times New Roman"/>
                <w:sz w:val="24"/>
                <w:szCs w:val="24"/>
              </w:rPr>
            </w:pPr>
            <w:r>
              <w:rPr>
                <w:rFonts w:hint="eastAsia" w:ascii="Times New Roman" w:hAnsi="Times New Roman"/>
                <w:sz w:val="24"/>
                <w:szCs w:val="24"/>
              </w:rPr>
              <w:t>减振降噪产品市场覆盖广，项目经验丰富。截至2026年6月30日，公司主要产品目前已覆盖国内</w:t>
            </w:r>
            <w:bookmarkStart w:id="2" w:name="OLE_LINK6"/>
            <w:r>
              <w:rPr>
                <w:rFonts w:hint="eastAsia" w:ascii="Times New Roman" w:hAnsi="Times New Roman"/>
                <w:sz w:val="24"/>
                <w:szCs w:val="24"/>
              </w:rPr>
              <w:t>33个城市、160</w:t>
            </w:r>
            <w:bookmarkEnd w:id="2"/>
            <w:r>
              <w:rPr>
                <w:rFonts w:hint="eastAsia" w:ascii="宋体" w:hAnsi="宋体"/>
                <w:snapToGrid w:val="0"/>
                <w:color w:val="000000"/>
                <w:sz w:val="24"/>
                <w:szCs w:val="24"/>
                <w:lang w:bidi="ar"/>
              </w:rPr>
              <w:t>余条线路的轨道交通项目建设</w:t>
            </w:r>
            <w:r>
              <w:rPr>
                <w:rFonts w:hint="eastAsia" w:ascii="Times New Roman" w:hAnsi="Times New Roman"/>
                <w:sz w:val="24"/>
                <w:szCs w:val="24"/>
              </w:rPr>
              <w:t>，累计线路覆盖率超过40%，累计城市覆盖率超过50%，积累了丰富的项目实施经验。</w:t>
            </w:r>
          </w:p>
          <w:p w14:paraId="60065042">
            <w:pPr>
              <w:ind w:firstLine="480" w:firstLineChars="200"/>
              <w:jc w:val="both"/>
              <w:rPr>
                <w:rStyle w:val="20"/>
                <w:rFonts w:ascii="Times New Roman" w:hAnsi="Times New Roman" w:eastAsia="宋体" w:cs="Times New Roman"/>
                <w:snapToGrid/>
                <w:color w:val="111111"/>
                <w:sz w:val="24"/>
                <w:szCs w:val="24"/>
                <w:lang w:eastAsia="zh-CN"/>
              </w:rPr>
            </w:pPr>
            <w:r>
              <w:rPr>
                <w:rStyle w:val="20"/>
                <w:rFonts w:hint="eastAsia" w:ascii="Times New Roman" w:hAnsi="Times New Roman" w:eastAsia="宋体" w:cs="Times New Roman"/>
                <w:snapToGrid/>
                <w:color w:val="111111"/>
                <w:sz w:val="24"/>
                <w:szCs w:val="24"/>
                <w:lang w:eastAsia="zh-CN"/>
              </w:rPr>
              <w:t>公司依托已构建的覆盖“</w:t>
            </w:r>
            <w:bookmarkStart w:id="3" w:name="OLE_LINK7"/>
            <w:r>
              <w:rPr>
                <w:rStyle w:val="20"/>
                <w:rFonts w:hint="eastAsia" w:ascii="Times New Roman" w:hAnsi="Times New Roman" w:eastAsia="宋体" w:cs="Times New Roman"/>
                <w:snapToGrid/>
                <w:color w:val="111111"/>
                <w:sz w:val="24"/>
                <w:szCs w:val="24"/>
                <w:lang w:eastAsia="zh-CN"/>
              </w:rPr>
              <w:t>研发-设计-生产-实施-运维</w:t>
            </w:r>
            <w:bookmarkEnd w:id="3"/>
            <w:r>
              <w:rPr>
                <w:rStyle w:val="20"/>
                <w:rFonts w:hint="eastAsia" w:ascii="Times New Roman" w:hAnsi="Times New Roman" w:eastAsia="宋体" w:cs="Times New Roman"/>
                <w:snapToGrid/>
                <w:color w:val="111111"/>
                <w:sz w:val="24"/>
                <w:szCs w:val="24"/>
                <w:lang w:eastAsia="zh-CN"/>
              </w:rPr>
              <w:t>”全流程的一体化服务能力，形成从技术研发到工程落地的完整产业链闭环，这种全产业链布局不仅提升了公司的综合解决方案能力，更实现了从单一产品供应商向系统服务商的战略转型。在传统物理防治业务基础上，公司进一步向声纹监测、智慧运维等数字化服务延伸，能够为客户提供减振产品、状态监测、病害治理、</w:t>
            </w:r>
            <w:r>
              <w:rPr>
                <w:rStyle w:val="20"/>
                <w:rFonts w:hint="eastAsia" w:ascii="Times New Roman" w:hAnsi="Times New Roman" w:eastAsia="宋体" w:cs="Times New Roman"/>
                <w:snapToGrid/>
                <w:color w:val="111111"/>
                <w:sz w:val="24"/>
                <w:szCs w:val="24"/>
                <w:lang w:val="en-US" w:eastAsia="zh-CN"/>
              </w:rPr>
              <w:t>智慧运维</w:t>
            </w:r>
            <w:r>
              <w:rPr>
                <w:rStyle w:val="20"/>
                <w:rFonts w:hint="eastAsia" w:ascii="Times New Roman" w:hAnsi="Times New Roman" w:eastAsia="宋体" w:cs="Times New Roman"/>
                <w:snapToGrid/>
                <w:color w:val="111111"/>
                <w:sz w:val="24"/>
                <w:szCs w:val="24"/>
                <w:lang w:eastAsia="zh-CN"/>
              </w:rPr>
              <w:t>等全生命周期服务。</w:t>
            </w:r>
          </w:p>
          <w:p w14:paraId="0D416DAC">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二、请介绍公司目前的销售模式？</w:t>
            </w:r>
          </w:p>
          <w:p w14:paraId="18909C3D">
            <w:pPr>
              <w:pStyle w:val="18"/>
              <w:numPr>
                <w:ilvl w:val="255"/>
                <w:numId w:val="0"/>
              </w:numPr>
              <w:overflowPunct w:val="0"/>
              <w:spacing w:before="120" w:beforeLines="50" w:after="120" w:afterLines="50"/>
              <w:ind w:firstLine="480" w:firstLineChars="200"/>
              <w:jc w:val="both"/>
              <w:rPr>
                <w:rFonts w:hint="eastAsia" w:ascii="宋体" w:hAnsi="宋体"/>
                <w:b/>
                <w:bCs/>
                <w:spacing w:val="-3"/>
                <w:sz w:val="24"/>
                <w:szCs w:val="24"/>
              </w:rPr>
            </w:pPr>
            <w:r>
              <w:rPr>
                <w:rFonts w:hint="eastAsia" w:ascii="Times New Roman" w:hAnsi="Times New Roman"/>
                <w:sz w:val="24"/>
                <w:szCs w:val="24"/>
              </w:rPr>
              <w:t>回复：</w:t>
            </w:r>
          </w:p>
          <w:p w14:paraId="7884BEF1">
            <w:pPr>
              <w:pStyle w:val="18"/>
              <w:numPr>
                <w:ilvl w:val="255"/>
                <w:numId w:val="0"/>
              </w:numPr>
              <w:overflowPunct w:val="0"/>
              <w:spacing w:before="120" w:beforeLines="50" w:after="120" w:afterLines="50"/>
              <w:ind w:firstLine="480" w:firstLineChars="200"/>
              <w:jc w:val="both"/>
              <w:rPr>
                <w:rStyle w:val="20"/>
                <w:rFonts w:ascii="Times New Roman" w:hAnsi="Times New Roman" w:cs="Times New Roman"/>
                <w:sz w:val="24"/>
                <w:szCs w:val="24"/>
              </w:rPr>
            </w:pPr>
            <w:r>
              <w:rPr>
                <w:rStyle w:val="20"/>
                <w:rFonts w:hint="eastAsia" w:ascii="Times New Roman" w:hAnsi="Times New Roman" w:cs="Times New Roman"/>
                <w:sz w:val="24"/>
                <w:szCs w:val="24"/>
              </w:rPr>
              <w:t>公司已建立以北京总部为核心，覆盖广州、郑州、上海、深圳等重点区域的营销网络和售后服务体系。其中，北京总部设有销售管理部门，北京、广州、郑州设有子 公司，上海、深圳设有办事处，能够为客户提供市场拓展、项目对接、技术支持及售后服务等综合服务。</w:t>
            </w:r>
          </w:p>
          <w:p w14:paraId="44BE74C0">
            <w:pPr>
              <w:pStyle w:val="18"/>
              <w:numPr>
                <w:ilvl w:val="255"/>
                <w:numId w:val="0"/>
              </w:numPr>
              <w:overflowPunct w:val="0"/>
              <w:spacing w:before="120" w:beforeLines="50" w:after="120" w:afterLines="50"/>
              <w:ind w:firstLine="480" w:firstLineChars="200"/>
              <w:jc w:val="both"/>
              <w:rPr>
                <w:rStyle w:val="20"/>
                <w:rFonts w:ascii="Times New Roman" w:hAnsi="Times New Roman" w:cs="Times New Roman"/>
                <w:sz w:val="24"/>
                <w:szCs w:val="24"/>
              </w:rPr>
            </w:pPr>
            <w:r>
              <w:rPr>
                <w:rStyle w:val="20"/>
                <w:rFonts w:hint="eastAsia" w:ascii="Times New Roman" w:hAnsi="Times New Roman" w:cs="Times New Roman"/>
                <w:sz w:val="24"/>
                <w:szCs w:val="24"/>
              </w:rPr>
              <w:t>随着行业竞争加剧及客户需求不断升级，公司持续推进销售模式由单一产品销售向综合解决方案销售转变，围绕客户在减振降噪、声纹监测、智慧运维等方面的实际 需求，整合公司产品、技术和服务资源，为客户提供定制化、系统化的技术服务方案。同时，公司针对不同业务板块设立专项行动小组，推动销售团队与技术团队协同联动，共同挖掘市场机会，提升客户需求响应能力和项目获取能力。</w:t>
            </w:r>
          </w:p>
          <w:p w14:paraId="799135DB">
            <w:pPr>
              <w:ind w:firstLine="480" w:firstLineChars="200"/>
              <w:jc w:val="both"/>
              <w:rPr>
                <w:rFonts w:hint="eastAsia" w:ascii="宋体" w:hAnsi="宋体" w:eastAsia="宋体" w:cs="宋体"/>
                <w:b/>
                <w:lang w:eastAsia="zh-CN" w:bidi="ar"/>
              </w:rPr>
            </w:pPr>
            <w:r>
              <w:rPr>
                <w:rFonts w:hint="eastAsia" w:ascii="宋体" w:hAnsi="宋体" w:eastAsia="宋体" w:cs="宋体"/>
                <w:sz w:val="24"/>
                <w:szCs w:val="24"/>
                <w:lang w:eastAsia="zh-CN" w:bidi="ar"/>
              </w:rPr>
              <w:t>在深耕减振降噪及智慧运维等业务的同时，公司通过收购苏州晶禧半导体科技有限公司（以下简称“晶禧半导体”）切入精密加工领域，</w:t>
            </w:r>
            <w:r>
              <w:rPr>
                <w:rStyle w:val="20"/>
                <w:rFonts w:hint="eastAsia" w:ascii="Times New Roman" w:hAnsi="Times New Roman" w:eastAsia="宋体" w:cs="Times New Roman"/>
                <w:snapToGrid/>
                <w:color w:val="111111"/>
                <w:sz w:val="24"/>
                <w:szCs w:val="24"/>
                <w:lang w:eastAsia="zh-CN"/>
              </w:rPr>
              <w:t>晶禧半导体的销售模式为：在客户芯片结构设计阶段即介入评估与方案优化，从源头保障后续切割环节可精准匹配客户产品的量产需求，通过多轮认证、商务洽谈等方式获得订单后，晶禧半导体会根据客户订单需求，提供晶圆高精度隐形切割、晶圆减薄、芯片分选检测等全流程、一站式、专业化精密加工解决方案。</w:t>
            </w:r>
          </w:p>
          <w:p w14:paraId="2E35FB7A">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三、公司此次实施股份回购的具体安排是什么？</w:t>
            </w:r>
          </w:p>
          <w:p w14:paraId="3B926280">
            <w:pPr>
              <w:pStyle w:val="18"/>
              <w:numPr>
                <w:ilvl w:val="255"/>
                <w:numId w:val="0"/>
              </w:numPr>
              <w:overflowPunct w:val="0"/>
              <w:spacing w:before="120" w:beforeLines="50" w:after="120" w:afterLines="50"/>
              <w:ind w:right="23" w:firstLine="520" w:firstLineChars="200"/>
              <w:rPr>
                <w:rFonts w:ascii="Times New Roman" w:hAnsi="Times New Roman"/>
                <w:szCs w:val="24"/>
                <w:lang w:bidi="ar"/>
              </w:rPr>
            </w:pPr>
            <w:r>
              <w:rPr>
                <w:rFonts w:hint="eastAsia" w:ascii="Times New Roman" w:hAnsi="Times New Roman"/>
                <w:szCs w:val="24"/>
                <w:lang w:bidi="ar"/>
              </w:rPr>
              <w:t>回复：</w:t>
            </w:r>
          </w:p>
          <w:p w14:paraId="60FD06ED">
            <w:pPr>
              <w:pStyle w:val="18"/>
              <w:numPr>
                <w:ilvl w:val="255"/>
                <w:numId w:val="0"/>
              </w:numPr>
              <w:overflowPunct w:val="0"/>
              <w:spacing w:before="120" w:beforeLines="50" w:after="120" w:afterLines="50"/>
              <w:ind w:firstLine="480" w:firstLineChars="200"/>
              <w:jc w:val="both"/>
              <w:rPr>
                <w:rFonts w:ascii="Times New Roman" w:hAnsi="Times New Roman"/>
                <w:sz w:val="24"/>
                <w:szCs w:val="24"/>
                <w:lang w:bidi="ar"/>
              </w:rPr>
            </w:pPr>
            <w:r>
              <w:rPr>
                <w:rFonts w:hint="eastAsia" w:ascii="Times New Roman" w:hAnsi="Times New Roman"/>
                <w:sz w:val="24"/>
                <w:szCs w:val="24"/>
                <w:lang w:bidi="ar"/>
              </w:rPr>
              <w:t>公司于2026年10月16日召开第三届董事会第十三次会议，审议通过了《关于第三期以集中竞价交易方式回购公司股份方案的议案》，公司拟</w:t>
            </w:r>
            <w:r>
              <w:rPr>
                <w:rFonts w:hint="eastAsia" w:ascii="Times New Roman" w:hAnsi="Times New Roman"/>
                <w:snapToGrid w:val="0"/>
                <w:color w:val="000000"/>
                <w:sz w:val="24"/>
                <w:szCs w:val="24"/>
                <w:lang w:bidi="ar"/>
              </w:rPr>
              <w:t>通过集中竞价交易方式回购公司部分人民币普通股（A股）股份。本次回购股份金额不低于人民币800.00万元（含），不超过人民币1,500.00万元（含）；回购股份价格不超过人民币150.00元/股（含）。本次回购的股份拟在未来适宜时机全部用于员工持股计划或股权激励，推动员工利益与公司及股东利益相结合，促进公司长远发展。</w:t>
            </w:r>
            <w:r>
              <w:rPr>
                <w:rFonts w:hint="eastAsia" w:ascii="Times New Roman" w:hAnsi="Times New Roman"/>
                <w:sz w:val="24"/>
                <w:szCs w:val="24"/>
                <w:lang w:bidi="ar"/>
              </w:rPr>
              <w:t>具体内容详见公司于2026年10月17日披露《北京九州一轨环境科技股份有限公司</w:t>
            </w:r>
            <w:bookmarkStart w:id="4" w:name="OLE_LINK8"/>
            <w:r>
              <w:rPr>
                <w:rFonts w:hint="eastAsia" w:ascii="Times New Roman" w:hAnsi="Times New Roman"/>
                <w:sz w:val="24"/>
                <w:szCs w:val="24"/>
                <w:lang w:bidi="ar"/>
              </w:rPr>
              <w:t>关于第三期以集中竞价交易方式回购公司股份方案的公告</w:t>
            </w:r>
            <w:bookmarkEnd w:id="4"/>
            <w:r>
              <w:rPr>
                <w:rFonts w:hint="eastAsia" w:ascii="Times New Roman" w:hAnsi="Times New Roman"/>
                <w:sz w:val="24"/>
                <w:szCs w:val="24"/>
                <w:lang w:bidi="ar"/>
              </w:rPr>
              <w:t>》（公告编号：2026-067）。</w:t>
            </w:r>
          </w:p>
          <w:p w14:paraId="7E05BC77">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四、晶禧半导体的核心竞争力是什么？</w:t>
            </w:r>
          </w:p>
          <w:p w14:paraId="2A6A12FF">
            <w:pPr>
              <w:pStyle w:val="18"/>
              <w:numPr>
                <w:ilvl w:val="255"/>
                <w:numId w:val="0"/>
              </w:numPr>
              <w:overflowPunct w:val="0"/>
              <w:spacing w:before="120" w:beforeLines="50" w:after="120" w:afterLines="50"/>
              <w:ind w:firstLine="480" w:firstLineChars="200"/>
              <w:jc w:val="both"/>
              <w:rPr>
                <w:rFonts w:hint="eastAsia"/>
              </w:rPr>
            </w:pPr>
            <w:r>
              <w:rPr>
                <w:rFonts w:hint="eastAsia" w:ascii="Times New Roman" w:hAnsi="Times New Roman"/>
                <w:sz w:val="24"/>
                <w:szCs w:val="24"/>
              </w:rPr>
              <w:t>回复：</w:t>
            </w:r>
          </w:p>
          <w:p w14:paraId="31F06020">
            <w:pPr>
              <w:pStyle w:val="18"/>
              <w:numPr>
                <w:ilvl w:val="255"/>
                <w:numId w:val="0"/>
              </w:numPr>
              <w:overflowPunct w:val="0"/>
              <w:spacing w:before="120" w:beforeLines="50" w:after="120" w:afterLines="50"/>
              <w:ind w:firstLine="480" w:firstLineChars="200"/>
              <w:jc w:val="both"/>
              <w:rPr>
                <w:rFonts w:ascii="Times New Roman" w:hAnsi="Times New Roman"/>
                <w:b/>
                <w:bCs/>
                <w:szCs w:val="24"/>
              </w:rPr>
            </w:pPr>
            <w:r>
              <w:rPr>
                <w:rStyle w:val="20"/>
                <w:rFonts w:hint="eastAsia" w:ascii="Times New Roman" w:hAnsi="Times New Roman" w:cs="Times New Roman"/>
                <w:sz w:val="24"/>
                <w:szCs w:val="24"/>
              </w:rPr>
              <w:t>在核心技术方面，晶禧半导体凭借业界领先的良率控制水平与“设计阶段介入”的深度协同服务模式，在客户芯片设计阶段即介入工艺评估与优化，从源头保障产品性能指标，与客户实现深度绑定，成为激光隐形切割技术在 光模块</w:t>
            </w:r>
            <w:r>
              <w:rPr>
                <w:rStyle w:val="20"/>
                <w:rFonts w:ascii="Times New Roman" w:hAnsi="Times New Roman" w:cs="Times New Roman"/>
                <w:sz w:val="24"/>
                <w:szCs w:val="24"/>
              </w:rPr>
              <w:t>/</w:t>
            </w:r>
            <w:r>
              <w:rPr>
                <w:rStyle w:val="20"/>
                <w:rFonts w:hint="eastAsia" w:ascii="Times New Roman" w:hAnsi="Times New Roman" w:cs="Times New Roman"/>
                <w:sz w:val="24"/>
                <w:szCs w:val="24"/>
              </w:rPr>
              <w:t>光通信领域的重要产业化应用平台；在客户资源与市场地位方面，晶禧半导体自设立以来，凭借优异的工艺精度与制程稳定性，持续为硅光芯片、光模块领域头部企业提供硅光晶圆高精度隐形切割业务，服务专业性得到了客户的认可；在生产制造与交付能力方面，晶禧半导体已构建起涵盖晶圆切割、减薄、分选检测等关键环节的全链条精密加工量产能力，形成了从工艺开发到规模化交付的完整闭环，能够为客户提供一站式精密加工解决方案。</w:t>
            </w:r>
          </w:p>
          <w:p w14:paraId="46A307E3">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五、请介绍晶禧半导体、通用半导体的基本情况，以及这两家公司的业务协同性如何？</w:t>
            </w:r>
          </w:p>
          <w:p w14:paraId="7877D811">
            <w:pPr>
              <w:pStyle w:val="18"/>
              <w:numPr>
                <w:ilvl w:val="255"/>
                <w:numId w:val="0"/>
              </w:numPr>
              <w:overflowPunct w:val="0"/>
              <w:spacing w:before="120" w:beforeLines="50" w:after="120" w:afterLines="50"/>
              <w:ind w:firstLine="480" w:firstLineChars="200"/>
              <w:jc w:val="both"/>
              <w:rPr>
                <w:rFonts w:hint="eastAsia" w:ascii="宋体" w:hAnsi="宋体"/>
                <w:sz w:val="24"/>
                <w:szCs w:val="24"/>
              </w:rPr>
            </w:pPr>
            <w:r>
              <w:rPr>
                <w:rFonts w:hint="eastAsia" w:ascii="宋体" w:hAnsi="宋体"/>
                <w:sz w:val="24"/>
                <w:szCs w:val="24"/>
              </w:rPr>
              <w:t>回复：</w:t>
            </w:r>
          </w:p>
          <w:p w14:paraId="122FC12B">
            <w:pPr>
              <w:pStyle w:val="18"/>
              <w:numPr>
                <w:ilvl w:val="255"/>
                <w:numId w:val="0"/>
              </w:numPr>
              <w:overflowPunct w:val="0"/>
              <w:spacing w:before="120" w:beforeLines="50" w:after="120" w:afterLines="50"/>
              <w:ind w:firstLine="480" w:firstLineChars="200"/>
              <w:jc w:val="both"/>
              <w:rPr>
                <w:rFonts w:ascii="Times New Roman" w:hAnsi="Times New Roman"/>
                <w:sz w:val="24"/>
                <w:szCs w:val="24"/>
              </w:rPr>
            </w:pPr>
            <w:r>
              <w:rPr>
                <w:rFonts w:hint="eastAsia" w:ascii="Times New Roman" w:hAnsi="Times New Roman"/>
                <w:snapToGrid w:val="0"/>
                <w:color w:val="000000"/>
                <w:sz w:val="24"/>
                <w:szCs w:val="24"/>
                <w:lang w:bidi="ar"/>
              </w:rPr>
              <w:t>公司</w:t>
            </w:r>
            <w:r>
              <w:rPr>
                <w:rFonts w:hint="eastAsia" w:ascii="Times New Roman" w:hAnsi="Times New Roman"/>
                <w:snapToGrid w:val="0"/>
                <w:color w:val="000000"/>
                <w:sz w:val="24"/>
                <w:szCs w:val="24"/>
                <w:lang w:val="en-US" w:eastAsia="zh-CN" w:bidi="ar"/>
              </w:rPr>
              <w:t>已</w:t>
            </w:r>
            <w:r>
              <w:rPr>
                <w:rFonts w:hint="eastAsia" w:ascii="Times New Roman" w:hAnsi="Times New Roman"/>
                <w:snapToGrid w:val="0"/>
                <w:color w:val="000000"/>
                <w:sz w:val="24"/>
                <w:szCs w:val="24"/>
                <w:lang w:bidi="ar"/>
              </w:rPr>
              <w:t>完成对晶禧半导体100%股权收购，</w:t>
            </w:r>
            <w:r>
              <w:rPr>
                <w:rFonts w:hint="eastAsia" w:ascii="Times New Roman" w:hAnsi="Times New Roman"/>
                <w:snapToGrid w:val="0"/>
                <w:color w:val="000000"/>
                <w:sz w:val="24"/>
                <w:szCs w:val="24"/>
                <w:lang w:val="en-US" w:eastAsia="zh-CN" w:bidi="ar"/>
              </w:rPr>
              <w:t>于2026年</w:t>
            </w:r>
            <w:r>
              <w:rPr>
                <w:rFonts w:hint="eastAsia" w:ascii="Times New Roman" w:hAnsi="Times New Roman"/>
                <w:snapToGrid w:val="0"/>
                <w:color w:val="000000"/>
                <w:sz w:val="24"/>
                <w:szCs w:val="24"/>
                <w:lang w:bidi="ar"/>
              </w:rPr>
              <w:t>6月10日完成工商变更，晶禧半导体成为全资子公司并纳入合并报表范围；收购后公司对其增资，截至7月27日工商变更手续完成之日，注册资本已增至5,970万元。</w:t>
            </w:r>
            <w:r>
              <w:rPr>
                <w:rFonts w:hint="eastAsia" w:ascii="Times New Roman" w:hAnsi="Times New Roman"/>
                <w:sz w:val="24"/>
                <w:szCs w:val="24"/>
              </w:rPr>
              <w:t>晶禧半导体主要从事半导体晶圆及器件的加工及制造服务，核心聚焦先进激光隐形切割加工服务，可为客户提供半导体晶圆高精度隐形切割（分割）、开槽、分选等专业业务。</w:t>
            </w:r>
          </w:p>
          <w:p w14:paraId="240A3723">
            <w:pPr>
              <w:pStyle w:val="18"/>
              <w:numPr>
                <w:ilvl w:val="255"/>
                <w:numId w:val="0"/>
              </w:numPr>
              <w:overflowPunct w:val="0"/>
              <w:spacing w:before="120" w:beforeLines="50" w:after="120" w:afterLines="50"/>
              <w:ind w:firstLine="480" w:firstLineChars="200"/>
              <w:jc w:val="both"/>
              <w:rPr>
                <w:rFonts w:hint="eastAsia" w:ascii="Times New Roman" w:hAnsi="Times New Roman"/>
                <w:snapToGrid w:val="0"/>
                <w:color w:val="000000"/>
                <w:sz w:val="24"/>
                <w:szCs w:val="24"/>
                <w:lang w:bidi="ar"/>
              </w:rPr>
            </w:pPr>
            <w:r>
              <w:rPr>
                <w:rFonts w:hint="eastAsia" w:ascii="Times New Roman" w:hAnsi="Times New Roman"/>
                <w:snapToGrid w:val="0"/>
                <w:color w:val="000000"/>
                <w:sz w:val="24"/>
                <w:szCs w:val="24"/>
                <w:lang w:bidi="ar"/>
              </w:rPr>
              <w:t>公司持有江苏通用半导体有限公司（以下简称“通用半导体”）6.47%股权，</w:t>
            </w:r>
            <w:r>
              <w:rPr>
                <w:rFonts w:hint="eastAsia" w:ascii="Times New Roman" w:hAnsi="Times New Roman"/>
                <w:snapToGrid w:val="0"/>
                <w:color w:val="000000"/>
                <w:sz w:val="24"/>
                <w:szCs w:val="24"/>
                <w:lang w:val="en-US" w:eastAsia="zh-CN" w:bidi="ar"/>
              </w:rPr>
              <w:t>于2026年8月20日完成工商变更，</w:t>
            </w:r>
            <w:r>
              <w:rPr>
                <w:rFonts w:hint="eastAsia" w:ascii="Times New Roman" w:hAnsi="Times New Roman"/>
                <w:snapToGrid w:val="0"/>
                <w:color w:val="000000"/>
                <w:sz w:val="24"/>
                <w:szCs w:val="24"/>
                <w:lang w:bidi="ar"/>
              </w:rPr>
              <w:t>通用半导体系高端半导体产业装备与材料的研发制造商。</w:t>
            </w:r>
            <w:r>
              <w:rPr>
                <w:rFonts w:hint="eastAsia" w:ascii="Times New Roman" w:hAnsi="Times New Roman"/>
                <w:snapToGrid w:val="0"/>
                <w:color w:val="000000"/>
                <w:sz w:val="24"/>
                <w:szCs w:val="24"/>
                <w:lang w:val="en-US" w:eastAsia="zh-CN" w:bidi="ar"/>
              </w:rPr>
              <w:t>鉴于</w:t>
            </w:r>
            <w:r>
              <w:rPr>
                <w:rFonts w:ascii="宋体" w:hAnsi="宋体" w:eastAsia="宋体" w:cs="宋体"/>
                <w:sz w:val="24"/>
                <w:szCs w:val="24"/>
              </w:rPr>
              <w:t>晶禧半导体生产所需部分专用核心设备供应资源相对集中，参股通用半导体，可在设备供给、工艺适配等方面</w:t>
            </w:r>
            <w:r>
              <w:rPr>
                <w:rFonts w:hint="eastAsia" w:ascii="宋体" w:hAnsi="宋体" w:cs="宋体"/>
                <w:sz w:val="24"/>
                <w:szCs w:val="24"/>
                <w:lang w:val="en-US" w:eastAsia="zh-CN"/>
              </w:rPr>
              <w:t>为晶禧半导体提供</w:t>
            </w:r>
            <w:r>
              <w:rPr>
                <w:rFonts w:ascii="宋体" w:hAnsi="宋体" w:eastAsia="宋体" w:cs="宋体"/>
                <w:sz w:val="24"/>
                <w:szCs w:val="24"/>
              </w:rPr>
              <w:t>协同支撑。</w:t>
            </w:r>
          </w:p>
          <w:p w14:paraId="75C1A90B">
            <w:pPr>
              <w:pStyle w:val="18"/>
              <w:numPr>
                <w:ilvl w:val="255"/>
                <w:numId w:val="0"/>
              </w:numPr>
              <w:overflowPunct w:val="0"/>
              <w:spacing w:before="120" w:beforeLines="50" w:after="120" w:afterLines="50"/>
              <w:ind w:firstLine="482" w:firstLineChars="200"/>
              <w:jc w:val="both"/>
              <w:rPr>
                <w:rFonts w:ascii="Times New Roman" w:hAnsi="Times New Roman"/>
                <w:b/>
                <w:bCs/>
                <w:sz w:val="24"/>
                <w:szCs w:val="24"/>
              </w:rPr>
            </w:pPr>
            <w:r>
              <w:rPr>
                <w:rFonts w:hint="eastAsia" w:ascii="Times New Roman" w:hAnsi="Times New Roman"/>
                <w:b/>
                <w:bCs/>
                <w:sz w:val="24"/>
                <w:szCs w:val="24"/>
              </w:rPr>
              <w:t>六、请介绍公司未来业务增长点？</w:t>
            </w:r>
          </w:p>
          <w:p w14:paraId="1D8E566D">
            <w:pPr>
              <w:pStyle w:val="18"/>
              <w:numPr>
                <w:ilvl w:val="255"/>
                <w:numId w:val="0"/>
              </w:numPr>
              <w:overflowPunct w:val="0"/>
              <w:spacing w:before="120" w:beforeLines="50" w:after="120" w:afterLines="50"/>
              <w:ind w:firstLine="480" w:firstLineChars="200"/>
              <w:jc w:val="both"/>
              <w:rPr>
                <w:rFonts w:hint="eastAsia" w:ascii="宋体" w:hAnsi="宋体"/>
                <w:sz w:val="24"/>
                <w:szCs w:val="24"/>
              </w:rPr>
            </w:pPr>
            <w:r>
              <w:rPr>
                <w:rFonts w:hint="eastAsia" w:ascii="宋体" w:hAnsi="宋体"/>
                <w:sz w:val="24"/>
                <w:szCs w:val="24"/>
              </w:rPr>
              <w:t>回复：</w:t>
            </w:r>
          </w:p>
          <w:p w14:paraId="1ED6A6FC">
            <w:pPr>
              <w:pStyle w:val="18"/>
              <w:spacing w:before="120" w:beforeLines="50" w:after="120" w:afterLines="50"/>
              <w:ind w:left="23" w:right="23" w:firstLine="480" w:firstLineChars="200"/>
              <w:jc w:val="both"/>
              <w:rPr>
                <w:rFonts w:ascii="Times New Roman" w:hAnsi="Times New Roman"/>
                <w:sz w:val="24"/>
                <w:szCs w:val="24"/>
              </w:rPr>
            </w:pPr>
            <w:r>
              <w:rPr>
                <w:rFonts w:ascii="Times New Roman" w:hAnsi="Times New Roman"/>
                <w:sz w:val="24"/>
                <w:szCs w:val="24"/>
              </w:rPr>
              <w:t>公司未来增长点主要</w:t>
            </w:r>
            <w:r>
              <w:rPr>
                <w:rFonts w:hint="eastAsia" w:ascii="Times New Roman" w:hAnsi="Times New Roman"/>
                <w:sz w:val="24"/>
                <w:szCs w:val="24"/>
                <w:lang w:val="en-US" w:eastAsia="zh-CN"/>
              </w:rPr>
              <w:t>为以下</w:t>
            </w:r>
            <w:r>
              <w:rPr>
                <w:rFonts w:ascii="Times New Roman" w:hAnsi="Times New Roman"/>
                <w:sz w:val="24"/>
                <w:szCs w:val="24"/>
              </w:rPr>
              <w:t>方面：</w:t>
            </w:r>
            <w:r>
              <w:rPr>
                <w:rFonts w:hint="eastAsia" w:ascii="Times New Roman" w:hAnsi="Times New Roman"/>
                <w:sz w:val="24"/>
                <w:szCs w:val="24"/>
                <w:lang w:val="en-US" w:eastAsia="zh-CN"/>
              </w:rPr>
              <w:t>一是持续深化“一核两翼多板块”战略布局。噪声控制物理防治类业务精准聚焦重点城市与核心项目，稳固市场基本盘，关注既有城轨线路噪声投诉问题，依托</w:t>
            </w:r>
            <w:r>
              <w:rPr>
                <w:rFonts w:ascii="宋体" w:hAnsi="宋体" w:eastAsia="宋体" w:cs="宋体"/>
                <w:sz w:val="24"/>
                <w:szCs w:val="24"/>
              </w:rPr>
              <w:t>噪声污染防治相关政策法规，</w:t>
            </w:r>
            <w:r>
              <w:rPr>
                <w:rFonts w:hint="eastAsia" w:ascii="Times New Roman" w:hAnsi="Times New Roman"/>
                <w:sz w:val="24"/>
                <w:szCs w:val="24"/>
                <w:lang w:val="en-US" w:eastAsia="zh-CN"/>
              </w:rPr>
              <w:t>为业主方提供以目标结果为导向的针对既有线路噪声振动控制的一体化服务，以数字化技术赋能既有线智慧升级；</w:t>
            </w:r>
            <w:r>
              <w:rPr>
                <w:rFonts w:hint="eastAsia" w:ascii="宋体" w:hAnsi="宋体" w:cs="宋体"/>
                <w:sz w:val="24"/>
                <w:szCs w:val="24"/>
                <w:lang w:val="en-US" w:eastAsia="zh-CN"/>
              </w:rPr>
              <w:t>二是公司将以此次收购晶禧半导体产业整合为契机，立足核心业务，聚焦技术创新，深化多元布局，推动公司实现高质量可持续发展。</w:t>
            </w:r>
            <w:r>
              <w:rPr>
                <w:rFonts w:ascii="宋体" w:hAnsi="宋体" w:eastAsia="宋体" w:cs="宋体"/>
                <w:sz w:val="24"/>
                <w:szCs w:val="24"/>
              </w:rPr>
              <w:t>公司依托晶禧半导体在高精度激光隐切、晶圆一站式加工等</w:t>
            </w:r>
            <w:r>
              <w:rPr>
                <w:rFonts w:hint="eastAsia" w:ascii="宋体" w:hAnsi="宋体" w:cs="宋体"/>
                <w:sz w:val="24"/>
                <w:szCs w:val="24"/>
                <w:lang w:val="en-US" w:eastAsia="zh-CN"/>
              </w:rPr>
              <w:t>领</w:t>
            </w:r>
            <w:r>
              <w:rPr>
                <w:rFonts w:hint="eastAsia" w:ascii="宋体" w:hAnsi="宋体" w:eastAsia="宋体" w:cs="宋体"/>
                <w:sz w:val="24"/>
                <w:szCs w:val="24"/>
                <w:lang w:val="en-US" w:eastAsia="zh-CN"/>
              </w:rPr>
              <w:t>域的核心技术与产业基础</w:t>
            </w:r>
            <w:r>
              <w:rPr>
                <w:rFonts w:ascii="宋体" w:hAnsi="宋体" w:eastAsia="宋体" w:cs="宋体"/>
                <w:sz w:val="24"/>
                <w:szCs w:val="24"/>
              </w:rPr>
              <w:t>，</w:t>
            </w:r>
            <w:r>
              <w:rPr>
                <w:rFonts w:hint="eastAsia" w:ascii="宋体" w:hAnsi="宋体" w:eastAsia="宋体" w:cs="宋体"/>
                <w:sz w:val="24"/>
                <w:szCs w:val="24"/>
                <w:lang w:val="en-US" w:eastAsia="zh-CN"/>
              </w:rPr>
              <w:t>以及其在800G/1.6T光模块产线的成熟导入经验，</w:t>
            </w:r>
            <w:r>
              <w:rPr>
                <w:rFonts w:ascii="宋体" w:hAnsi="宋体" w:eastAsia="宋体" w:cs="宋体"/>
                <w:sz w:val="24"/>
                <w:szCs w:val="24"/>
              </w:rPr>
              <w:t>推动</w:t>
            </w:r>
            <w:r>
              <w:rPr>
                <w:rFonts w:hint="eastAsia" w:ascii="宋体" w:hAnsi="宋体" w:cs="宋体"/>
                <w:sz w:val="24"/>
                <w:szCs w:val="24"/>
                <w:lang w:val="en-US" w:eastAsia="zh-CN"/>
              </w:rPr>
              <w:t>公司</w:t>
            </w:r>
            <w:r>
              <w:rPr>
                <w:rFonts w:ascii="宋体" w:hAnsi="宋体" w:eastAsia="宋体" w:cs="宋体"/>
                <w:sz w:val="24"/>
                <w:szCs w:val="24"/>
              </w:rPr>
              <w:t>业务向光纤及配套半导体器件</w:t>
            </w:r>
            <w:r>
              <w:rPr>
                <w:rFonts w:hint="eastAsia" w:ascii="宋体" w:hAnsi="宋体" w:eastAsia="宋体" w:cs="宋体"/>
                <w:sz w:val="24"/>
                <w:szCs w:val="24"/>
                <w:lang w:val="en-US" w:eastAsia="zh-CN"/>
              </w:rPr>
              <w:t>、光模块加工</w:t>
            </w:r>
            <w:r>
              <w:rPr>
                <w:rFonts w:ascii="宋体" w:hAnsi="宋体" w:eastAsia="宋体" w:cs="宋体"/>
                <w:sz w:val="24"/>
                <w:szCs w:val="24"/>
              </w:rPr>
              <w:t>领域延伸，</w:t>
            </w:r>
            <w:r>
              <w:rPr>
                <w:rFonts w:hint="eastAsia" w:ascii="宋体" w:hAnsi="宋体" w:cs="宋体"/>
                <w:sz w:val="24"/>
                <w:szCs w:val="24"/>
                <w:lang w:val="en-US" w:eastAsia="zh-CN"/>
              </w:rPr>
              <w:t>深度</w:t>
            </w:r>
            <w:r>
              <w:rPr>
                <w:rFonts w:ascii="宋体" w:hAnsi="宋体" w:eastAsia="宋体" w:cs="宋体"/>
                <w:sz w:val="24"/>
                <w:szCs w:val="24"/>
              </w:rPr>
              <w:t>打通</w:t>
            </w:r>
            <w:r>
              <w:rPr>
                <w:rFonts w:hint="eastAsia" w:ascii="宋体" w:hAnsi="宋体" w:cs="宋体"/>
                <w:sz w:val="24"/>
                <w:szCs w:val="24"/>
                <w:lang w:eastAsia="zh-CN"/>
              </w:rPr>
              <w:t>“</w:t>
            </w:r>
            <w:r>
              <w:rPr>
                <w:rFonts w:ascii="宋体" w:hAnsi="宋体" w:eastAsia="宋体" w:cs="宋体"/>
                <w:sz w:val="24"/>
                <w:szCs w:val="24"/>
              </w:rPr>
              <w:t>激光切割工艺—光纤传感芯片—声纹监测终端</w:t>
            </w:r>
            <w:r>
              <w:rPr>
                <w:rFonts w:hint="eastAsia" w:ascii="宋体" w:hAnsi="宋体" w:cs="宋体"/>
                <w:sz w:val="24"/>
                <w:szCs w:val="24"/>
                <w:lang w:eastAsia="zh-CN"/>
              </w:rPr>
              <w:t>”</w:t>
            </w:r>
            <w:r>
              <w:rPr>
                <w:rFonts w:ascii="宋体" w:hAnsi="宋体" w:eastAsia="宋体" w:cs="宋体"/>
                <w:sz w:val="24"/>
                <w:szCs w:val="24"/>
              </w:rPr>
              <w:t>产业链条，构建</w:t>
            </w:r>
            <w:r>
              <w:rPr>
                <w:rFonts w:hint="eastAsia" w:ascii="宋体" w:hAnsi="宋体" w:cs="宋体"/>
                <w:sz w:val="24"/>
                <w:szCs w:val="24"/>
                <w:lang w:eastAsia="zh-CN"/>
              </w:rPr>
              <w:t>“</w:t>
            </w:r>
            <w:r>
              <w:rPr>
                <w:rFonts w:ascii="宋体" w:hAnsi="宋体" w:eastAsia="宋体" w:cs="宋体"/>
                <w:sz w:val="24"/>
                <w:szCs w:val="24"/>
              </w:rPr>
              <w:t>感知—传输—分析—决策</w:t>
            </w:r>
            <w:r>
              <w:rPr>
                <w:rFonts w:hint="eastAsia" w:ascii="宋体" w:hAnsi="宋体" w:cs="宋体"/>
                <w:sz w:val="24"/>
                <w:szCs w:val="24"/>
                <w:lang w:eastAsia="zh-CN"/>
              </w:rPr>
              <w:t>”</w:t>
            </w:r>
            <w:r>
              <w:rPr>
                <w:rFonts w:ascii="宋体" w:hAnsi="宋体" w:eastAsia="宋体" w:cs="宋体"/>
                <w:sz w:val="24"/>
                <w:szCs w:val="24"/>
              </w:rPr>
              <w:t>全链条智能监测生态。</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7"/>
              <w:autoSpaceDE/>
              <w:autoSpaceDN/>
              <w:jc w:val="center"/>
              <w:rPr>
                <w:rFonts w:ascii="Times New Roman" w:hAnsi="Times New Roman"/>
                <w:b/>
                <w:bCs/>
                <w:lang w:eastAsia="zh-CN"/>
              </w:rPr>
            </w:pPr>
            <w:r>
              <w:rPr>
                <w:rFonts w:hint="eastAsia" w:ascii="Times New Roman" w:hAnsi="Times New Roman"/>
                <w:b/>
                <w:bCs/>
                <w:lang w:eastAsia="zh-CN"/>
              </w:rPr>
              <w:t>是否涉及应当披露的重大信息</w:t>
            </w:r>
          </w:p>
        </w:tc>
        <w:tc>
          <w:tcPr>
            <w:tcW w:w="6124" w:type="dxa"/>
            <w:gridSpan w:val="2"/>
          </w:tcPr>
          <w:p w14:paraId="3EF3A0BD">
            <w:pPr>
              <w:pStyle w:val="18"/>
              <w:spacing w:before="120" w:beforeLines="50" w:after="120" w:afterLines="50"/>
              <w:ind w:left="23" w:right="23"/>
              <w:jc w:val="center"/>
              <w:rPr>
                <w:rFonts w:ascii="Times New Roman" w:hAnsi="Times New Roman"/>
                <w:sz w:val="24"/>
                <w:szCs w:val="24"/>
              </w:rPr>
            </w:pPr>
            <w:r>
              <w:rPr>
                <w:rFonts w:hint="eastAsia" w:ascii="Times New Roman" w:hAnsi="Times New Roman"/>
                <w:sz w:val="24"/>
                <w:szCs w:val="24"/>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7"/>
              <w:jc w:val="center"/>
              <w:rPr>
                <w:rFonts w:ascii="Times New Roman" w:hAnsi="Times New Roman"/>
                <w:lang w:eastAsia="zh-CN"/>
              </w:rPr>
            </w:pPr>
            <w:r>
              <w:rPr>
                <w:rFonts w:hint="eastAsia" w:ascii="Times New Roman" w:hAnsi="Times New Roman"/>
                <w:b/>
                <w:bCs/>
                <w:lang w:eastAsia="zh-CN"/>
              </w:rPr>
              <w:t>附件清单（如有）</w:t>
            </w:r>
          </w:p>
        </w:tc>
        <w:tc>
          <w:tcPr>
            <w:tcW w:w="6124" w:type="dxa"/>
            <w:gridSpan w:val="2"/>
            <w:vAlign w:val="center"/>
          </w:tcPr>
          <w:p w14:paraId="407B4CEE">
            <w:pPr>
              <w:pStyle w:val="17"/>
              <w:jc w:val="center"/>
              <w:rPr>
                <w:rFonts w:ascii="Times New Roman" w:hAnsi="Times New Roman"/>
                <w:lang w:eastAsia="zh-CN"/>
              </w:rPr>
            </w:pPr>
            <w:r>
              <w:rPr>
                <w:rFonts w:hint="eastAsia" w:ascii="Times New Roman" w:hAnsi="Times New Roman"/>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7"/>
              <w:jc w:val="center"/>
              <w:rPr>
                <w:rFonts w:ascii="Times New Roman" w:hAnsi="Times New Roman"/>
              </w:rPr>
            </w:pPr>
            <w:r>
              <w:rPr>
                <w:rFonts w:hint="eastAsia" w:ascii="Times New Roman" w:hAnsi="Times New Roman"/>
                <w:b/>
                <w:bCs/>
              </w:rPr>
              <w:t>日期</w:t>
            </w:r>
          </w:p>
        </w:tc>
        <w:tc>
          <w:tcPr>
            <w:tcW w:w="6124" w:type="dxa"/>
            <w:gridSpan w:val="2"/>
            <w:vAlign w:val="center"/>
          </w:tcPr>
          <w:p w14:paraId="146E2672">
            <w:pPr>
              <w:pStyle w:val="17"/>
              <w:jc w:val="center"/>
              <w:rPr>
                <w:rFonts w:ascii="Times New Roman" w:hAnsi="Times New Roman"/>
                <w:lang w:eastAsia="zh-CN"/>
              </w:rPr>
            </w:pPr>
            <w:r>
              <w:rPr>
                <w:rFonts w:hint="eastAsia" w:ascii="Times New Roman" w:hAnsi="Times New Roman"/>
                <w:lang w:eastAsia="zh-CN"/>
              </w:rPr>
              <w:t>2026年10月2</w:t>
            </w:r>
            <w:r>
              <w:rPr>
                <w:rFonts w:hint="eastAsia" w:ascii="Times New Roman" w:hAnsi="Times New Roman"/>
                <w:lang w:val="en-US" w:eastAsia="zh-CN"/>
              </w:rPr>
              <w:t>6</w:t>
            </w:r>
            <w:r>
              <w:rPr>
                <w:rFonts w:hint="eastAsia" w:ascii="Times New Roman" w:hAnsi="Times New Roman"/>
                <w:lang w:eastAsia="zh-CN"/>
              </w:rPr>
              <w:t>日</w:t>
            </w:r>
          </w:p>
        </w:tc>
      </w:tr>
    </w:tbl>
    <w:p w14:paraId="19D83C5F">
      <w:pPr>
        <w:rPr>
          <w:rFonts w:ascii="Times New Roman" w:hAnsi="Times New Roman"/>
        </w:rPr>
      </w:pPr>
    </w:p>
    <w:p w14:paraId="1790BA6B">
      <w:pPr>
        <w:spacing w:line="91" w:lineRule="auto"/>
        <w:rPr>
          <w:rFonts w:ascii="Times New Roman" w:hAnsi="Times New Roman"/>
          <w:sz w:val="2"/>
        </w:rPr>
      </w:pPr>
    </w:p>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4C115"/>
    <w:multiLevelType w:val="singleLevel"/>
    <w:tmpl w:val="C4E4C115"/>
    <w:lvl w:ilvl="0" w:tentative="0">
      <w:start w:val="1"/>
      <w:numFmt w:val="decimal"/>
      <w:pStyle w:val="3"/>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displayBackgroundShape w:val="1"/>
  <w:bordersDoNotSurroundHeader w:val="0"/>
  <w:bordersDoNotSurroundFooter w:val="0"/>
  <w:documentProtection w:enforcement="0"/>
  <w:defaultTabStop w:val="500"/>
  <w:displayHorizontalDrawingGridEvery w:val="1"/>
  <w:displayVerticalDrawingGridEvery w:val="1"/>
  <w:noPunctuationKerning w:val="1"/>
  <w:characterSpacingControl w:val="doNotCompres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42552"/>
    <w:rsid w:val="000E4E9A"/>
    <w:rsid w:val="000F0F8B"/>
    <w:rsid w:val="001904F5"/>
    <w:rsid w:val="001B362F"/>
    <w:rsid w:val="001B43DB"/>
    <w:rsid w:val="001F503A"/>
    <w:rsid w:val="00240DD6"/>
    <w:rsid w:val="00242447"/>
    <w:rsid w:val="002B1EEE"/>
    <w:rsid w:val="002B55DE"/>
    <w:rsid w:val="002C5623"/>
    <w:rsid w:val="002C732D"/>
    <w:rsid w:val="002D18D8"/>
    <w:rsid w:val="002E6C48"/>
    <w:rsid w:val="0030593D"/>
    <w:rsid w:val="00324587"/>
    <w:rsid w:val="00337319"/>
    <w:rsid w:val="00383673"/>
    <w:rsid w:val="003F0328"/>
    <w:rsid w:val="00420F84"/>
    <w:rsid w:val="00422179"/>
    <w:rsid w:val="00461BE6"/>
    <w:rsid w:val="004A754A"/>
    <w:rsid w:val="004C23CF"/>
    <w:rsid w:val="005248CC"/>
    <w:rsid w:val="00527F4F"/>
    <w:rsid w:val="005420FE"/>
    <w:rsid w:val="005443C9"/>
    <w:rsid w:val="00594D87"/>
    <w:rsid w:val="005C31AA"/>
    <w:rsid w:val="006330FF"/>
    <w:rsid w:val="006533A9"/>
    <w:rsid w:val="006D4684"/>
    <w:rsid w:val="007257BA"/>
    <w:rsid w:val="00727F56"/>
    <w:rsid w:val="00775721"/>
    <w:rsid w:val="007A797C"/>
    <w:rsid w:val="007C0F2D"/>
    <w:rsid w:val="007E50B8"/>
    <w:rsid w:val="008835EE"/>
    <w:rsid w:val="00885DA8"/>
    <w:rsid w:val="008A0110"/>
    <w:rsid w:val="00926B34"/>
    <w:rsid w:val="00952547"/>
    <w:rsid w:val="00965387"/>
    <w:rsid w:val="00973ED9"/>
    <w:rsid w:val="00980C2E"/>
    <w:rsid w:val="00A130AC"/>
    <w:rsid w:val="00A30B16"/>
    <w:rsid w:val="00A34E8F"/>
    <w:rsid w:val="00A614BD"/>
    <w:rsid w:val="00A65C80"/>
    <w:rsid w:val="00A7277F"/>
    <w:rsid w:val="00A94277"/>
    <w:rsid w:val="00AA6936"/>
    <w:rsid w:val="00AC3F6D"/>
    <w:rsid w:val="00AD411E"/>
    <w:rsid w:val="00B02EEA"/>
    <w:rsid w:val="00B160BA"/>
    <w:rsid w:val="00B237AB"/>
    <w:rsid w:val="00B76518"/>
    <w:rsid w:val="00BA4484"/>
    <w:rsid w:val="00BC2585"/>
    <w:rsid w:val="00BE14BF"/>
    <w:rsid w:val="00C52380"/>
    <w:rsid w:val="00C64F35"/>
    <w:rsid w:val="00C82932"/>
    <w:rsid w:val="00C8743F"/>
    <w:rsid w:val="00C95A08"/>
    <w:rsid w:val="00CD5A2F"/>
    <w:rsid w:val="00CE2392"/>
    <w:rsid w:val="00D02225"/>
    <w:rsid w:val="00D0776C"/>
    <w:rsid w:val="00D158E7"/>
    <w:rsid w:val="00D4600D"/>
    <w:rsid w:val="00DF2EBD"/>
    <w:rsid w:val="00E00E57"/>
    <w:rsid w:val="00E97073"/>
    <w:rsid w:val="00EA0563"/>
    <w:rsid w:val="00EA4037"/>
    <w:rsid w:val="00EB19A6"/>
    <w:rsid w:val="00F75FED"/>
    <w:rsid w:val="00FB496F"/>
    <w:rsid w:val="00FD1F02"/>
    <w:rsid w:val="00FE65C3"/>
    <w:rsid w:val="01102D92"/>
    <w:rsid w:val="01476561"/>
    <w:rsid w:val="014821F1"/>
    <w:rsid w:val="015E533E"/>
    <w:rsid w:val="016C0FA1"/>
    <w:rsid w:val="01852593"/>
    <w:rsid w:val="0190108A"/>
    <w:rsid w:val="01CD53CD"/>
    <w:rsid w:val="01D2261A"/>
    <w:rsid w:val="023D46EC"/>
    <w:rsid w:val="03385D0B"/>
    <w:rsid w:val="034B0503"/>
    <w:rsid w:val="03510060"/>
    <w:rsid w:val="041909DB"/>
    <w:rsid w:val="04513546"/>
    <w:rsid w:val="0458352F"/>
    <w:rsid w:val="04AC5B58"/>
    <w:rsid w:val="04BB10B7"/>
    <w:rsid w:val="04D16A79"/>
    <w:rsid w:val="04D55FA9"/>
    <w:rsid w:val="05857F74"/>
    <w:rsid w:val="05945126"/>
    <w:rsid w:val="064A78D9"/>
    <w:rsid w:val="065D710A"/>
    <w:rsid w:val="0689144B"/>
    <w:rsid w:val="073562D9"/>
    <w:rsid w:val="0737795B"/>
    <w:rsid w:val="07487DBA"/>
    <w:rsid w:val="084E3DF5"/>
    <w:rsid w:val="086E3851"/>
    <w:rsid w:val="087936BC"/>
    <w:rsid w:val="08874912"/>
    <w:rsid w:val="089332B7"/>
    <w:rsid w:val="08F66C03"/>
    <w:rsid w:val="0A0A1357"/>
    <w:rsid w:val="0A1246B0"/>
    <w:rsid w:val="0A4A3E4A"/>
    <w:rsid w:val="0AF802D2"/>
    <w:rsid w:val="0C40306C"/>
    <w:rsid w:val="0C774C9E"/>
    <w:rsid w:val="0C9870EE"/>
    <w:rsid w:val="0CC257D5"/>
    <w:rsid w:val="0CCA4D93"/>
    <w:rsid w:val="0CDF0EFD"/>
    <w:rsid w:val="0D3037CB"/>
    <w:rsid w:val="0D3B772F"/>
    <w:rsid w:val="0D4E3C51"/>
    <w:rsid w:val="0E4F45D8"/>
    <w:rsid w:val="0EA53D44"/>
    <w:rsid w:val="0F02798F"/>
    <w:rsid w:val="0F07012F"/>
    <w:rsid w:val="0F2E02EC"/>
    <w:rsid w:val="0F31382A"/>
    <w:rsid w:val="0F7554C5"/>
    <w:rsid w:val="0FC41FA8"/>
    <w:rsid w:val="101572A9"/>
    <w:rsid w:val="10505F32"/>
    <w:rsid w:val="106B3824"/>
    <w:rsid w:val="10710382"/>
    <w:rsid w:val="111B0B47"/>
    <w:rsid w:val="112A4BB7"/>
    <w:rsid w:val="11407D54"/>
    <w:rsid w:val="11E132E5"/>
    <w:rsid w:val="11EC0610"/>
    <w:rsid w:val="11EC3A38"/>
    <w:rsid w:val="12692205"/>
    <w:rsid w:val="12B17E9B"/>
    <w:rsid w:val="12B544C5"/>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881643"/>
    <w:rsid w:val="18D21BDA"/>
    <w:rsid w:val="19045B0B"/>
    <w:rsid w:val="192F382B"/>
    <w:rsid w:val="19FD3FDF"/>
    <w:rsid w:val="1A12650C"/>
    <w:rsid w:val="1AB126A6"/>
    <w:rsid w:val="1AB677DE"/>
    <w:rsid w:val="1ACE45C4"/>
    <w:rsid w:val="1AF114D7"/>
    <w:rsid w:val="1B123F0C"/>
    <w:rsid w:val="1B2D1349"/>
    <w:rsid w:val="1B5A1A13"/>
    <w:rsid w:val="1BA40757"/>
    <w:rsid w:val="1C077DEC"/>
    <w:rsid w:val="1C600CB8"/>
    <w:rsid w:val="1C8D752E"/>
    <w:rsid w:val="1D0600A4"/>
    <w:rsid w:val="1D091942"/>
    <w:rsid w:val="1D3A7D4E"/>
    <w:rsid w:val="1DAF4AFC"/>
    <w:rsid w:val="1DDB508D"/>
    <w:rsid w:val="1E322697"/>
    <w:rsid w:val="1E40701F"/>
    <w:rsid w:val="1EE26681"/>
    <w:rsid w:val="201E5705"/>
    <w:rsid w:val="20851AB3"/>
    <w:rsid w:val="20C95363"/>
    <w:rsid w:val="21094ABC"/>
    <w:rsid w:val="2147798C"/>
    <w:rsid w:val="21A27496"/>
    <w:rsid w:val="22187E0B"/>
    <w:rsid w:val="22364E1D"/>
    <w:rsid w:val="22821F7B"/>
    <w:rsid w:val="22A77C33"/>
    <w:rsid w:val="22FE1C81"/>
    <w:rsid w:val="2310489F"/>
    <w:rsid w:val="231B417D"/>
    <w:rsid w:val="23203542"/>
    <w:rsid w:val="23626B1C"/>
    <w:rsid w:val="23B65E20"/>
    <w:rsid w:val="24BE1264"/>
    <w:rsid w:val="250E527E"/>
    <w:rsid w:val="25B9690B"/>
    <w:rsid w:val="25DA3E7C"/>
    <w:rsid w:val="26485289"/>
    <w:rsid w:val="268A3AF4"/>
    <w:rsid w:val="2698258D"/>
    <w:rsid w:val="270A69E3"/>
    <w:rsid w:val="27A26C1B"/>
    <w:rsid w:val="27A42993"/>
    <w:rsid w:val="27D5362B"/>
    <w:rsid w:val="28527FD1"/>
    <w:rsid w:val="28736730"/>
    <w:rsid w:val="28FE60D3"/>
    <w:rsid w:val="29341AF5"/>
    <w:rsid w:val="29462779"/>
    <w:rsid w:val="296649FF"/>
    <w:rsid w:val="298735A2"/>
    <w:rsid w:val="2A346ACA"/>
    <w:rsid w:val="2A391AB9"/>
    <w:rsid w:val="2A952A67"/>
    <w:rsid w:val="2ABC3C34"/>
    <w:rsid w:val="2AE71DF0"/>
    <w:rsid w:val="2B152B7E"/>
    <w:rsid w:val="2BAA0794"/>
    <w:rsid w:val="2BDE7D13"/>
    <w:rsid w:val="2BE23A8A"/>
    <w:rsid w:val="2C864D5D"/>
    <w:rsid w:val="2CB022D6"/>
    <w:rsid w:val="2CCF5B37"/>
    <w:rsid w:val="2D216834"/>
    <w:rsid w:val="2D2D19CD"/>
    <w:rsid w:val="2D74105A"/>
    <w:rsid w:val="2DB33930"/>
    <w:rsid w:val="2DE75388"/>
    <w:rsid w:val="2DEB0301"/>
    <w:rsid w:val="2E127498"/>
    <w:rsid w:val="2F300FB0"/>
    <w:rsid w:val="2F890169"/>
    <w:rsid w:val="2FA6143A"/>
    <w:rsid w:val="2FAD55EA"/>
    <w:rsid w:val="2FC65E53"/>
    <w:rsid w:val="2FE04785"/>
    <w:rsid w:val="2FE9188B"/>
    <w:rsid w:val="30152810"/>
    <w:rsid w:val="30AC4667"/>
    <w:rsid w:val="30C406C5"/>
    <w:rsid w:val="30F06952"/>
    <w:rsid w:val="312A215B"/>
    <w:rsid w:val="31C22C39"/>
    <w:rsid w:val="32D11EE7"/>
    <w:rsid w:val="32F81D79"/>
    <w:rsid w:val="333D5A4A"/>
    <w:rsid w:val="33B06E98"/>
    <w:rsid w:val="344A3DE9"/>
    <w:rsid w:val="345C4F2B"/>
    <w:rsid w:val="34605E94"/>
    <w:rsid w:val="346534AA"/>
    <w:rsid w:val="346D2DB3"/>
    <w:rsid w:val="34713BFD"/>
    <w:rsid w:val="347614EC"/>
    <w:rsid w:val="34DB376C"/>
    <w:rsid w:val="34E70363"/>
    <w:rsid w:val="34F12F90"/>
    <w:rsid w:val="34FD7B87"/>
    <w:rsid w:val="351C000D"/>
    <w:rsid w:val="35200667"/>
    <w:rsid w:val="35CB6621"/>
    <w:rsid w:val="36015455"/>
    <w:rsid w:val="360D538C"/>
    <w:rsid w:val="36802258"/>
    <w:rsid w:val="36EA5EE9"/>
    <w:rsid w:val="36F93E8A"/>
    <w:rsid w:val="379D0487"/>
    <w:rsid w:val="38455ACD"/>
    <w:rsid w:val="38DD5D05"/>
    <w:rsid w:val="391536F1"/>
    <w:rsid w:val="39700927"/>
    <w:rsid w:val="39A16D33"/>
    <w:rsid w:val="3A033549"/>
    <w:rsid w:val="3A0B4AF4"/>
    <w:rsid w:val="3A8723CC"/>
    <w:rsid w:val="3AD60DB5"/>
    <w:rsid w:val="3AEF3ACE"/>
    <w:rsid w:val="3B173D7F"/>
    <w:rsid w:val="3B2E20EF"/>
    <w:rsid w:val="3B7A3CDF"/>
    <w:rsid w:val="3B893F22"/>
    <w:rsid w:val="3BDB2565"/>
    <w:rsid w:val="3C36192E"/>
    <w:rsid w:val="3C7A1ABD"/>
    <w:rsid w:val="3C920BB5"/>
    <w:rsid w:val="3CE11597"/>
    <w:rsid w:val="3D7529B0"/>
    <w:rsid w:val="3E2E0DB1"/>
    <w:rsid w:val="3E410AE4"/>
    <w:rsid w:val="3E5C147A"/>
    <w:rsid w:val="3E622809"/>
    <w:rsid w:val="3EB23790"/>
    <w:rsid w:val="3EBA0228"/>
    <w:rsid w:val="3F055FB6"/>
    <w:rsid w:val="3F3D6E1B"/>
    <w:rsid w:val="3F4563B2"/>
    <w:rsid w:val="3F680149"/>
    <w:rsid w:val="406D4DCA"/>
    <w:rsid w:val="408F6B1D"/>
    <w:rsid w:val="4090609D"/>
    <w:rsid w:val="40B437EF"/>
    <w:rsid w:val="40F24318"/>
    <w:rsid w:val="41032151"/>
    <w:rsid w:val="4105404B"/>
    <w:rsid w:val="411779C2"/>
    <w:rsid w:val="41336BCB"/>
    <w:rsid w:val="41534A38"/>
    <w:rsid w:val="4168285C"/>
    <w:rsid w:val="41B639DD"/>
    <w:rsid w:val="423E59DA"/>
    <w:rsid w:val="430A1DED"/>
    <w:rsid w:val="438E33F7"/>
    <w:rsid w:val="439711A6"/>
    <w:rsid w:val="43E443EC"/>
    <w:rsid w:val="443F68DF"/>
    <w:rsid w:val="448C6831"/>
    <w:rsid w:val="44F06DC0"/>
    <w:rsid w:val="45156827"/>
    <w:rsid w:val="45512F89"/>
    <w:rsid w:val="455E254D"/>
    <w:rsid w:val="456B6447"/>
    <w:rsid w:val="45A84FAE"/>
    <w:rsid w:val="45B822D1"/>
    <w:rsid w:val="45C56ECB"/>
    <w:rsid w:val="46935C55"/>
    <w:rsid w:val="46C6427C"/>
    <w:rsid w:val="470513F8"/>
    <w:rsid w:val="47252CB6"/>
    <w:rsid w:val="474653BD"/>
    <w:rsid w:val="47541888"/>
    <w:rsid w:val="4764741D"/>
    <w:rsid w:val="488251E8"/>
    <w:rsid w:val="48843C31"/>
    <w:rsid w:val="48BD345D"/>
    <w:rsid w:val="48C04CFB"/>
    <w:rsid w:val="48C53BE2"/>
    <w:rsid w:val="48F33295"/>
    <w:rsid w:val="490B41C9"/>
    <w:rsid w:val="4968161B"/>
    <w:rsid w:val="497C3C51"/>
    <w:rsid w:val="499E328F"/>
    <w:rsid w:val="49A14F5D"/>
    <w:rsid w:val="49AB775A"/>
    <w:rsid w:val="49E31136"/>
    <w:rsid w:val="49FE054C"/>
    <w:rsid w:val="4A031344"/>
    <w:rsid w:val="4A0B01F8"/>
    <w:rsid w:val="4A4C728D"/>
    <w:rsid w:val="4A875AD1"/>
    <w:rsid w:val="4B0C4228"/>
    <w:rsid w:val="4B78366B"/>
    <w:rsid w:val="4BBC51EC"/>
    <w:rsid w:val="4BCF2B77"/>
    <w:rsid w:val="4BE62CCB"/>
    <w:rsid w:val="4C082549"/>
    <w:rsid w:val="4C1E06B7"/>
    <w:rsid w:val="4CBD7ED0"/>
    <w:rsid w:val="4CE51D54"/>
    <w:rsid w:val="4D0258E3"/>
    <w:rsid w:val="4D7C5695"/>
    <w:rsid w:val="4DA05E09"/>
    <w:rsid w:val="4DF25957"/>
    <w:rsid w:val="4E263853"/>
    <w:rsid w:val="4E703B15"/>
    <w:rsid w:val="4E7445BE"/>
    <w:rsid w:val="4E9C7106"/>
    <w:rsid w:val="4F833FDC"/>
    <w:rsid w:val="4FA86246"/>
    <w:rsid w:val="4FCC2CDE"/>
    <w:rsid w:val="500B0F52"/>
    <w:rsid w:val="50487AB0"/>
    <w:rsid w:val="505C355C"/>
    <w:rsid w:val="507E7A1A"/>
    <w:rsid w:val="50C70CC0"/>
    <w:rsid w:val="50C77CC8"/>
    <w:rsid w:val="514566E6"/>
    <w:rsid w:val="51582E6C"/>
    <w:rsid w:val="5167040A"/>
    <w:rsid w:val="51AF590D"/>
    <w:rsid w:val="51C25640"/>
    <w:rsid w:val="51D75253"/>
    <w:rsid w:val="51E74D80"/>
    <w:rsid w:val="5217598C"/>
    <w:rsid w:val="522B1A1A"/>
    <w:rsid w:val="525E180D"/>
    <w:rsid w:val="52701540"/>
    <w:rsid w:val="52A511EA"/>
    <w:rsid w:val="52B21AD1"/>
    <w:rsid w:val="52CA29FF"/>
    <w:rsid w:val="52CC6734"/>
    <w:rsid w:val="5301473C"/>
    <w:rsid w:val="53177C0E"/>
    <w:rsid w:val="537D3C18"/>
    <w:rsid w:val="538D1B3E"/>
    <w:rsid w:val="5410147D"/>
    <w:rsid w:val="5469592E"/>
    <w:rsid w:val="54970998"/>
    <w:rsid w:val="54D51AA7"/>
    <w:rsid w:val="54FF44A5"/>
    <w:rsid w:val="55475A19"/>
    <w:rsid w:val="55A16ED2"/>
    <w:rsid w:val="55BF16ED"/>
    <w:rsid w:val="55CD58BC"/>
    <w:rsid w:val="560C1580"/>
    <w:rsid w:val="56A33C92"/>
    <w:rsid w:val="56AD0E89"/>
    <w:rsid w:val="56AE2637"/>
    <w:rsid w:val="56F15B99"/>
    <w:rsid w:val="571802DA"/>
    <w:rsid w:val="57335763"/>
    <w:rsid w:val="574305EE"/>
    <w:rsid w:val="57E64FC7"/>
    <w:rsid w:val="583A3C95"/>
    <w:rsid w:val="58467E50"/>
    <w:rsid w:val="59A01F0B"/>
    <w:rsid w:val="59C503C4"/>
    <w:rsid w:val="59D86349"/>
    <w:rsid w:val="5A5839A7"/>
    <w:rsid w:val="5A894442"/>
    <w:rsid w:val="5AAB5D5D"/>
    <w:rsid w:val="5B060C94"/>
    <w:rsid w:val="5BC052E6"/>
    <w:rsid w:val="5C0A6562"/>
    <w:rsid w:val="5C6747DA"/>
    <w:rsid w:val="5CB32755"/>
    <w:rsid w:val="5CE4546A"/>
    <w:rsid w:val="5CFF2D86"/>
    <w:rsid w:val="5D845EA0"/>
    <w:rsid w:val="5D916F3A"/>
    <w:rsid w:val="5D9711A4"/>
    <w:rsid w:val="5D9C768D"/>
    <w:rsid w:val="5E113BD7"/>
    <w:rsid w:val="5E2A3ED7"/>
    <w:rsid w:val="5E4265FD"/>
    <w:rsid w:val="5EE96902"/>
    <w:rsid w:val="5EF57055"/>
    <w:rsid w:val="5F517ABE"/>
    <w:rsid w:val="5F8421A1"/>
    <w:rsid w:val="604F73A7"/>
    <w:rsid w:val="610633E6"/>
    <w:rsid w:val="618F75C3"/>
    <w:rsid w:val="61B43E7E"/>
    <w:rsid w:val="61D1008C"/>
    <w:rsid w:val="623936FD"/>
    <w:rsid w:val="62606EDB"/>
    <w:rsid w:val="626D5C19"/>
    <w:rsid w:val="62911344"/>
    <w:rsid w:val="62AA56C6"/>
    <w:rsid w:val="62B80639"/>
    <w:rsid w:val="6321792E"/>
    <w:rsid w:val="63702F31"/>
    <w:rsid w:val="637F5A87"/>
    <w:rsid w:val="63B7511B"/>
    <w:rsid w:val="63BF3862"/>
    <w:rsid w:val="6416019A"/>
    <w:rsid w:val="641D689F"/>
    <w:rsid w:val="646A5DEF"/>
    <w:rsid w:val="649A50CC"/>
    <w:rsid w:val="64AC6408"/>
    <w:rsid w:val="64CA2D32"/>
    <w:rsid w:val="64CF659A"/>
    <w:rsid w:val="6542016B"/>
    <w:rsid w:val="65670518"/>
    <w:rsid w:val="65BB4075"/>
    <w:rsid w:val="65E55731"/>
    <w:rsid w:val="65F067C8"/>
    <w:rsid w:val="66042274"/>
    <w:rsid w:val="66662834"/>
    <w:rsid w:val="66BA0643"/>
    <w:rsid w:val="66DD448F"/>
    <w:rsid w:val="66F44096"/>
    <w:rsid w:val="66F553A6"/>
    <w:rsid w:val="674E064D"/>
    <w:rsid w:val="67B04461"/>
    <w:rsid w:val="67E1286C"/>
    <w:rsid w:val="67E67381"/>
    <w:rsid w:val="6817628E"/>
    <w:rsid w:val="685275F3"/>
    <w:rsid w:val="68623356"/>
    <w:rsid w:val="68B65AA7"/>
    <w:rsid w:val="69004F74"/>
    <w:rsid w:val="6955518E"/>
    <w:rsid w:val="69A67DB5"/>
    <w:rsid w:val="69B83A0D"/>
    <w:rsid w:val="69BD7D10"/>
    <w:rsid w:val="6A1D4D70"/>
    <w:rsid w:val="6A9D2977"/>
    <w:rsid w:val="6AAD30FA"/>
    <w:rsid w:val="6ACF2A05"/>
    <w:rsid w:val="6AED32D6"/>
    <w:rsid w:val="6AF0478A"/>
    <w:rsid w:val="6B206150"/>
    <w:rsid w:val="6C615D2A"/>
    <w:rsid w:val="6C860F1A"/>
    <w:rsid w:val="6C9132B7"/>
    <w:rsid w:val="6D910628"/>
    <w:rsid w:val="6DED6714"/>
    <w:rsid w:val="6E494CC8"/>
    <w:rsid w:val="6E6B4FA6"/>
    <w:rsid w:val="6E7E1C6A"/>
    <w:rsid w:val="6EC8494C"/>
    <w:rsid w:val="6F0357BE"/>
    <w:rsid w:val="6F2E1014"/>
    <w:rsid w:val="6F70543C"/>
    <w:rsid w:val="704A2F79"/>
    <w:rsid w:val="70810852"/>
    <w:rsid w:val="70BF4688"/>
    <w:rsid w:val="714C6F6B"/>
    <w:rsid w:val="715A71EC"/>
    <w:rsid w:val="71787AB8"/>
    <w:rsid w:val="719A3A8C"/>
    <w:rsid w:val="71A576BD"/>
    <w:rsid w:val="71CA1FE3"/>
    <w:rsid w:val="720A4079"/>
    <w:rsid w:val="721424DA"/>
    <w:rsid w:val="72534E9D"/>
    <w:rsid w:val="72EB27F1"/>
    <w:rsid w:val="731036E9"/>
    <w:rsid w:val="732C1A70"/>
    <w:rsid w:val="732E6B82"/>
    <w:rsid w:val="73493CAC"/>
    <w:rsid w:val="7358775B"/>
    <w:rsid w:val="73866EC6"/>
    <w:rsid w:val="73D15D1A"/>
    <w:rsid w:val="73EB05CF"/>
    <w:rsid w:val="73FB4E65"/>
    <w:rsid w:val="741B7106"/>
    <w:rsid w:val="74673092"/>
    <w:rsid w:val="746D7236"/>
    <w:rsid w:val="7530788B"/>
    <w:rsid w:val="75422471"/>
    <w:rsid w:val="75936E7F"/>
    <w:rsid w:val="75947170"/>
    <w:rsid w:val="759A61FC"/>
    <w:rsid w:val="76237A75"/>
    <w:rsid w:val="76426BCC"/>
    <w:rsid w:val="769557B6"/>
    <w:rsid w:val="770B5DD7"/>
    <w:rsid w:val="771A36A5"/>
    <w:rsid w:val="77292F74"/>
    <w:rsid w:val="778620F0"/>
    <w:rsid w:val="77884AB3"/>
    <w:rsid w:val="788B1B55"/>
    <w:rsid w:val="78EB552B"/>
    <w:rsid w:val="793619F1"/>
    <w:rsid w:val="79783C64"/>
    <w:rsid w:val="7993773F"/>
    <w:rsid w:val="79AB4A88"/>
    <w:rsid w:val="79BD371A"/>
    <w:rsid w:val="7A526335"/>
    <w:rsid w:val="7A755C23"/>
    <w:rsid w:val="7A8B44D7"/>
    <w:rsid w:val="7A8D0117"/>
    <w:rsid w:val="7ADC33E0"/>
    <w:rsid w:val="7BB51BEE"/>
    <w:rsid w:val="7C2154D6"/>
    <w:rsid w:val="7C8D4919"/>
    <w:rsid w:val="7CA90BA0"/>
    <w:rsid w:val="7CB20C21"/>
    <w:rsid w:val="7CE55D78"/>
    <w:rsid w:val="7D706F68"/>
    <w:rsid w:val="7D7809E9"/>
    <w:rsid w:val="7D8C697F"/>
    <w:rsid w:val="7D9E7B82"/>
    <w:rsid w:val="7DBD5782"/>
    <w:rsid w:val="7E046E5D"/>
    <w:rsid w:val="7E123328"/>
    <w:rsid w:val="7E152E18"/>
    <w:rsid w:val="7E2D681A"/>
    <w:rsid w:val="7E2E6314"/>
    <w:rsid w:val="7E324E10"/>
    <w:rsid w:val="7E3F60E7"/>
    <w:rsid w:val="7E815519"/>
    <w:rsid w:val="7E8C3322"/>
    <w:rsid w:val="7F4C286A"/>
    <w:rsid w:val="7F4C4618"/>
    <w:rsid w:val="7F664645"/>
    <w:rsid w:val="7F9554E0"/>
    <w:rsid w:val="7F9D0618"/>
    <w:rsid w:val="7FAB2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List Number"/>
    <w:basedOn w:val="1"/>
    <w:qFormat/>
    <w:uiPriority w:val="0"/>
    <w:pPr>
      <w:numPr>
        <w:ilvl w:val="0"/>
        <w:numId w:val="1"/>
      </w:numPr>
    </w:pPr>
  </w:style>
  <w:style w:type="paragraph" w:styleId="4">
    <w:name w:val="annotation text"/>
    <w:basedOn w:val="1"/>
    <w:link w:val="26"/>
    <w:qFormat/>
    <w:uiPriority w:val="0"/>
  </w:style>
  <w:style w:type="paragraph" w:styleId="5">
    <w:name w:val="footer"/>
    <w:basedOn w:val="1"/>
    <w:link w:val="24"/>
    <w:qFormat/>
    <w:uiPriority w:val="0"/>
    <w:pPr>
      <w:tabs>
        <w:tab w:val="center" w:pos="4153"/>
        <w:tab w:val="right" w:pos="8306"/>
      </w:tabs>
    </w:pPr>
    <w:rPr>
      <w:sz w:val="18"/>
      <w:szCs w:val="18"/>
    </w:rPr>
  </w:style>
  <w:style w:type="paragraph" w:styleId="6">
    <w:name w:val="header"/>
    <w:basedOn w:val="1"/>
    <w:link w:val="23"/>
    <w:qFormat/>
    <w:uiPriority w:val="0"/>
    <w:pPr>
      <w:tabs>
        <w:tab w:val="center" w:pos="4153"/>
        <w:tab w:val="right" w:pos="8306"/>
      </w:tabs>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8">
    <w:name w:val="Normal (Web)"/>
    <w:basedOn w:val="1"/>
    <w:qFormat/>
    <w:uiPriority w:val="0"/>
    <w:pPr>
      <w:spacing w:beforeAutospacing="1" w:afterAutospacing="1"/>
    </w:pPr>
    <w:rPr>
      <w:rFonts w:cs="Times New Roman"/>
      <w:sz w:val="24"/>
      <w:lang w:eastAsia="zh-CN"/>
    </w:rPr>
  </w:style>
  <w:style w:type="paragraph" w:styleId="9">
    <w:name w:val="annotation subject"/>
    <w:basedOn w:val="4"/>
    <w:next w:val="4"/>
    <w:link w:val="27"/>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table" w:customStyle="1" w:styleId="16">
    <w:name w:val="Table Normal"/>
    <w:basedOn w:val="10"/>
    <w:unhideWhenUsed/>
    <w:qFormat/>
    <w:uiPriority w:val="0"/>
    <w:tblPr>
      <w:tblCellMar>
        <w:left w:w="0" w:type="dxa"/>
        <w:right w:w="0" w:type="dxa"/>
      </w:tblCellMar>
    </w:tblPr>
  </w:style>
  <w:style w:type="paragraph" w:customStyle="1" w:styleId="17">
    <w:name w:val="Table Text"/>
    <w:basedOn w:val="1"/>
    <w:semiHidden/>
    <w:qFormat/>
    <w:uiPriority w:val="0"/>
    <w:rPr>
      <w:rFonts w:ascii="宋体" w:hAnsi="宋体" w:eastAsia="宋体" w:cs="宋体"/>
      <w:sz w:val="24"/>
      <w:szCs w:val="24"/>
    </w:rPr>
  </w:style>
  <w:style w:type="paragraph" w:customStyle="1" w:styleId="18">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9">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20">
    <w:name w:val="s1"/>
    <w:basedOn w:val="12"/>
    <w:qFormat/>
    <w:uiPriority w:val="0"/>
    <w:rPr>
      <w:rFonts w:hint="default" w:ascii="UICTFontTextStyleBody" w:hAnsi="UICTFontTextStyleBody"/>
      <w:sz w:val="26"/>
      <w:szCs w:val="26"/>
    </w:rPr>
  </w:style>
  <w:style w:type="paragraph" w:customStyle="1" w:styleId="21">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2">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23">
    <w:name w:val="页眉 字符"/>
    <w:basedOn w:val="12"/>
    <w:link w:val="6"/>
    <w:qFormat/>
    <w:uiPriority w:val="0"/>
    <w:rPr>
      <w:rFonts w:ascii="Arial" w:hAnsi="Arial" w:eastAsia="Arial" w:cs="Arial"/>
      <w:snapToGrid w:val="0"/>
      <w:color w:val="000000"/>
      <w:sz w:val="18"/>
      <w:szCs w:val="18"/>
      <w:lang w:eastAsia="en-US"/>
    </w:rPr>
  </w:style>
  <w:style w:type="character" w:customStyle="1" w:styleId="24">
    <w:name w:val="页脚 字符"/>
    <w:basedOn w:val="12"/>
    <w:link w:val="5"/>
    <w:qFormat/>
    <w:uiPriority w:val="0"/>
    <w:rPr>
      <w:rFonts w:ascii="Arial" w:hAnsi="Arial" w:eastAsia="Arial" w:cs="Arial"/>
      <w:snapToGrid w:val="0"/>
      <w:color w:val="000000"/>
      <w:sz w:val="18"/>
      <w:szCs w:val="18"/>
      <w:lang w:eastAsia="en-US"/>
    </w:rPr>
  </w:style>
  <w:style w:type="paragraph" w:customStyle="1" w:styleId="25">
    <w:name w:val="修订3"/>
    <w:hidden/>
    <w:unhideWhenUsed/>
    <w:qFormat/>
    <w:uiPriority w:val="99"/>
    <w:rPr>
      <w:rFonts w:ascii="Arial" w:hAnsi="Arial" w:eastAsia="Arial" w:cs="Arial"/>
      <w:snapToGrid w:val="0"/>
      <w:color w:val="000000"/>
      <w:sz w:val="21"/>
      <w:szCs w:val="21"/>
      <w:lang w:val="en-US" w:eastAsia="en-US" w:bidi="ar-SA"/>
    </w:rPr>
  </w:style>
  <w:style w:type="character" w:customStyle="1" w:styleId="26">
    <w:name w:val="批注文字 字符"/>
    <w:basedOn w:val="12"/>
    <w:link w:val="4"/>
    <w:qFormat/>
    <w:uiPriority w:val="0"/>
    <w:rPr>
      <w:rFonts w:ascii="Arial" w:hAnsi="Arial" w:eastAsia="Arial" w:cs="Arial"/>
      <w:snapToGrid w:val="0"/>
      <w:color w:val="000000"/>
      <w:sz w:val="21"/>
      <w:szCs w:val="21"/>
      <w:lang w:eastAsia="en-US"/>
    </w:rPr>
  </w:style>
  <w:style w:type="character" w:customStyle="1" w:styleId="27">
    <w:name w:val="批注主题 字符"/>
    <w:basedOn w:val="26"/>
    <w:link w:val="9"/>
    <w:qFormat/>
    <w:uiPriority w:val="0"/>
    <w:rPr>
      <w:rFonts w:ascii="Arial" w:hAnsi="Arial" w:eastAsia="Arial" w:cs="Arial"/>
      <w:b/>
      <w:bCs/>
      <w:snapToGrid w:val="0"/>
      <w:color w:val="000000"/>
      <w:sz w:val="21"/>
      <w:szCs w:val="21"/>
      <w:lang w:eastAsia="en-US"/>
    </w:rPr>
  </w:style>
  <w:style w:type="paragraph" w:customStyle="1" w:styleId="28">
    <w:name w:val="修订4"/>
    <w:hidden/>
    <w:unhideWhenUsed/>
    <w:qFormat/>
    <w:uiPriority w:val="99"/>
    <w:rPr>
      <w:rFonts w:ascii="Arial" w:hAnsi="Arial" w:eastAsia="Arial" w:cs="Arial"/>
      <w:snapToGrid w:val="0"/>
      <w:color w:val="000000"/>
      <w:sz w:val="21"/>
      <w:szCs w:val="21"/>
      <w:lang w:val="en-US" w:eastAsia="en-US" w:bidi="ar-SA"/>
    </w:rPr>
  </w:style>
  <w:style w:type="character" w:customStyle="1" w:styleId="29">
    <w:name w:val="15"/>
    <w:basedOn w:val="12"/>
    <w:qFormat/>
    <w:uiPriority w:val="0"/>
    <w:rPr>
      <w:rFonts w:hint="default" w:ascii="Times New Roman" w:hAnsi="Times New Roman" w:cs="Times New Roman"/>
      <w:b/>
    </w:rPr>
  </w:style>
  <w:style w:type="character" w:customStyle="1" w:styleId="30">
    <w:name w:val="10"/>
    <w:basedOn w:val="12"/>
    <w:qFormat/>
    <w:uiPriority w:val="0"/>
    <w:rPr>
      <w:rFonts w:hint="default" w:ascii="Times New Roman" w:hAnsi="Times New Roman" w:cs="Times New Roman"/>
    </w:rPr>
  </w:style>
  <w:style w:type="paragraph" w:customStyle="1" w:styleId="31">
    <w:name w:val="修订5"/>
    <w:hidden/>
    <w:unhideWhenUsed/>
    <w:qFormat/>
    <w:uiPriority w:val="99"/>
    <w:rPr>
      <w:rFonts w:ascii="Arial" w:hAnsi="Arial" w:eastAsia="Arial" w:cs="Arial"/>
      <w:snapToGrid w:val="0"/>
      <w:color w:val="000000"/>
      <w:sz w:val="21"/>
      <w:szCs w:val="21"/>
      <w:lang w:val="en-US" w:eastAsia="en-US" w:bidi="ar-SA"/>
    </w:rPr>
  </w:style>
  <w:style w:type="paragraph" w:customStyle="1" w:styleId="32">
    <w:name w:val="修订6"/>
    <w:hidden/>
    <w:unhideWhenUsed/>
    <w:qFormat/>
    <w:uiPriority w:val="99"/>
    <w:rPr>
      <w:rFonts w:ascii="Arial" w:hAnsi="Arial" w:eastAsia="Arial" w:cs="Arial"/>
      <w:snapToGrid w:val="0"/>
      <w:color w:val="000000"/>
      <w:sz w:val="21"/>
      <w:szCs w:val="21"/>
      <w:lang w:val="en-US" w:eastAsia="en-US" w:bidi="ar-SA"/>
    </w:rPr>
  </w:style>
  <w:style w:type="paragraph" w:customStyle="1" w:styleId="33">
    <w:name w:val="修订7"/>
    <w:hidden/>
    <w:unhideWhenUsed/>
    <w:qFormat/>
    <w:uiPriority w:val="99"/>
    <w:rPr>
      <w:rFonts w:ascii="Arial" w:hAnsi="Arial" w:eastAsia="Arial" w:cs="Arial"/>
      <w:snapToGrid w:val="0"/>
      <w:color w:val="000000"/>
      <w:sz w:val="21"/>
      <w:szCs w:val="21"/>
      <w:lang w:val="en-US" w:eastAsia="en-US" w:bidi="ar-SA"/>
    </w:rPr>
  </w:style>
  <w:style w:type="paragraph" w:customStyle="1" w:styleId="34">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4e92b32e-6520-4b5d-860a-d4545097c25d</errorID>
      <errorWord>-</errorWord>
      <group>L1_Format</group>
      <groupName>格式问题</groupName>
      <ability>L2_HalfPunc_CN</ability>
      <abilityName>全半角问题</abilityName>
      <candidateList>
        <item>－</item>
      </candidateList>
      <explain>文本全半角错误。</explain>
      <paraID>68239CDB</paraID>
      <start>20</start>
      <end>21</end>
      <status>unmodified</status>
      <modifiedWord/>
      <trackRevisions>false</trackRevisions>
    </reviewItem>
    <reviewItem>
      <errorID>c593b229-f260-4635-96bf-656b13a4d503</errorID>
      <errorWord>-</errorWord>
      <group>L1_Format</group>
      <groupName>格式问题</groupName>
      <ability>L2_HalfPunc_CN</ability>
      <abilityName>全半角问题</abilityName>
      <candidateList>
        <item>－</item>
      </candidateList>
      <explain>文本全半角错误。</explain>
      <paraID>68239CDB</paraID>
      <start>23</start>
      <end>24</end>
      <status>unmodified</status>
      <modifiedWord/>
      <trackRevisions>false</trackRevisions>
    </reviewItem>
    <reviewItem>
      <errorID>e74744e9-97bc-4db4-94ce-0699532108d4</errorID>
      <errorWord>-</errorWord>
      <group>L1_Format</group>
      <groupName>格式问题</groupName>
      <ability>L2_HalfPunc_CN</ability>
      <abilityName>全半角问题</abilityName>
      <candidateList>
        <item>－</item>
      </candidateList>
      <explain>文本全半角错误。</explain>
      <paraID>68239CDB</paraID>
      <start>26</start>
      <end>27</end>
      <status>unmodified</status>
      <modifiedWord/>
      <trackRevisions>false</trackRevisions>
    </reviewItem>
    <reviewItem>
      <errorID>e1f49a67-fb6f-4a43-b723-8b1c61a6a342</errorID>
      <errorWord>-</errorWord>
      <group>L1_Format</group>
      <groupName>格式问题</groupName>
      <ability>L2_HalfPunc_CN</ability>
      <abilityName>全半角问题</abilityName>
      <candidateList>
        <item>－</item>
      </candidateList>
      <explain>文本全半角错误。</explain>
      <paraID>68239CDB</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F44C5692-E611-40F9-8E4F-189CAD100875}">
  <ds:schemaRefs/>
</ds:datastoreItem>
</file>

<file path=docProps/app.xml><?xml version="1.0" encoding="utf-8"?>
<Properties xmlns="http://schemas.openxmlformats.org/officeDocument/2006/extended-properties" xmlns:vt="http://schemas.openxmlformats.org/officeDocument/2006/docPropsVTypes">
  <Template>Normal</Template>
  <Pages>5</Pages>
  <Words>3163</Words>
  <Characters>3261</Characters>
  <Lines>22</Lines>
  <Paragraphs>6</Paragraphs>
  <TotalTime>0</TotalTime>
  <ScaleCrop>false</ScaleCrop>
  <LinksUpToDate>false</LinksUpToDate>
  <CharactersWithSpaces>3336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2026-10-26T05:54:00Z</dcterms:created>
  <dc:creator>荣大-李雷</dc:creator>
  <cp:lastModifiedBy>Melody</cp:lastModifiedBy>
  <dcterms:modified xsi:type="dcterms:W3CDTF">2026-10-26T08:22:20Z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2052-12.1.0.29161</vt:lpwstr>
  </property>
  <property fmtid="{D5CDD505-2E9C-101B-9397-08002B2CF9AE}" pid="5" name="ICV">
    <vt:lpwstr>2EE6056B42E44E8CA3E99E71DBFB9456_13</vt:lpwstr>
  </property>
  <property fmtid="{D5CDD505-2E9C-101B-9397-08002B2CF9AE}" pid="6" name="KSOTemplateDocerSaveRecord">
    <vt:lpwstr>eyJoZGlkIjoiYmM4YTI2YzdmNDcxYmFlYzY0ZDcyMzE0OGYyY2ZlMDQiLCJ1c2VySWQiOiIyNzA1NzQyMTkifQ==</vt:lpwstr>
  </property>
</Properties>
</file>