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9A5AB37E">
      <w:pPr>
        <w:spacing w:before="156" w:beforeLines="50" w:after="156" w:afterLines="50" w:line="400" w:lineRule="exact"/>
        <w:ind w:right="240"/>
        <w:jc w:val="right"/>
        <w:rPr>
          <w:bCs/>
          <w:iCs/>
          <w:color w:val="000000"/>
          <w:sz w:val="24"/>
        </w:rPr>
      </w:pPr>
      <w:r>
        <w:rPr>
          <w:bCs/>
          <w:iCs/>
          <w:color w:val="000000"/>
          <w:sz w:val="24"/>
        </w:rPr>
        <w:t xml:space="preserve">证券代码：688362                                 证券简称：甬矽电子    </w:t>
      </w:r>
    </w:p>
    <w:p w14:paraId="F4367694">
      <w:pPr>
        <w:spacing w:line="360" w:lineRule="auto"/>
        <w:jc w:val="center"/>
        <w:rPr>
          <w:b/>
          <w:bCs/>
          <w:iCs/>
          <w:color w:val="000000"/>
          <w:sz w:val="28"/>
        </w:rPr>
      </w:pPr>
      <w:r>
        <w:rPr>
          <w:b/>
          <w:bCs/>
          <w:sz w:val="28"/>
        </w:rPr>
        <w:t>甬矽电子（宁波）</w:t>
      </w:r>
      <w:r>
        <w:rPr>
          <w:b/>
          <w:bCs/>
          <w:iCs/>
          <w:color w:val="000000"/>
          <w:sz w:val="28"/>
        </w:rPr>
        <w:t>股份有限公司投资者关系活动记录表</w:t>
      </w:r>
    </w:p>
    <w:p w14:paraId="E9C2894F">
      <w:pPr>
        <w:spacing w:line="400" w:lineRule="exact"/>
        <w:jc w:val="right"/>
        <w:rPr>
          <w:rFonts w:hint="eastAsia" w:eastAsia="宋体"/>
          <w:bCs/>
          <w:iCs/>
          <w:color w:val="000000"/>
          <w:sz w:val="24"/>
          <w:lang w:eastAsia="zh-CN"/>
        </w:rPr>
      </w:pPr>
      <w:r>
        <w:rPr>
          <w:bCs/>
          <w:iCs/>
          <w:color w:val="000000"/>
          <w:sz w:val="24"/>
        </w:rPr>
        <w:t>编号：202</w:t>
      </w:r>
      <w:r>
        <w:rPr>
          <w:rFonts w:hint="eastAsia"/>
          <w:bCs/>
          <w:iCs/>
          <w:color w:val="000000"/>
          <w:sz w:val="24"/>
          <w:lang w:val="en-US" w:eastAsia="zh-CN"/>
        </w:rPr>
        <w:t>6</w:t>
      </w:r>
      <w:r>
        <w:rPr>
          <w:bCs/>
          <w:iCs/>
          <w:color w:val="000000"/>
          <w:sz w:val="24"/>
        </w:rPr>
        <w:t>-0</w:t>
      </w:r>
      <w:r>
        <w:rPr>
          <w:rFonts w:hint="eastAsia"/>
          <w:bCs/>
          <w:iCs/>
          <w:color w:val="000000"/>
          <w:sz w:val="24"/>
        </w:rPr>
        <w:t>0</w:t>
      </w:r>
      <w:r>
        <w:rPr>
          <w:rFonts w:hint="eastAsia"/>
          <w:bCs/>
          <w:iCs/>
          <w:color w:val="000000"/>
          <w:sz w:val="24"/>
          <w:lang w:val="en-US" w:eastAsia="zh-CN"/>
        </w:rPr>
        <w:t>5</w:t>
      </w:r>
    </w:p>
    <w:tbl>
      <w:tblPr>
        <w:tblStyle w:val="8"/>
        <w:tblW w:w="89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6"/>
        <w:gridCol w:w="6048"/>
      </w:tblGrid>
      <w:tr w14:paraId="2CCC3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BCFB7022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投资者关系活动类别</w:t>
            </w:r>
          </w:p>
          <w:p w14:paraId="5E579DF1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</w:p>
        </w:tc>
        <w:tc>
          <w:tcPr>
            <w:tcW w:w="6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95BA07BD">
            <w:pPr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sym w:font="Wingdings 2" w:char="00A3"/>
            </w:r>
            <w:r>
              <w:rPr>
                <w:sz w:val="24"/>
              </w:rPr>
              <w:t xml:space="preserve">特定对象调研        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□</w:t>
            </w:r>
            <w:r>
              <w:rPr>
                <w:sz w:val="24"/>
              </w:rPr>
              <w:t>分析师会议</w:t>
            </w:r>
          </w:p>
          <w:p w14:paraId="3948D439">
            <w:pPr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□</w:t>
            </w:r>
            <w:r>
              <w:rPr>
                <w:sz w:val="24"/>
              </w:rPr>
              <w:t xml:space="preserve">媒体采访            </w:t>
            </w:r>
            <w:r>
              <w:rPr>
                <w:bCs/>
                <w:iCs/>
                <w:color w:val="000000"/>
                <w:sz w:val="24"/>
              </w:rPr>
              <w:sym w:font="Wingdings 2" w:char="0052"/>
            </w:r>
            <w:r>
              <w:rPr>
                <w:sz w:val="24"/>
              </w:rPr>
              <w:t>业绩说明会</w:t>
            </w:r>
          </w:p>
          <w:p w14:paraId="452647C9">
            <w:pPr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□</w:t>
            </w:r>
            <w:r>
              <w:rPr>
                <w:sz w:val="24"/>
              </w:rPr>
              <w:t xml:space="preserve">新闻发布会          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□</w:t>
            </w:r>
            <w:r>
              <w:rPr>
                <w:sz w:val="24"/>
              </w:rPr>
              <w:t>路演活动</w:t>
            </w:r>
          </w:p>
          <w:p w14:paraId="FEA06480">
            <w:pPr>
              <w:tabs>
                <w:tab w:val="left" w:pos="3045"/>
                <w:tab w:val="center" w:pos="3199"/>
              </w:tabs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sym w:font="Wingdings 2" w:char="00A3"/>
            </w:r>
            <w:r>
              <w:rPr>
                <w:sz w:val="24"/>
              </w:rPr>
              <w:t>现场参观</w:t>
            </w:r>
            <w:r>
              <w:rPr>
                <w:bCs/>
                <w:iCs/>
                <w:color w:val="000000"/>
                <w:sz w:val="24"/>
              </w:rPr>
              <w:tab/>
            </w:r>
          </w:p>
          <w:p w14:paraId="2FB22A85">
            <w:pPr>
              <w:tabs>
                <w:tab w:val="center" w:pos="3199"/>
              </w:tabs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sym w:font="Wingdings 2" w:char="00A3"/>
            </w:r>
            <w:r>
              <w:rPr>
                <w:sz w:val="24"/>
              </w:rPr>
              <w:t>其他（</w:t>
            </w:r>
            <w:r>
              <w:rPr>
                <w:sz w:val="24"/>
                <w:u w:val="single"/>
              </w:rPr>
              <w:t>电话会议）</w:t>
            </w:r>
          </w:p>
        </w:tc>
      </w:tr>
      <w:tr w14:paraId="EBADE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2D9EE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参与单位名称及人员姓名</w:t>
            </w:r>
          </w:p>
        </w:tc>
        <w:tc>
          <w:tcPr>
            <w:tcW w:w="6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D220CE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详见附件</w:t>
            </w:r>
          </w:p>
        </w:tc>
      </w:tr>
      <w:tr w14:paraId="6FE68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A3130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99283115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10</w:t>
            </w:r>
            <w:r>
              <w:rPr>
                <w:bCs/>
                <w:iCs/>
                <w:color w:val="000000"/>
                <w:sz w:val="24"/>
              </w:rPr>
              <w:t>月</w:t>
            </w:r>
          </w:p>
        </w:tc>
      </w:tr>
      <w:tr w14:paraId="66ACB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7DC82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EAEFEF0C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公司会议室</w:t>
            </w:r>
          </w:p>
        </w:tc>
      </w:tr>
      <w:tr w14:paraId="B5E4B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F4BD287D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6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A3E326BC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rFonts w:hint="eastAsia"/>
                <w:bCs/>
                <w:iCs/>
                <w:color w:val="000000"/>
                <w:sz w:val="24"/>
              </w:rPr>
              <w:t>董事、CTO徐玉鹏先生；财务总监、副总经理金良凯先生；董事会秘书、副总经理李大林先生</w:t>
            </w:r>
          </w:p>
        </w:tc>
      </w:tr>
      <w:tr w14:paraId="76DDF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C3E70">
            <w:pPr>
              <w:spacing w:line="480" w:lineRule="atLeast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投资者关系活动主要内容介绍</w:t>
            </w:r>
          </w:p>
        </w:tc>
        <w:tc>
          <w:tcPr>
            <w:tcW w:w="6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84B6AD7F">
            <w:pPr>
              <w:widowControl/>
              <w:numPr>
                <w:ilvl w:val="0"/>
                <w:numId w:val="1"/>
              </w:numPr>
              <w:spacing w:line="360" w:lineRule="auto"/>
              <w:ind w:firstLine="482" w:firstLineChars="200"/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2026年1-9月公司整体经营情况？</w:t>
            </w:r>
          </w:p>
          <w:p w14:paraId="34E41F45">
            <w:pPr>
              <w:widowControl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2026年前三季度，公司实现营业收入37.82亿元，同比增长19.32%；实现归属于上市公司股东的净利润3,039.53万元。第三季度实现营业收入13.71亿元，同比增长18.23%，环比增长</w:t>
            </w:r>
            <w:r>
              <w:rPr>
                <w:rFonts w:hint="eastAsia"/>
                <w:sz w:val="24"/>
                <w:lang w:val="en-US" w:eastAsia="zh-CN"/>
              </w:rPr>
              <w:t>10.63</w:t>
            </w:r>
            <w:r>
              <w:rPr>
                <w:rFonts w:hint="eastAsia"/>
                <w:sz w:val="24"/>
              </w:rPr>
              <w:t>%</w:t>
            </w:r>
            <w:r>
              <w:rPr>
                <w:rFonts w:hint="eastAsia"/>
                <w:sz w:val="24"/>
                <w:lang w:eastAsia="zh-CN"/>
              </w:rPr>
              <w:t>，</w:t>
            </w:r>
            <w:r>
              <w:rPr>
                <w:rFonts w:hint="eastAsia"/>
                <w:sz w:val="24"/>
              </w:rPr>
              <w:t>公司经营规模保持稳步扩大。随着二期项目产能逐步释放，产品覆盖范围不断拓展，客户合作持续深化，公司在产能布局、工艺能力和综合交付服务等方面进一步夯实了发展基础。</w:t>
            </w:r>
          </w:p>
          <w:p w14:paraId="60118C0D">
            <w:pPr>
              <w:widowControl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毛利率方面，前三季度公司综合毛利率</w:t>
            </w:r>
            <w:r>
              <w:rPr>
                <w:rFonts w:hint="eastAsia"/>
                <w:sz w:val="24"/>
                <w:lang w:val="en-US" w:eastAsia="zh-CN"/>
              </w:rPr>
              <w:t>为</w:t>
            </w:r>
            <w:r>
              <w:rPr>
                <w:rFonts w:hint="eastAsia"/>
                <w:sz w:val="24"/>
              </w:rPr>
              <w:t>15.53%，第三季度单季综合毛利率</w:t>
            </w:r>
            <w:r>
              <w:rPr>
                <w:rFonts w:hint="eastAsia"/>
                <w:sz w:val="24"/>
                <w:lang w:val="en-US" w:eastAsia="zh-CN"/>
              </w:rPr>
              <w:t>为</w:t>
            </w:r>
            <w:r>
              <w:rPr>
                <w:rFonts w:hint="eastAsia"/>
                <w:sz w:val="24"/>
              </w:rPr>
              <w:t>13.39%，环比下降2.63个百分点。主要影响因素包括：一是公司实施员工持股计划</w:t>
            </w:r>
            <w:r>
              <w:rPr>
                <w:rFonts w:hint="eastAsia"/>
                <w:sz w:val="24"/>
                <w:lang w:val="en-US" w:eastAsia="zh-CN"/>
              </w:rPr>
              <w:t>产生的</w:t>
            </w:r>
            <w:r>
              <w:rPr>
                <w:rFonts w:hint="eastAsia"/>
                <w:sz w:val="24"/>
              </w:rPr>
              <w:t>部分股份支付费用计入制造成本；二是由于产品生产周期、客户出货安排及新老订单价格衔接等因素，第三季度调价效果尚未完全体现。随着新价格逐步落实，预计第四季度毛利率有望</w:t>
            </w:r>
            <w:r>
              <w:rPr>
                <w:rFonts w:hint="eastAsia"/>
                <w:sz w:val="24"/>
                <w:lang w:val="en-US" w:eastAsia="zh-CN"/>
              </w:rPr>
              <w:t>显著</w:t>
            </w:r>
            <w:r>
              <w:rPr>
                <w:rFonts w:hint="eastAsia"/>
                <w:sz w:val="24"/>
              </w:rPr>
              <w:t>回升。</w:t>
            </w:r>
          </w:p>
          <w:p w14:paraId="646CBD2E">
            <w:pPr>
              <w:widowControl/>
              <w:spacing w:line="360" w:lineRule="auto"/>
              <w:ind w:firstLine="480" w:firstLineChars="200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产品结构方面，前三季度QFN产品营业收入占比约40%，同比增长约27%；SiP产品营业收入占比约38%，同比增长接近10%；FC产品营业收入占比约15%，同比增长</w:t>
            </w:r>
            <w:r>
              <w:rPr>
                <w:rFonts w:hint="eastAsia"/>
                <w:sz w:val="24"/>
                <w:lang w:val="en-US" w:eastAsia="zh-CN"/>
              </w:rPr>
              <w:t>约28</w:t>
            </w:r>
            <w:r>
              <w:rPr>
                <w:rFonts w:hint="eastAsia"/>
                <w:sz w:val="24"/>
              </w:rPr>
              <w:t>%；晶圆级封测产品收入占比约5%，同比增长超过30%。公司各主要产品线总体保持增长。第三季度QFN产品收入环比增长超过12%，SiP产品环比增长约4%，FC倒装类产品环比增长超过20%，晶圆级封装产品环比增长约13%。</w:t>
            </w:r>
          </w:p>
          <w:p w14:paraId="4866587C">
            <w:pPr>
              <w:widowControl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下游应用方面，公司下游应用仍以AIoT领域为主。第三季度AIoT相关产品收入占比接近70%，同比增长接近18%；安防类客户收入占比由</w:t>
            </w:r>
            <w:r>
              <w:rPr>
                <w:rFonts w:hint="eastAsia"/>
                <w:sz w:val="24"/>
                <w:lang w:val="en-US" w:eastAsia="zh-CN"/>
              </w:rPr>
              <w:t>去年同期</w:t>
            </w:r>
            <w:r>
              <w:rPr>
                <w:rFonts w:hint="eastAsia"/>
                <w:sz w:val="24"/>
              </w:rPr>
              <w:t>约10%提升至约14%，同比增长接近40%；车规类产品收入同比增长约15%。公司将继续发挥核心AIoT客户基础优势，并拓展安防、车规及其他应用领域客户。</w:t>
            </w:r>
          </w:p>
          <w:p w14:paraId="DC68CD31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客户拓展方面，</w:t>
            </w:r>
            <w:r>
              <w:rPr>
                <w:rFonts w:hint="eastAsia"/>
                <w:sz w:val="24"/>
                <w:lang w:val="en-US" w:eastAsia="zh-CN"/>
              </w:rPr>
              <w:t>公司</w:t>
            </w:r>
            <w:r>
              <w:rPr>
                <w:rFonts w:hint="eastAsia"/>
                <w:sz w:val="24"/>
              </w:rPr>
              <w:t>在深耕中国台湾地区客户的基础上，积极拓展欧美客户群体，与多家头部车规芯片、电源管理芯片厂商建立合作关系，新产品稳步放量中。2026年前三季度，海外营收</w:t>
            </w:r>
            <w:r>
              <w:rPr>
                <w:rFonts w:hint="eastAsia"/>
                <w:sz w:val="24"/>
                <w:lang w:val="en-US" w:eastAsia="zh-CN"/>
              </w:rPr>
              <w:t>接近10亿</w:t>
            </w:r>
            <w:r>
              <w:rPr>
                <w:rFonts w:hint="eastAsia"/>
                <w:sz w:val="24"/>
              </w:rPr>
              <w:t>元，同比增长17%，营收占比</w:t>
            </w:r>
            <w:r>
              <w:rPr>
                <w:rFonts w:hint="eastAsia"/>
                <w:sz w:val="24"/>
                <w:lang w:val="en-US" w:eastAsia="zh-CN"/>
              </w:rPr>
              <w:t>接近25%</w:t>
            </w:r>
            <w:r>
              <w:rPr>
                <w:rFonts w:hint="eastAsia"/>
                <w:sz w:val="24"/>
              </w:rPr>
              <w:t>。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随着相关客户产品逐步上量，公司预计海外大客户将继续为2026年第四季度及2027年的营业收入增长贡献增量。</w:t>
            </w:r>
          </w:p>
          <w:p w14:paraId="1350A210">
            <w:pPr>
              <w:widowControl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研发投入方面，前三季度研发</w:t>
            </w:r>
            <w:r>
              <w:rPr>
                <w:rFonts w:hint="eastAsia"/>
                <w:sz w:val="24"/>
                <w:lang w:val="en-US" w:eastAsia="zh-CN"/>
              </w:rPr>
              <w:t>投入</w:t>
            </w:r>
            <w:r>
              <w:rPr>
                <w:rFonts w:hint="eastAsia"/>
                <w:sz w:val="24"/>
              </w:rPr>
              <w:t>达到26,796.20万元，同比增长22.22%，研发费用率为7.08%。公司持续加大先进封装研发投入，完善晶圆级封装、2.5D等产品线的技术储备和产业化能力。</w:t>
            </w:r>
          </w:p>
          <w:p w14:paraId="85C6501E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2.5D先进封装</w:t>
            </w:r>
            <w:r>
              <w:rPr>
                <w:rFonts w:hint="eastAsia"/>
                <w:sz w:val="24"/>
                <w:lang w:val="en-US" w:eastAsia="zh-CN"/>
              </w:rPr>
              <w:t>方面</w:t>
            </w:r>
            <w:r>
              <w:rPr>
                <w:rFonts w:hint="eastAsia"/>
                <w:sz w:val="24"/>
              </w:rPr>
              <w:t>，相关产品已完成客户送样，基于硅转接板和硅桥的不同技术方案均在推进客户验证，合作及验证客户数量持续增加</w:t>
            </w:r>
            <w:r>
              <w:rPr>
                <w:rFonts w:hint="eastAsia"/>
                <w:sz w:val="24"/>
                <w:lang w:eastAsia="zh-CN"/>
              </w:rPr>
              <w:t>，验证进展总体顺利。</w:t>
            </w:r>
          </w:p>
          <w:p w14:paraId="1D249E88">
            <w:pPr>
              <w:widowControl/>
              <w:spacing w:line="360" w:lineRule="auto"/>
              <w:ind w:firstLine="480" w:firstLineChars="200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展望后续，</w:t>
            </w:r>
            <w:r>
              <w:rPr>
                <w:rFonts w:hint="eastAsia"/>
                <w:sz w:val="24"/>
              </w:rPr>
              <w:t>公司将继续围绕客户拓展与先进封装两条主线推进业务发展。一方面，抓住海外封测产能供给偏紧、全球头部设计公司订单外溢的机会，持续推进客户导入与产能配套；另一方面，加快先进封装工艺迭代及客户验证</w:t>
            </w:r>
            <w:r>
              <w:rPr>
                <w:rFonts w:hint="eastAsia"/>
                <w:sz w:val="24"/>
                <w:lang w:val="en-US" w:eastAsia="zh-CN"/>
              </w:rPr>
              <w:t>进度</w:t>
            </w:r>
            <w:r>
              <w:rPr>
                <w:rFonts w:hint="eastAsia"/>
                <w:sz w:val="24"/>
              </w:rPr>
              <w:t>，推动相关产品逐步形成新的营业收入贡献。对于2026年第四季度和2027年，公司对行业需求及自身经营增长保持积极预期。</w:t>
            </w:r>
          </w:p>
          <w:p w14:paraId="C654506D">
            <w:pPr>
              <w:widowControl/>
              <w:numPr>
                <w:ilvl w:val="0"/>
                <w:numId w:val="1"/>
              </w:numPr>
              <w:spacing w:line="360" w:lineRule="auto"/>
              <w:ind w:firstLine="482" w:firstLineChars="200"/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公司产品涨价落地情况如何，对毛利率有什么影响？</w:t>
            </w:r>
          </w:p>
          <w:p w14:paraId="B7C4E1E8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公司与客户就本轮价格调整的协商已于第三季度基本完成。由于产品生产周期、客户出货安排及新老订单价格衔接等因素，第三季度调价效果尚未完全体现。第四季度将</w:t>
            </w:r>
            <w:r>
              <w:rPr>
                <w:rFonts w:hint="eastAsia"/>
                <w:sz w:val="24"/>
                <w:lang w:val="en-US" w:eastAsia="zh-CN"/>
              </w:rPr>
              <w:t>全面</w:t>
            </w:r>
            <w:r>
              <w:rPr>
                <w:rFonts w:hint="eastAsia"/>
                <w:sz w:val="24"/>
              </w:rPr>
              <w:t>执行调整后</w:t>
            </w:r>
            <w:r>
              <w:rPr>
                <w:rFonts w:hint="eastAsia"/>
                <w:sz w:val="24"/>
                <w:lang w:val="en-US" w:eastAsia="zh-CN"/>
              </w:rPr>
              <w:t>的</w:t>
            </w:r>
            <w:r>
              <w:rPr>
                <w:rFonts w:hint="eastAsia"/>
                <w:sz w:val="24"/>
              </w:rPr>
              <w:t>价格，公司预计第四季度毛利率有望</w:t>
            </w:r>
            <w:r>
              <w:rPr>
                <w:rFonts w:hint="eastAsia"/>
                <w:sz w:val="24"/>
                <w:lang w:val="en-US" w:eastAsia="zh-CN"/>
              </w:rPr>
              <w:t>显著</w:t>
            </w:r>
            <w:r>
              <w:rPr>
                <w:rFonts w:hint="eastAsia"/>
                <w:sz w:val="24"/>
              </w:rPr>
              <w:t>回升。</w:t>
            </w:r>
          </w:p>
          <w:p w14:paraId="77B5D8B1">
            <w:pPr>
              <w:widowControl/>
              <w:numPr>
                <w:ilvl w:val="0"/>
                <w:numId w:val="1"/>
              </w:numPr>
              <w:spacing w:line="360" w:lineRule="auto"/>
              <w:ind w:firstLine="482" w:firstLineChars="200"/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当前公司整体产能稼动率处于什么水平？如何展望第四季度以及未来两至三年的营业收入增长？</w:t>
            </w:r>
          </w:p>
          <w:p w14:paraId="7E6972F4">
            <w:pPr>
              <w:widowControl/>
              <w:spacing w:line="360" w:lineRule="auto"/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受益于海外头部客户订单外溢、部分</w:t>
            </w:r>
            <w:r>
              <w:rPr>
                <w:rFonts w:hint="eastAsia"/>
                <w:sz w:val="24"/>
                <w:lang w:val="en-US" w:eastAsia="zh-CN"/>
              </w:rPr>
              <w:t>大</w:t>
            </w:r>
            <w:r>
              <w:rPr>
                <w:rFonts w:hint="eastAsia"/>
                <w:sz w:val="24"/>
              </w:rPr>
              <w:t>客户逐步进入量产阶段以及新增产能释放，当前主要产线稼动率持续保持较高水平。公司第四季度营业收入预计</w:t>
            </w:r>
            <w:r>
              <w:rPr>
                <w:rFonts w:hint="eastAsia"/>
                <w:sz w:val="24"/>
                <w:lang w:val="en-US" w:eastAsia="zh-CN"/>
              </w:rPr>
              <w:t>保持</w:t>
            </w:r>
            <w:r>
              <w:rPr>
                <w:rFonts w:hint="eastAsia"/>
                <w:sz w:val="24"/>
              </w:rPr>
              <w:t>环比</w:t>
            </w:r>
            <w:r>
              <w:rPr>
                <w:rFonts w:hint="eastAsia"/>
                <w:sz w:val="24"/>
                <w:lang w:val="en-US" w:eastAsia="zh-CN"/>
              </w:rPr>
              <w:t>增长</w:t>
            </w:r>
            <w:r>
              <w:rPr>
                <w:rFonts w:hint="eastAsia"/>
                <w:sz w:val="24"/>
              </w:rPr>
              <w:t>，收入规模和盈利能力有望同步改善。</w:t>
            </w:r>
          </w:p>
          <w:p w14:paraId="10ED5A60">
            <w:pPr>
              <w:widowControl/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展望2027年及</w:t>
            </w:r>
            <w:r>
              <w:rPr>
                <w:rFonts w:hint="eastAsia"/>
                <w:sz w:val="24"/>
                <w:lang w:val="en-US" w:eastAsia="zh-CN"/>
              </w:rPr>
              <w:t>2028年</w:t>
            </w:r>
            <w:r>
              <w:rPr>
                <w:rFonts w:hint="eastAsia"/>
                <w:sz w:val="24"/>
              </w:rPr>
              <w:t>，公司持续获得</w:t>
            </w:r>
            <w:r>
              <w:rPr>
                <w:rFonts w:hint="eastAsia"/>
                <w:sz w:val="24"/>
                <w:lang w:val="en-US" w:eastAsia="zh-CN"/>
              </w:rPr>
              <w:t>大客户</w:t>
            </w:r>
            <w:r>
              <w:rPr>
                <w:rFonts w:hint="eastAsia"/>
                <w:sz w:val="24"/>
              </w:rPr>
              <w:t>的需求预测指引，行业需求仍</w:t>
            </w:r>
            <w:r>
              <w:rPr>
                <w:rFonts w:hint="eastAsia"/>
                <w:sz w:val="24"/>
                <w:lang w:val="en-US" w:eastAsia="zh-CN"/>
              </w:rPr>
              <w:t>会</w:t>
            </w:r>
            <w:r>
              <w:rPr>
                <w:rFonts w:hint="eastAsia"/>
                <w:sz w:val="24"/>
              </w:rPr>
              <w:t>较为旺盛</w:t>
            </w:r>
            <w:r>
              <w:rPr>
                <w:rFonts w:hint="eastAsia"/>
                <w:sz w:val="24"/>
                <w:lang w:eastAsia="zh-CN"/>
              </w:rPr>
              <w:t>；对于更长期的业务持续性，全球头部</w:t>
            </w:r>
            <w:r>
              <w:rPr>
                <w:rFonts w:hint="eastAsia"/>
                <w:sz w:val="24"/>
                <w:lang w:val="en-US" w:eastAsia="zh-CN"/>
              </w:rPr>
              <w:t>设计公司</w:t>
            </w:r>
            <w:r>
              <w:rPr>
                <w:rFonts w:hint="eastAsia"/>
                <w:sz w:val="24"/>
                <w:lang w:eastAsia="zh-CN"/>
              </w:rPr>
              <w:t>客户的供应商导入门槛通常较高，导入成功后合作关系和订单相对更具稳定性，因而有利于形成持续性的收入贡献。同时，随着客户合作逐渐深入，导入产品有望扩展至晶圆级封装等更多产品线，带动客户贡献由单一产品逐步向更多业务领域延伸。公司</w:t>
            </w:r>
            <w:r>
              <w:rPr>
                <w:rFonts w:hint="eastAsia"/>
                <w:sz w:val="24"/>
                <w:lang w:val="en-US" w:eastAsia="zh-CN"/>
              </w:rPr>
              <w:t>对未来三年的行业需求及自身经营增长保持积极预期。</w:t>
            </w:r>
          </w:p>
          <w:p w14:paraId="BFF0EC59">
            <w:pPr>
              <w:widowControl/>
              <w:numPr>
                <w:ilvl w:val="0"/>
                <w:numId w:val="1"/>
              </w:numPr>
              <w:spacing w:line="360" w:lineRule="auto"/>
              <w:ind w:firstLine="482" w:firstLineChars="200"/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公司2.5D先进封装进展如何？</w:t>
            </w:r>
          </w:p>
          <w:p w14:paraId="34969D99">
            <w:pPr>
              <w:widowControl/>
              <w:spacing w:line="360" w:lineRule="auto"/>
              <w:ind w:firstLine="480" w:firstLineChars="200"/>
              <w:rPr>
                <w:rFonts w:hint="eastAsia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公</w:t>
            </w:r>
            <w:r>
              <w:rPr>
                <w:rFonts w:hint="eastAsia"/>
                <w:sz w:val="24"/>
                <w:lang w:eastAsia="zh-CN"/>
              </w:rPr>
              <w:t>司持续推进基于硅转接板和硅桥等技术方案的产品开发，相关产品已实现客户送样，目前已与更多客户建立合作关系并开展验证，</w:t>
            </w:r>
            <w:r>
              <w:rPr>
                <w:rFonts w:hint="eastAsia"/>
                <w:sz w:val="24"/>
                <w:lang w:val="en-US" w:eastAsia="zh-CN"/>
              </w:rPr>
              <w:t>客户群持续扩大，</w:t>
            </w:r>
            <w:r>
              <w:rPr>
                <w:rFonts w:hint="eastAsia"/>
                <w:sz w:val="24"/>
                <w:lang w:eastAsia="zh-CN"/>
              </w:rPr>
              <w:t>整体验证进展顺利。</w:t>
            </w:r>
          </w:p>
        </w:tc>
      </w:tr>
      <w:tr w14:paraId="7A86C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DAB04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附件清单（如有）</w:t>
            </w:r>
          </w:p>
        </w:tc>
        <w:tc>
          <w:tcPr>
            <w:tcW w:w="6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64A634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无</w:t>
            </w:r>
          </w:p>
        </w:tc>
      </w:tr>
      <w:tr w14:paraId="ECA07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6F464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6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DA33D1F8">
            <w:pPr>
              <w:spacing w:line="360" w:lineRule="auto"/>
              <w:rPr>
                <w:bCs/>
                <w:iCs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</w:rPr>
              <w:t>202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6</w:t>
            </w:r>
            <w:r>
              <w:rPr>
                <w:bCs/>
                <w:iCs/>
                <w:color w:val="000000"/>
                <w:sz w:val="24"/>
              </w:rPr>
              <w:t>年</w:t>
            </w:r>
            <w:r>
              <w:rPr>
                <w:rFonts w:hint="eastAsia"/>
                <w:bCs/>
                <w:iCs/>
                <w:color w:val="000000"/>
                <w:sz w:val="24"/>
                <w:lang w:val="en-US" w:eastAsia="zh-CN"/>
              </w:rPr>
              <w:t>10</w:t>
            </w:r>
            <w:r>
              <w:rPr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/>
                <w:bCs/>
                <w:iCs/>
                <w:color w:val="000000"/>
                <w:sz w:val="24"/>
              </w:rPr>
              <w:t>28</w:t>
            </w:r>
            <w:r>
              <w:rPr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FF4FD3C3">
      <w:pPr>
        <w:widowControl/>
        <w:jc w:val="left"/>
        <w:rPr>
          <w:sz w:val="24"/>
        </w:rPr>
      </w:pP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78405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E4397D9F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339113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21C31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EBA54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EC51C95"/>
    <w:multiLevelType w:val="singleLevel"/>
    <w:tmpl w:val="6EC51C9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6167C3D"/>
    <w:rsid w:val="0B3F2DAF"/>
    <w:rsid w:val="13064C0D"/>
    <w:rsid w:val="15E84B86"/>
    <w:rsid w:val="17DC6B27"/>
    <w:rsid w:val="1C3A1A6E"/>
    <w:rsid w:val="25836708"/>
    <w:rsid w:val="2F1C613C"/>
    <w:rsid w:val="43654CB3"/>
    <w:rsid w:val="6123039E"/>
    <w:rsid w:val="62566C8C"/>
    <w:rsid w:val="7916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qFormat/>
    <w:uiPriority w:val="1"/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next w:val="1"/>
    <w:qFormat/>
    <w:uiPriority w:val="0"/>
    <w:pPr>
      <w:widowControl w:val="0"/>
      <w:ind w:left="1680"/>
      <w:jc w:val="both"/>
    </w:pPr>
    <w:rPr>
      <w:rFonts w:ascii="黑体" w:hAnsi="Calibri" w:eastAsia="黑体" w:cs="Arial"/>
      <w:kern w:val="2"/>
      <w:sz w:val="32"/>
      <w:szCs w:val="32"/>
      <w:lang w:val="en-US" w:eastAsia="zh-CN" w:bidi="ar-SA"/>
    </w:rPr>
  </w:style>
  <w:style w:type="paragraph" w:styleId="3">
    <w:name w:val="annotation text"/>
    <w:basedOn w:val="1"/>
    <w:link w:val="15"/>
    <w:qFormat/>
    <w:uiPriority w:val="99"/>
    <w:pPr>
      <w:jc w:val="left"/>
    </w:pPr>
  </w:style>
  <w:style w:type="paragraph" w:styleId="4">
    <w:name w:val="Balloon Text"/>
    <w:basedOn w:val="1"/>
    <w:link w:val="17"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 w:cs="宋体"/>
      <w:sz w:val="18"/>
      <w:szCs w:val="18"/>
    </w:rPr>
  </w:style>
  <w:style w:type="paragraph" w:styleId="6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等线" w:hAnsi="等线" w:eastAsia="等线" w:cs="宋体"/>
      <w:sz w:val="18"/>
      <w:szCs w:val="18"/>
    </w:rPr>
  </w:style>
  <w:style w:type="paragraph" w:styleId="7">
    <w:name w:val="annotation subject"/>
    <w:basedOn w:val="3"/>
    <w:next w:val="3"/>
    <w:link w:val="16"/>
    <w:qFormat/>
    <w:uiPriority w:val="99"/>
    <w:rPr>
      <w:b/>
      <w:bCs/>
    </w:rPr>
  </w:style>
  <w:style w:type="character" w:styleId="10">
    <w:name w:val="Emphasis"/>
    <w:basedOn w:val="9"/>
    <w:qFormat/>
    <w:uiPriority w:val="20"/>
    <w:rPr>
      <w:i/>
    </w:rPr>
  </w:style>
  <w:style w:type="character" w:styleId="11">
    <w:name w:val="annotation reference"/>
    <w:basedOn w:val="9"/>
    <w:qFormat/>
    <w:uiPriority w:val="99"/>
    <w:rPr>
      <w:sz w:val="21"/>
      <w:szCs w:val="21"/>
    </w:rPr>
  </w:style>
  <w:style w:type="paragraph" w:customStyle="1" w:styleId="12">
    <w:name w:val="Normal Indent1"/>
    <w:next w:val="2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3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5">
    <w:name w:val="批注文字 字符"/>
    <w:basedOn w:val="9"/>
    <w:link w:val="3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6">
    <w:name w:val="批注主题 字符"/>
    <w:basedOn w:val="15"/>
    <w:link w:val="7"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17">
    <w:name w:val="批注框文本 字符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8">
    <w:name w:val="修订1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9">
    <w:name w:val="List Paragraph"/>
    <w:basedOn w:val="1"/>
    <w:qFormat/>
    <w:uiPriority w:val="0"/>
    <w:pPr>
      <w:ind w:firstLine="420" w:firstLineChars="200"/>
    </w:pPr>
  </w:style>
  <w:style w:type="paragraph" w:customStyle="1" w:styleId="20">
    <w:name w:val="修订2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1">
    <w:name w:val="修订3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修订4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">
    <w:name w:val="修订5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1821</Words>
  <Characters>1995</Characters>
  <Paragraphs>74</Paragraphs>
  <TotalTime>204</TotalTime>
  <ScaleCrop>false</ScaleCrop>
  <LinksUpToDate>false</LinksUpToDate>
  <CharactersWithSpaces>2063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2023-12-05T09:44:00Z</dcterms:created>
  <dc:creator>周钡钡</dc:creator>
  <cp:lastModifiedBy>甬矽证券部</cp:lastModifiedBy>
  <cp:lastPrinted>2026-10-28T08:25:00Z</cp:lastPrinted>
  <dcterms:modified xsi:type="dcterms:W3CDTF">2026-10-29T05:40:54Z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18D589798B5B4F4DADB7BEA36857998A_13</vt:lpwstr>
  </property>
  <property fmtid="{D5CDD505-2E9C-101B-9397-08002B2CF9AE}" pid="4" name="KSOTemplateDocerSaveRecord">
    <vt:lpwstr>eyJoZGlkIjoiMDZmN2VlOWFiNmJkMWVlMjkzNDU0NzNlMDRlYWVjNjIiLCJ1c2VySWQiOiIxMzg4MzUyNjAyIn0=</vt:lpwstr>
  </property>
</Properties>
</file>