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9DFF9E" w14:textId="01ADD8AF" w:rsidR="00961DE4" w:rsidRPr="00434C47" w:rsidRDefault="00741928" w:rsidP="008D69A2">
      <w:pPr>
        <w:spacing w:before="47" w:line="185" w:lineRule="auto"/>
        <w:ind w:left="339"/>
        <w:jc w:val="distribute"/>
        <w:rPr>
          <w:rFonts w:asciiTheme="minorEastAsia" w:hAnsiTheme="minorEastAsia" w:cs="Times New Roman"/>
          <w:sz w:val="24"/>
          <w:szCs w:val="24"/>
        </w:rPr>
      </w:pPr>
      <w:r w:rsidRPr="00434C47">
        <w:rPr>
          <w:rFonts w:asciiTheme="minorEastAsia" w:hAnsiTheme="minorEastAsia" w:cs="新宋体"/>
          <w:spacing w:val="-17"/>
          <w:sz w:val="24"/>
          <w:szCs w:val="24"/>
        </w:rPr>
        <w:t>证</w:t>
      </w:r>
      <w:r w:rsidRPr="00434C47">
        <w:rPr>
          <w:rFonts w:asciiTheme="minorEastAsia" w:hAnsiTheme="minorEastAsia" w:cs="新宋体"/>
          <w:spacing w:val="-10"/>
          <w:sz w:val="24"/>
          <w:szCs w:val="24"/>
        </w:rPr>
        <w:t>券代码：</w:t>
      </w:r>
      <w:r w:rsidRPr="00434C47">
        <w:rPr>
          <w:rFonts w:asciiTheme="minorEastAsia" w:hAnsiTheme="minorEastAsia" w:cs="Times New Roman"/>
          <w:spacing w:val="-10"/>
          <w:sz w:val="24"/>
          <w:szCs w:val="24"/>
        </w:rPr>
        <w:t>688073</w:t>
      </w:r>
      <w:r w:rsidR="004F19BF" w:rsidRPr="00434C47">
        <w:rPr>
          <w:rFonts w:asciiTheme="minorEastAsia" w:hAnsiTheme="minorEastAsia" w:cs="Times New Roman"/>
          <w:spacing w:val="-10"/>
          <w:sz w:val="24"/>
          <w:szCs w:val="24"/>
        </w:rPr>
        <w:t xml:space="preserve">                       </w:t>
      </w:r>
      <w:r w:rsidRPr="00434C47">
        <w:rPr>
          <w:rFonts w:asciiTheme="minorEastAsia" w:hAnsiTheme="minorEastAsia" w:cs="Times New Roman" w:hint="eastAsia"/>
          <w:spacing w:val="-10"/>
          <w:sz w:val="24"/>
          <w:szCs w:val="24"/>
        </w:rPr>
        <w:t>证券简称：毕得医药</w:t>
      </w:r>
    </w:p>
    <w:p w14:paraId="4BBD298E" w14:textId="7193F91E" w:rsidR="00961DE4" w:rsidRPr="00434C47" w:rsidRDefault="00961DE4">
      <w:pPr>
        <w:spacing w:line="241" w:lineRule="auto"/>
      </w:pPr>
    </w:p>
    <w:p w14:paraId="32EFFE42" w14:textId="77777777" w:rsidR="00961DE4" w:rsidRPr="00434C47" w:rsidRDefault="00741928" w:rsidP="00DB44C7">
      <w:pPr>
        <w:spacing w:beforeLines="50" w:before="156" w:afterLines="50" w:after="156" w:line="222" w:lineRule="auto"/>
        <w:jc w:val="center"/>
        <w:outlineLvl w:val="0"/>
        <w:rPr>
          <w:rFonts w:ascii="新宋体" w:eastAsia="新宋体" w:hAnsi="新宋体" w:cs="新宋体"/>
          <w:sz w:val="32"/>
          <w:szCs w:val="36"/>
        </w:rPr>
      </w:pPr>
      <w:r w:rsidRPr="00434C47">
        <w:rPr>
          <w:rFonts w:ascii="新宋体" w:eastAsia="新宋体" w:hAnsi="新宋体" w:cs="新宋体" w:hint="eastAsia"/>
          <w:spacing w:val="3"/>
          <w:sz w:val="32"/>
          <w:szCs w:val="36"/>
          <w14:textOutline w14:w="5181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  <w:t>上海毕得医药科技</w:t>
      </w:r>
      <w:r w:rsidRPr="00434C47">
        <w:rPr>
          <w:rFonts w:ascii="新宋体" w:eastAsia="新宋体" w:hAnsi="新宋体" w:cs="新宋体"/>
          <w:spacing w:val="3"/>
          <w:sz w:val="32"/>
          <w:szCs w:val="36"/>
          <w14:textOutline w14:w="5181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  <w:t>股份有限公司</w:t>
      </w:r>
    </w:p>
    <w:p w14:paraId="3BFA035E" w14:textId="77777777" w:rsidR="00961DE4" w:rsidRPr="00434C47" w:rsidRDefault="00741928" w:rsidP="00DB44C7">
      <w:pPr>
        <w:spacing w:beforeLines="50" w:before="156" w:afterLines="50" w:after="156" w:line="224" w:lineRule="auto"/>
        <w:jc w:val="center"/>
        <w:rPr>
          <w:rFonts w:ascii="新宋体" w:eastAsia="新宋体" w:hAnsi="新宋体" w:cs="新宋体"/>
          <w:sz w:val="32"/>
          <w:szCs w:val="36"/>
        </w:rPr>
      </w:pPr>
      <w:r w:rsidRPr="00434C47">
        <w:rPr>
          <w:rFonts w:ascii="新宋体" w:eastAsia="新宋体" w:hAnsi="新宋体" w:cs="新宋体"/>
          <w:spacing w:val="9"/>
          <w:sz w:val="32"/>
          <w:szCs w:val="36"/>
          <w14:textOutline w14:w="5181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  <w:t>投</w:t>
      </w:r>
      <w:r w:rsidRPr="00434C47">
        <w:rPr>
          <w:rFonts w:ascii="新宋体" w:eastAsia="新宋体" w:hAnsi="新宋体" w:cs="新宋体"/>
          <w:spacing w:val="5"/>
          <w:sz w:val="32"/>
          <w:szCs w:val="36"/>
          <w14:textOutline w14:w="5181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  <w:t>资者关系活动记录表</w:t>
      </w:r>
    </w:p>
    <w:p w14:paraId="015FFB61" w14:textId="77777777" w:rsidR="00961DE4" w:rsidRPr="00434C47" w:rsidRDefault="00961DE4">
      <w:pPr>
        <w:spacing w:line="86" w:lineRule="exact"/>
      </w:pPr>
    </w:p>
    <w:tbl>
      <w:tblPr>
        <w:tblStyle w:val="TableNormal"/>
        <w:tblW w:w="9915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7"/>
        <w:gridCol w:w="2130"/>
        <w:gridCol w:w="5828"/>
      </w:tblGrid>
      <w:tr w:rsidR="00961DE4" w:rsidRPr="009411D4" w14:paraId="01D58295" w14:textId="77777777" w:rsidTr="00505C58">
        <w:trPr>
          <w:trHeight w:val="473"/>
          <w:jc w:val="center"/>
        </w:trPr>
        <w:tc>
          <w:tcPr>
            <w:tcW w:w="1957" w:type="dxa"/>
            <w:vMerge w:val="restart"/>
            <w:tcBorders>
              <w:top w:val="single" w:sz="2" w:space="0" w:color="000000"/>
              <w:bottom w:val="nil"/>
            </w:tcBorders>
            <w:vAlign w:val="center"/>
          </w:tcPr>
          <w:p w14:paraId="5A3B5DA0" w14:textId="77777777" w:rsidR="00961DE4" w:rsidRPr="009411D4" w:rsidRDefault="00741928">
            <w:pPr>
              <w:spacing w:before="78" w:line="246" w:lineRule="auto"/>
              <w:ind w:left="207" w:right="63"/>
              <w:jc w:val="center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  <w:t>投资者关系活动类别</w:t>
            </w:r>
          </w:p>
        </w:tc>
        <w:tc>
          <w:tcPr>
            <w:tcW w:w="7958" w:type="dxa"/>
            <w:gridSpan w:val="2"/>
            <w:tcBorders>
              <w:top w:val="single" w:sz="2" w:space="0" w:color="000000"/>
              <w:bottom w:val="nil"/>
            </w:tcBorders>
          </w:tcPr>
          <w:p w14:paraId="3283B578" w14:textId="726E162A" w:rsidR="00961DE4" w:rsidRPr="009411D4" w:rsidRDefault="00134681" w:rsidP="00DB0D82">
            <w:pPr>
              <w:spacing w:before="104"/>
              <w:ind w:left="135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□</w:t>
            </w:r>
            <w:r w:rsidR="00741928"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特定对象调研</w:t>
            </w:r>
            <w:r w:rsidR="004F19BF" w:rsidRPr="009411D4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 xml:space="preserve"> </w:t>
            </w:r>
            <w:r w:rsidR="004F19BF"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 xml:space="preserve"> </w:t>
            </w:r>
            <w:r w:rsidR="0060039D"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 xml:space="preserve"> </w:t>
            </w:r>
            <w:r w:rsidR="004F19BF"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 xml:space="preserve">  </w:t>
            </w:r>
            <w:r w:rsid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 xml:space="preserve">   </w:t>
            </w:r>
            <w:r w:rsidR="00740DAC"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□</w:t>
            </w:r>
            <w:r w:rsidR="00741928"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分析</w:t>
            </w:r>
            <w:proofErr w:type="gramStart"/>
            <w:r w:rsidR="00741928"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师会议</w:t>
            </w:r>
            <w:proofErr w:type="gramEnd"/>
          </w:p>
        </w:tc>
      </w:tr>
      <w:tr w:rsidR="00961DE4" w:rsidRPr="009411D4" w14:paraId="2EAAE28A" w14:textId="77777777" w:rsidTr="00505C58">
        <w:trPr>
          <w:trHeight w:val="1403"/>
          <w:jc w:val="center"/>
        </w:trPr>
        <w:tc>
          <w:tcPr>
            <w:tcW w:w="1957" w:type="dxa"/>
            <w:vMerge/>
            <w:tcBorders>
              <w:top w:val="nil"/>
              <w:bottom w:val="nil"/>
            </w:tcBorders>
          </w:tcPr>
          <w:p w14:paraId="76FF3444" w14:textId="77777777" w:rsidR="00961DE4" w:rsidRPr="009411D4" w:rsidRDefault="00961DE4">
            <w:pPr>
              <w:jc w:val="center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bottom w:val="nil"/>
              <w:right w:val="nil"/>
            </w:tcBorders>
          </w:tcPr>
          <w:p w14:paraId="37850001" w14:textId="77777777" w:rsidR="00961DE4" w:rsidRPr="009411D4" w:rsidRDefault="00741928" w:rsidP="00DB0D82">
            <w:pPr>
              <w:spacing w:before="110"/>
              <w:ind w:left="132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□</w:t>
            </w:r>
            <w:r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媒体采访</w:t>
            </w:r>
          </w:p>
          <w:p w14:paraId="045DF51E" w14:textId="77777777" w:rsidR="00961DE4" w:rsidRPr="009411D4" w:rsidRDefault="00741928" w:rsidP="00DB0D82">
            <w:pPr>
              <w:spacing w:before="162"/>
              <w:ind w:left="132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□</w:t>
            </w:r>
            <w:r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新闻发布会</w:t>
            </w:r>
          </w:p>
          <w:p w14:paraId="23912FB4" w14:textId="77777777" w:rsidR="00961DE4" w:rsidRPr="009411D4" w:rsidRDefault="00741928" w:rsidP="00DB0D82">
            <w:pPr>
              <w:spacing w:before="163"/>
              <w:ind w:left="132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□</w:t>
            </w:r>
            <w:r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现场参观</w:t>
            </w:r>
          </w:p>
        </w:tc>
        <w:tc>
          <w:tcPr>
            <w:tcW w:w="5828" w:type="dxa"/>
            <w:tcBorders>
              <w:top w:val="nil"/>
              <w:left w:val="nil"/>
              <w:bottom w:val="nil"/>
            </w:tcBorders>
          </w:tcPr>
          <w:p w14:paraId="13DFE1E3" w14:textId="5AB4C94B" w:rsidR="00961DE4" w:rsidRPr="009411D4" w:rsidRDefault="00B73947" w:rsidP="005A7878">
            <w:pPr>
              <w:spacing w:before="110"/>
              <w:ind w:left="668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□</w:t>
            </w:r>
            <w:r w:rsidR="00741928"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业绩说明会</w:t>
            </w:r>
          </w:p>
          <w:p w14:paraId="0EE97E9C" w14:textId="55422D97" w:rsidR="00961DE4" w:rsidRPr="009411D4" w:rsidRDefault="00182561" w:rsidP="00DB0D82">
            <w:pPr>
              <w:spacing w:before="163"/>
              <w:ind w:left="668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□</w:t>
            </w:r>
            <w:r w:rsidR="00741928"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路演活动</w:t>
            </w:r>
          </w:p>
        </w:tc>
      </w:tr>
      <w:tr w:rsidR="00961DE4" w:rsidRPr="009411D4" w14:paraId="40A64521" w14:textId="77777777" w:rsidTr="00505C58">
        <w:trPr>
          <w:trHeight w:val="482"/>
          <w:jc w:val="center"/>
        </w:trPr>
        <w:tc>
          <w:tcPr>
            <w:tcW w:w="1957" w:type="dxa"/>
            <w:vMerge/>
            <w:tcBorders>
              <w:top w:val="nil"/>
              <w:bottom w:val="single" w:sz="2" w:space="0" w:color="000000"/>
            </w:tcBorders>
          </w:tcPr>
          <w:p w14:paraId="6CC1A6FD" w14:textId="77777777" w:rsidR="00961DE4" w:rsidRPr="009411D4" w:rsidRDefault="00961DE4">
            <w:pPr>
              <w:jc w:val="center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7958" w:type="dxa"/>
            <w:gridSpan w:val="2"/>
            <w:tcBorders>
              <w:top w:val="nil"/>
              <w:bottom w:val="single" w:sz="2" w:space="0" w:color="000000"/>
            </w:tcBorders>
          </w:tcPr>
          <w:p w14:paraId="5C303676" w14:textId="0864DDF3" w:rsidR="00961DE4" w:rsidRPr="009411D4" w:rsidRDefault="00B73947" w:rsidP="00DB0D82">
            <w:pPr>
              <w:spacing w:before="105"/>
              <w:ind w:left="132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Segoe UI Symbol" w:eastAsia="仿宋_GB2312" w:hAnsi="Segoe UI Symbol" w:cs="Segoe UI Symbol"/>
                <w:color w:val="auto"/>
                <w:kern w:val="2"/>
                <w:sz w:val="24"/>
                <w:szCs w:val="24"/>
              </w:rPr>
              <w:t>☑</w:t>
            </w:r>
            <w:r w:rsidR="00741928"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其他(</w:t>
            </w:r>
            <w:r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电话会议</w:t>
            </w:r>
            <w:r w:rsidR="00741928"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)</w:t>
            </w:r>
          </w:p>
        </w:tc>
      </w:tr>
      <w:tr w:rsidR="00961DE4" w:rsidRPr="009411D4" w14:paraId="05DF9776" w14:textId="77777777" w:rsidTr="00505C58">
        <w:trPr>
          <w:trHeight w:val="1328"/>
          <w:jc w:val="center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5B6CAEB" w14:textId="77777777" w:rsidR="00961DE4" w:rsidRPr="009411D4" w:rsidRDefault="00741928" w:rsidP="00625BD7">
            <w:pPr>
              <w:spacing w:before="78" w:line="367" w:lineRule="auto"/>
              <w:ind w:left="206" w:right="63"/>
              <w:jc w:val="center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  <w:t>参与单位名称</w:t>
            </w:r>
          </w:p>
        </w:tc>
        <w:tc>
          <w:tcPr>
            <w:tcW w:w="7958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0938199" w14:textId="4AADEE7C" w:rsidR="00EF12A6" w:rsidRPr="009411D4" w:rsidRDefault="000D3305" w:rsidP="00025EB8">
            <w:pPr>
              <w:spacing w:before="38"/>
              <w:ind w:left="43"/>
              <w:rPr>
                <w:rFonts w:ascii="仿宋_GB2312" w:eastAsia="仿宋_GB2312" w:hAnsi="宋体" w:cs="Times New Roman"/>
                <w:color w:val="000000" w:themeColor="text1"/>
                <w:kern w:val="2"/>
                <w:sz w:val="24"/>
                <w:szCs w:val="24"/>
              </w:rPr>
            </w:pPr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中银基金、中信证券、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中信保诚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基金、中泰证券、中金公司、国寿养老、致合资产、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浙商证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券、伟星资产、招商资管、招商证券、长信基金、长城基金、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圆信永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丰基金、银河基金、易方达基金、野村东方国际证券、兴业证券、兴业基金、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信银理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财、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信达澳亚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基金、新华资产、湘财基金、西部证券、天风证券、太平资产、太平洋资产、世纪证券、榕树投资、申万菱信基金、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域秀资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产、万纳私募基金、弢盛资产、时禛咨询、睿扬投资、君和立成投资、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玖鹏资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产、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光证资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管、非马投资、睿远基金、瑞达基金、融通基金、前海开源基金、千合资本、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浦银理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财、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浦银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安盛基金、平安理财、平安基金、鹏华基金、诺安基金、农银汇理基金、南方基金、摩根士丹利基金、开源证券、瑞华投资、建信基金、嘉实基金、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汇添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富基金、汇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丰晋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信基金、华西证券、华泰资管、华创证券、华宝基金、华安基金、万泰华瑞投资、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红思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客资产、国泰海通证券、海富通基金、国泰海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通资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管、国联安基金、国金证券、国海富兰克林基金、光大证券、光大保德信基金、工银安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盛资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管、富国基金、富安达基金、东吴证券、东方证券、东方财富、德邦基金、淡水泉、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创金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合信基金、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北京泽铭投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资、</w:t>
            </w:r>
            <w:proofErr w:type="gramStart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国证资</w:t>
            </w:r>
            <w:proofErr w:type="gramEnd"/>
            <w:r w:rsidRPr="000D3305">
              <w:rPr>
                <w:rFonts w:ascii="仿宋_GB2312" w:eastAsia="仿宋_GB2312" w:hAnsi="宋体" w:cs="Times New Roman" w:hint="eastAsia"/>
                <w:color w:val="000000" w:themeColor="text1"/>
                <w:kern w:val="2"/>
                <w:sz w:val="24"/>
                <w:szCs w:val="24"/>
              </w:rPr>
              <w:t>管、安联资管、IDG资本、HBM Partners、An</w:t>
            </w:r>
            <w:r w:rsidRPr="000D3305">
              <w:rPr>
                <w:rFonts w:ascii="仿宋_GB2312" w:eastAsia="仿宋_GB2312" w:hAnsi="宋体" w:cs="Times New Roman"/>
                <w:color w:val="000000" w:themeColor="text1"/>
                <w:kern w:val="2"/>
                <w:sz w:val="24"/>
                <w:szCs w:val="24"/>
              </w:rPr>
              <w:t>atole</w:t>
            </w:r>
          </w:p>
        </w:tc>
      </w:tr>
      <w:tr w:rsidR="00961DE4" w:rsidRPr="009411D4" w14:paraId="06719EA2" w14:textId="77777777" w:rsidTr="00505C58">
        <w:trPr>
          <w:trHeight w:val="475"/>
          <w:jc w:val="center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6DC24B47" w14:textId="77777777" w:rsidR="00961DE4" w:rsidRPr="009411D4" w:rsidRDefault="00741928">
            <w:pPr>
              <w:spacing w:before="114" w:line="222" w:lineRule="auto"/>
              <w:jc w:val="center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  <w:t>时间</w:t>
            </w:r>
          </w:p>
        </w:tc>
        <w:tc>
          <w:tcPr>
            <w:tcW w:w="7958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51CED296" w14:textId="439DEA96" w:rsidR="00961DE4" w:rsidRPr="009411D4" w:rsidRDefault="00182561" w:rsidP="00505C58">
            <w:pPr>
              <w:spacing w:before="113" w:line="276" w:lineRule="auto"/>
              <w:ind w:left="15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2026</w:t>
            </w:r>
            <w:r w:rsidR="006F590C" w:rsidRPr="009411D4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年</w:t>
            </w:r>
            <w:r w:rsidR="00134681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10</w:t>
            </w:r>
            <w:r w:rsidR="006F590C" w:rsidRPr="009411D4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月</w:t>
            </w:r>
            <w:r w:rsidR="00134681"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  <w:t>30</w:t>
            </w:r>
            <w:r w:rsidR="00E95B4F" w:rsidRPr="009411D4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日</w:t>
            </w:r>
          </w:p>
        </w:tc>
      </w:tr>
      <w:tr w:rsidR="00961DE4" w:rsidRPr="009411D4" w14:paraId="4357FC12" w14:textId="77777777" w:rsidTr="00505C58">
        <w:trPr>
          <w:trHeight w:val="475"/>
          <w:jc w:val="center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FDF7408" w14:textId="77777777" w:rsidR="00961DE4" w:rsidRPr="009411D4" w:rsidRDefault="00741928">
            <w:pPr>
              <w:spacing w:before="114" w:line="224" w:lineRule="auto"/>
              <w:jc w:val="center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  <w:t>地点</w:t>
            </w:r>
          </w:p>
        </w:tc>
        <w:tc>
          <w:tcPr>
            <w:tcW w:w="7958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A73462D" w14:textId="794DDF3A" w:rsidR="00961DE4" w:rsidRPr="009411D4" w:rsidRDefault="00134681" w:rsidP="00505C58">
            <w:pPr>
              <w:spacing w:before="114" w:line="276" w:lineRule="auto"/>
              <w:ind w:left="47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进门财经</w:t>
            </w:r>
          </w:p>
        </w:tc>
      </w:tr>
      <w:tr w:rsidR="00961DE4" w:rsidRPr="009411D4" w14:paraId="64DD1912" w14:textId="77777777" w:rsidTr="00505C58">
        <w:trPr>
          <w:trHeight w:val="940"/>
          <w:jc w:val="center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2DDA43C" w14:textId="77777777" w:rsidR="00A175BC" w:rsidRPr="009411D4" w:rsidRDefault="00741928" w:rsidP="00A175BC">
            <w:pPr>
              <w:jc w:val="center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  <w:t>上市公司接待</w:t>
            </w:r>
          </w:p>
          <w:p w14:paraId="216E2292" w14:textId="3E63B9DA" w:rsidR="00961DE4" w:rsidRPr="009411D4" w:rsidRDefault="00741928" w:rsidP="00A175BC">
            <w:pPr>
              <w:jc w:val="center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  <w:t>人员姓名</w:t>
            </w:r>
          </w:p>
        </w:tc>
        <w:tc>
          <w:tcPr>
            <w:tcW w:w="7958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C7EB75B" w14:textId="344CF1FB" w:rsidR="00B73947" w:rsidRDefault="00134681" w:rsidP="006F590C">
            <w:pPr>
              <w:spacing w:line="276" w:lineRule="auto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副总经理兼董事会秘书</w:t>
            </w:r>
            <w:r w:rsid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周豫</w:t>
            </w:r>
          </w:p>
          <w:p w14:paraId="080C8F2B" w14:textId="06EBEE72" w:rsidR="00182561" w:rsidRPr="009411D4" w:rsidRDefault="00134681" w:rsidP="006F590C">
            <w:pPr>
              <w:spacing w:line="276" w:lineRule="auto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财务总监</w:t>
            </w:r>
            <w:r w:rsid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王坤</w:t>
            </w:r>
            <w:bookmarkStart w:id="0" w:name="_GoBack"/>
            <w:bookmarkEnd w:id="0"/>
          </w:p>
        </w:tc>
      </w:tr>
      <w:tr w:rsidR="00961DE4" w:rsidRPr="009411D4" w14:paraId="1EE4B3C5" w14:textId="77777777" w:rsidTr="00505C58">
        <w:trPr>
          <w:trHeight w:val="940"/>
          <w:jc w:val="center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117A713" w14:textId="77777777" w:rsidR="00961DE4" w:rsidRPr="009411D4" w:rsidRDefault="00741928">
            <w:pPr>
              <w:spacing w:before="205" w:line="257" w:lineRule="auto"/>
              <w:ind w:right="244"/>
              <w:jc w:val="center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  <w:t>投资者关系活动主要内容介绍</w:t>
            </w:r>
          </w:p>
        </w:tc>
        <w:tc>
          <w:tcPr>
            <w:tcW w:w="7958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75AB909" w14:textId="77777777" w:rsidR="00B73947" w:rsidRPr="00B73947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  <w:r w:rsidRPr="00B73947">
              <w:rPr>
                <w:rFonts w:ascii="仿宋_GB2312" w:eastAsia="仿宋_GB2312" w:hAnsi="宋体" w:cs="Times New Roman" w:hint="eastAsia"/>
                <w:b/>
                <w:color w:val="auto"/>
                <w:kern w:val="2"/>
                <w:sz w:val="24"/>
                <w:szCs w:val="24"/>
              </w:rPr>
              <w:t>1.公司前三季度经营情况如何？销售渠道调整和内部管理优化有哪些进展，后续收入增长节奏怎么看？</w:t>
            </w:r>
          </w:p>
          <w:p w14:paraId="7E795E75" w14:textId="348F0F47" w:rsidR="00B73947" w:rsidRPr="00B73947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回答：前三季度，公司实现营业收入10.51亿元，同比增长7.37%；</w:t>
            </w:r>
            <w:proofErr w:type="gramStart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归母净利润</w:t>
            </w:r>
            <w:proofErr w:type="gramEnd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1.64亿元，同比增长36.92%；</w:t>
            </w:r>
            <w:proofErr w:type="gramStart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扣非归母净</w:t>
            </w:r>
            <w:proofErr w:type="gramEnd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利润1.43亿元，同比增长39.11%；经营活动产生的现金流量净额1.86亿元，同比增长2,026.70%。毛利率为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lastRenderedPageBreak/>
              <w:t>49.75%，同比提升约5.30个百分点，利润端延续了较快增长的态势。销售渠道调整目前仍在进行，但不能简单地把第三季度收入增速放缓归因于渠道调整。从表观数据看，第三季度收入增速确实低于前两个季度，不过也需要结合几个因素来看：去年第三季度是全年收入最高的季度，同期基数较高；</w:t>
            </w:r>
            <w:r w:rsidR="006F3203" w:rsidRPr="006F3203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汇率波动对海外收入折算和汇兑</w:t>
            </w:r>
            <w:proofErr w:type="gramStart"/>
            <w:r w:rsidR="006F3203" w:rsidRPr="006F3203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损益仍</w:t>
            </w:r>
            <w:proofErr w:type="gramEnd"/>
            <w:r w:rsidR="006F3203" w:rsidRPr="006F3203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有一定影响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；此外，还有一定跨期因素。结合业务开展情况，</w:t>
            </w:r>
            <w:r w:rsidR="00D660B1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公司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感受到第三季度收入</w:t>
            </w:r>
            <w:proofErr w:type="gramStart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端正在</w:t>
            </w:r>
            <w:proofErr w:type="gramEnd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逐步改善，对第四季度增速恢复保持期待。当然，后续也要观察汇率是否继续向不利于公司的方向变化，如果汇率能保持相对稳定，收入端的表现有望进一步改善。</w:t>
            </w:r>
            <w:r w:rsidR="00D660B1" w:rsidRPr="00D660B1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内部管理方面，公司持续推进费用精细化管理和经营效率提升。前三季度，管理费用总体保持相对稳定，随着营业收入增长，管理费用率有所下降。后续公司将继续加强费用管控，提升运营效率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。</w:t>
            </w:r>
          </w:p>
          <w:p w14:paraId="1129B47B" w14:textId="77777777" w:rsidR="00B73947" w:rsidRPr="00B73947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</w:p>
          <w:p w14:paraId="07FD7D79" w14:textId="77777777" w:rsidR="00B73947" w:rsidRPr="00B73947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  <w:r w:rsidRPr="00B73947">
              <w:rPr>
                <w:rFonts w:ascii="仿宋_GB2312" w:eastAsia="仿宋_GB2312" w:hAnsi="宋体" w:cs="Times New Roman" w:hint="eastAsia"/>
                <w:b/>
                <w:color w:val="auto"/>
                <w:kern w:val="2"/>
                <w:sz w:val="24"/>
                <w:szCs w:val="24"/>
              </w:rPr>
              <w:t>2.AIDD对分子砌块需求有什么带动？各类客户及国内外市场需求如何？</w:t>
            </w:r>
          </w:p>
          <w:p w14:paraId="22C33392" w14:textId="7F6584C5" w:rsidR="00B73947" w:rsidRPr="00B73947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回答：</w:t>
            </w:r>
            <w:r w:rsidR="00D660B1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公司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认为，AI药物研发，也就是AIDD，对分子砌块需求的增量带动比较明显，但这种带动并不完全是直接发生的。很多开展大模型研究的企业并不会直接</w:t>
            </w:r>
            <w:proofErr w:type="gramStart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自己做湿实验</w:t>
            </w:r>
            <w:proofErr w:type="gramEnd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，只有部分企业会搭建湿实验环节，形成研发闭环，因此AIDD场景下存在较多外包需求。从</w:t>
            </w:r>
            <w:r w:rsidR="00D660B1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公司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接触的大量客户看，尤其是研发外包客户，需求比较活跃。这不仅是今年的机会，未来的增量也值得期待。从客户类型看，CRO、</w:t>
            </w:r>
            <w:proofErr w:type="gramStart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终端药企和</w:t>
            </w:r>
            <w:proofErr w:type="gramEnd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科研院所总体都处于增长态势，只是增长快慢有所不同。目前研发外包客户的需求相对更大。国内外需求整体也比较稳定，并有景气度回升的趋势。今年产品</w:t>
            </w:r>
            <w:r w:rsidR="00673EDC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销售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结构</w:t>
            </w:r>
            <w:r w:rsidR="00673EDC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持续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优化，毛利率的改善也从侧面反映了客户需求情况。从</w:t>
            </w:r>
            <w:r w:rsidR="00D660B1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公司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的观察看，国内外整体增速差别不算很大，海外可能略快一些。</w:t>
            </w:r>
          </w:p>
          <w:p w14:paraId="359E2CC0" w14:textId="77777777" w:rsidR="00B73947" w:rsidRPr="00B73947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</w:p>
          <w:p w14:paraId="10278AE2" w14:textId="77777777" w:rsidR="00B73947" w:rsidRPr="00B73947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  <w:r w:rsidRPr="00B73947">
              <w:rPr>
                <w:rFonts w:ascii="仿宋_GB2312" w:eastAsia="仿宋_GB2312" w:hAnsi="宋体" w:cs="Times New Roman" w:hint="eastAsia"/>
                <w:b/>
                <w:color w:val="auto"/>
                <w:kern w:val="2"/>
                <w:sz w:val="24"/>
                <w:szCs w:val="24"/>
              </w:rPr>
              <w:t>3.公司如何应对分子砌块市场竞争及AI带来的机会？</w:t>
            </w:r>
          </w:p>
          <w:p w14:paraId="5807BE5E" w14:textId="74A36DED" w:rsidR="00B73947" w:rsidRPr="00B73947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回答：公司的竞争力仍然围绕“多、快、好、省”展开，</w:t>
            </w:r>
            <w:r w:rsidR="00D660B1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公司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会持续深化全球化和数字化，通过这两个方向提升自身能力。海外方面，重点是深化本地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lastRenderedPageBreak/>
              <w:t>化交付和客户服务，争取进一步提高海外收入占比；数字化方面，会结合系统建设和AI逆合成分析，提升产品匹配能力，加强采购与供应链协同。</w:t>
            </w:r>
            <w:r w:rsidR="00D660B1" w:rsidRPr="00D660B1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在产品布局方面，公司将重点关注PROTAC、GLP-1、ADC等前沿药物研发领域的相关需求，同时持续拓展含氟砌块等特色产品线，丰富复杂结构、高附加值的药物分子砌块产品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。同时，我们也重视回款、盈利和现金流质量，第三季度经营现金</w:t>
            </w:r>
            <w:proofErr w:type="gramStart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流表现</w:t>
            </w:r>
            <w:proofErr w:type="gramEnd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较好，后续还会继续夯实这方面的基础。在</w:t>
            </w:r>
            <w:r w:rsidR="00673EDC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AI4S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的发展浪潮下，公司希望通过提升客户服务和供应链质量，把握需求机会，在市场份额和产品拓展方面取得新的进展。</w:t>
            </w:r>
          </w:p>
          <w:p w14:paraId="3C1EF3D1" w14:textId="77777777" w:rsidR="00B73947" w:rsidRPr="00B73947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</w:p>
          <w:p w14:paraId="0A7C6056" w14:textId="77777777" w:rsidR="00B73947" w:rsidRPr="00B73947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  <w:r w:rsidRPr="00B73947">
              <w:rPr>
                <w:rFonts w:ascii="仿宋_GB2312" w:eastAsia="仿宋_GB2312" w:hAnsi="宋体" w:cs="Times New Roman" w:hint="eastAsia"/>
                <w:b/>
                <w:color w:val="auto"/>
                <w:kern w:val="2"/>
                <w:sz w:val="24"/>
                <w:szCs w:val="24"/>
              </w:rPr>
              <w:t>4.公司毛利率及净利率后续还有多大改善空间？渠道调整、海外业务和费用率会产生怎样的影响？</w:t>
            </w:r>
          </w:p>
          <w:p w14:paraId="60887AB0" w14:textId="4A0C0FA8" w:rsidR="00B73947" w:rsidRPr="00B73947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回答：从毛利率看，我们认为公司整体保持了相对稳定的态势。第三季度虽然没有第二季度那么亮眼，但第二季度有美国关税退税因素，因此在比较两个季度时，需要把这一影响考虑进去。</w:t>
            </w:r>
            <w:r w:rsidR="00D660B1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公司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对未来趋势展望仍然比较积极，认为还有继续提升的潜力。支撑因素主要来自渠道调整和海外业务结构的变化。目前销售渠道调整仍在进行，后续还有进一步推进的空间。由于海外业务毛利率相对高于国内，如果这两个方向能够持续推进，就有望继续带动整体毛利率改善。净利率方面，</w:t>
            </w:r>
            <w:r w:rsidR="00D660B1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公司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认为同样存在提升空间。除了毛利率本身的改善，收入增长节奏也会影响期间费用率。如果后续收入增速加快，费用控制和管理优化的效果有望进一步体现，费用率也可能随之改善。</w:t>
            </w:r>
          </w:p>
          <w:p w14:paraId="6ED79BA9" w14:textId="77777777" w:rsidR="00B73947" w:rsidRPr="00B73947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</w:p>
          <w:p w14:paraId="35A9AB52" w14:textId="6E2465AA" w:rsidR="00B73947" w:rsidRPr="00B73947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  <w:r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  <w:t>5</w:t>
            </w:r>
            <w:r w:rsidRPr="00B73947">
              <w:rPr>
                <w:rFonts w:ascii="仿宋_GB2312" w:eastAsia="仿宋_GB2312" w:hAnsi="宋体" w:cs="Times New Roman" w:hint="eastAsia"/>
                <w:b/>
                <w:color w:val="auto"/>
                <w:kern w:val="2"/>
                <w:sz w:val="24"/>
                <w:szCs w:val="24"/>
              </w:rPr>
              <w:t>.公司存货规模较高</w:t>
            </w:r>
            <w:r w:rsidR="00F8525A">
              <w:rPr>
                <w:rFonts w:ascii="仿宋_GB2312" w:eastAsia="仿宋_GB2312" w:hAnsi="宋体" w:cs="Times New Roman" w:hint="eastAsia"/>
                <w:b/>
                <w:color w:val="auto"/>
                <w:kern w:val="2"/>
                <w:sz w:val="24"/>
                <w:szCs w:val="24"/>
              </w:rPr>
              <w:t>，</w:t>
            </w:r>
            <w:r w:rsidRPr="00B73947">
              <w:rPr>
                <w:rFonts w:ascii="仿宋_GB2312" w:eastAsia="仿宋_GB2312" w:hAnsi="宋体" w:cs="Times New Roman" w:hint="eastAsia"/>
                <w:b/>
                <w:color w:val="auto"/>
                <w:kern w:val="2"/>
                <w:sz w:val="24"/>
                <w:szCs w:val="24"/>
              </w:rPr>
              <w:t>未来更重视产品库广度还是周转效率？</w:t>
            </w:r>
          </w:p>
          <w:p w14:paraId="4817C91B" w14:textId="6D4A60EE" w:rsidR="009961B2" w:rsidRPr="009411D4" w:rsidRDefault="00B73947" w:rsidP="00B73947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回答：截至2026年9月末，公司存货账面价值约9.23亿元，比年初有所下降。</w:t>
            </w:r>
            <w:r w:rsidR="00D660B1" w:rsidRPr="00D660B1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公司目前已形成较为丰富的产品库和SKU储备。在保持产品品类持续优化的基础上，公司近年来更加重视现有产品的销售转化及库存周转效率，通过提升产品管理和供应链运营能力，实现产品广度与运营效率的平衡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。这个变化也可以从报表</w:t>
            </w:r>
            <w:proofErr w:type="gramStart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端观察</w:t>
            </w:r>
            <w:proofErr w:type="gramEnd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到</w:t>
            </w:r>
            <w:r w:rsidR="00D660B1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。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过去两年，公司备货和库存并没有再出现大规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lastRenderedPageBreak/>
              <w:t>模提升，而是在进行一定控制。今年收入保持增长的同时，期末</w:t>
            </w:r>
            <w:proofErr w:type="gramStart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库存较</w:t>
            </w:r>
            <w:proofErr w:type="gramEnd"/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年初反而有所下降。也就是说，公司并没有简单地通过持续增加库存来配合业务增长，而是更加重视现有库存的使用和周转情况。对于未来产品库的发展，</w:t>
            </w:r>
            <w:r w:rsidR="00D660B1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公司</w:t>
            </w:r>
            <w:r w:rsidRPr="00B73947">
              <w:rPr>
                <w:rFonts w:ascii="仿宋_GB2312" w:eastAsia="仿宋_GB2312" w:hAnsi="宋体" w:cs="Times New Roman" w:hint="eastAsia"/>
                <w:color w:val="auto"/>
                <w:kern w:val="2"/>
                <w:sz w:val="24"/>
                <w:szCs w:val="24"/>
              </w:rPr>
              <w:t>仍会把周转效率放在比较重要的位置，这也是公司这两年在备货、库存及货架产品管理方面持续强调的方向。</w:t>
            </w:r>
          </w:p>
          <w:p w14:paraId="0DDE2957" w14:textId="080AB10F" w:rsidR="00505C58" w:rsidRPr="009411D4" w:rsidRDefault="00505C58" w:rsidP="009411D4">
            <w:pPr>
              <w:widowControl w:val="0"/>
              <w:tabs>
                <w:tab w:val="left" w:pos="312"/>
              </w:tabs>
              <w:kinsoku/>
              <w:autoSpaceDE/>
              <w:autoSpaceDN/>
              <w:adjustRightInd/>
              <w:snapToGrid/>
              <w:spacing w:beforeLines="50" w:before="156" w:afterLines="50" w:after="156" w:line="360" w:lineRule="auto"/>
              <w:jc w:val="both"/>
              <w:textAlignment w:val="auto"/>
              <w:rPr>
                <w:rFonts w:ascii="仿宋_GB2312" w:eastAsia="仿宋_GB2312" w:hAnsi="宋体" w:cs="Times New Roman"/>
                <w:color w:val="auto"/>
                <w:kern w:val="2"/>
                <w:sz w:val="24"/>
                <w:szCs w:val="24"/>
              </w:rPr>
            </w:pPr>
          </w:p>
        </w:tc>
      </w:tr>
      <w:tr w:rsidR="00961DE4" w:rsidRPr="009411D4" w14:paraId="2C1DCE2D" w14:textId="77777777" w:rsidTr="00505C58">
        <w:trPr>
          <w:trHeight w:val="940"/>
          <w:jc w:val="center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6D149C8" w14:textId="77777777" w:rsidR="00961DE4" w:rsidRPr="009411D4" w:rsidRDefault="00741928">
            <w:pPr>
              <w:spacing w:before="24" w:line="315" w:lineRule="exact"/>
              <w:jc w:val="center"/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  <w:lastRenderedPageBreak/>
              <w:t>附件清单</w:t>
            </w:r>
          </w:p>
          <w:p w14:paraId="660866DB" w14:textId="77777777" w:rsidR="00961DE4" w:rsidRPr="009411D4" w:rsidRDefault="00741928">
            <w:pPr>
              <w:spacing w:before="24" w:line="315" w:lineRule="exact"/>
              <w:jc w:val="center"/>
              <w:rPr>
                <w:rFonts w:ascii="Times New Roman" w:eastAsia="新宋体" w:hAnsi="Times New Roman" w:cs="Times New Roman"/>
                <w:b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b/>
                <w:color w:val="auto"/>
                <w:kern w:val="2"/>
                <w:sz w:val="24"/>
                <w:szCs w:val="24"/>
              </w:rPr>
              <w:t>(如有)</w:t>
            </w:r>
          </w:p>
        </w:tc>
        <w:tc>
          <w:tcPr>
            <w:tcW w:w="7958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6B5EBA4B" w14:textId="77777777" w:rsidR="00961DE4" w:rsidRPr="009411D4" w:rsidRDefault="00741928" w:rsidP="00B953F3">
            <w:pPr>
              <w:spacing w:before="115" w:line="220" w:lineRule="auto"/>
              <w:jc w:val="center"/>
              <w:rPr>
                <w:rFonts w:ascii="Times New Roman" w:eastAsia="新宋体" w:hAnsi="Times New Roman" w:cs="Times New Roman"/>
                <w:sz w:val="24"/>
                <w:szCs w:val="24"/>
              </w:rPr>
            </w:pPr>
            <w:r w:rsidRPr="009411D4">
              <w:rPr>
                <w:rFonts w:ascii="仿宋_GB2312" w:eastAsia="仿宋_GB2312" w:hAnsi="宋体" w:cs="Times New Roman"/>
                <w:snapToGrid/>
                <w:sz w:val="24"/>
                <w:szCs w:val="24"/>
              </w:rPr>
              <w:t>无</w:t>
            </w:r>
          </w:p>
        </w:tc>
      </w:tr>
    </w:tbl>
    <w:p w14:paraId="50B4BA92" w14:textId="77777777" w:rsidR="00505C58" w:rsidRDefault="00505C58" w:rsidP="00EA20C3"/>
    <w:sectPr w:rsidR="00505C58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0A4F4" w14:textId="77777777" w:rsidR="007376A9" w:rsidRDefault="007376A9">
      <w:r>
        <w:separator/>
      </w:r>
    </w:p>
  </w:endnote>
  <w:endnote w:type="continuationSeparator" w:id="0">
    <w:p w14:paraId="5A273379" w14:textId="77777777" w:rsidR="007376A9" w:rsidRDefault="00737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charset w:val="00"/>
    <w:family w:val="auto"/>
    <w:pitch w:val="default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8A9D82" w14:textId="77777777" w:rsidR="007376A9" w:rsidRDefault="007376A9">
      <w:r>
        <w:separator/>
      </w:r>
    </w:p>
  </w:footnote>
  <w:footnote w:type="continuationSeparator" w:id="0">
    <w:p w14:paraId="473F2579" w14:textId="77777777" w:rsidR="007376A9" w:rsidRDefault="00737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8BE5A" w14:textId="77777777" w:rsidR="00961DE4" w:rsidRDefault="00741928" w:rsidP="001F10CD">
    <w:pPr>
      <w:spacing w:before="322" w:line="198" w:lineRule="auto"/>
      <w:ind w:right="31"/>
      <w:jc w:val="right"/>
    </w:pPr>
    <w:r>
      <w:rPr>
        <w:noProof/>
        <w:sz w:val="19"/>
        <w:szCs w:val="19"/>
      </w:rPr>
      <w:drawing>
        <wp:anchor distT="0" distB="0" distL="114300" distR="114300" simplePos="0" relativeHeight="251659264" behindDoc="0" locked="0" layoutInCell="1" allowOverlap="1" wp14:anchorId="093754EC" wp14:editId="2AC1A3F9">
          <wp:simplePos x="0" y="0"/>
          <wp:positionH relativeFrom="column">
            <wp:posOffset>122555</wp:posOffset>
          </wp:positionH>
          <wp:positionV relativeFrom="paragraph">
            <wp:posOffset>12065</wp:posOffset>
          </wp:positionV>
          <wp:extent cx="946785" cy="378460"/>
          <wp:effectExtent l="0" t="0" r="5715" b="2540"/>
          <wp:wrapNone/>
          <wp:docPr id="3" name="图片 3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2" descr="文本&#10;&#10;描述已自动生成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1790" cy="3802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F10CD">
      <w:rPr>
        <w:rFonts w:ascii="微软雅黑" w:eastAsia="微软雅黑" w:hAnsi="微软雅黑" w:cs="微软雅黑"/>
        <w:sz w:val="19"/>
        <w:szCs w:val="19"/>
      </w:rPr>
      <w:ptab w:relativeTo="margin" w:alignment="center" w:leader="none"/>
    </w:r>
    <w:r w:rsidRPr="001F10CD">
      <w:rPr>
        <w:rFonts w:asciiTheme="minorEastAsia" w:hAnsiTheme="minorEastAsia" w:cs="微软雅黑" w:hint="eastAsia"/>
        <w:sz w:val="19"/>
        <w:szCs w:val="19"/>
      </w:rPr>
      <w:t>上海毕得医药科技</w:t>
    </w:r>
    <w:r w:rsidRPr="001F10CD">
      <w:rPr>
        <w:rFonts w:asciiTheme="minorEastAsia" w:hAnsiTheme="minorEastAsia" w:cs="微软雅黑"/>
        <w:spacing w:val="6"/>
        <w:sz w:val="19"/>
        <w:szCs w:val="19"/>
      </w:rPr>
      <w:t>股份有限公司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D102E"/>
    <w:multiLevelType w:val="hybridMultilevel"/>
    <w:tmpl w:val="31CA8E00"/>
    <w:lvl w:ilvl="0" w:tplc="1D74514C">
      <w:start w:val="1"/>
      <w:numFmt w:val="decimal"/>
      <w:lvlText w:val="%1."/>
      <w:lvlJc w:val="left"/>
      <w:pPr>
        <w:ind w:left="440" w:hanging="440"/>
      </w:pPr>
      <w:rPr>
        <w:b/>
        <w:bCs/>
        <w:sz w:val="28"/>
        <w:szCs w:val="28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4C1D585B"/>
    <w:multiLevelType w:val="singleLevel"/>
    <w:tmpl w:val="4C1D585B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7351396B"/>
    <w:multiLevelType w:val="hybridMultilevel"/>
    <w:tmpl w:val="96EC7F9A"/>
    <w:lvl w:ilvl="0" w:tplc="836C3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BFD7DDC"/>
    <w:multiLevelType w:val="hybridMultilevel"/>
    <w:tmpl w:val="9334A750"/>
    <w:lvl w:ilvl="0" w:tplc="01B842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TJkZjgxNTYwZGU3ZWU5MjE3MTYyZDM2MWQ0ZTRjYmEifQ=="/>
  </w:docVars>
  <w:rsids>
    <w:rsidRoot w:val="6B274175"/>
    <w:rsid w:val="00014D36"/>
    <w:rsid w:val="000240F6"/>
    <w:rsid w:val="00025EB8"/>
    <w:rsid w:val="000458FB"/>
    <w:rsid w:val="00053230"/>
    <w:rsid w:val="00055201"/>
    <w:rsid w:val="00063DEB"/>
    <w:rsid w:val="00086125"/>
    <w:rsid w:val="000A2515"/>
    <w:rsid w:val="000D3305"/>
    <w:rsid w:val="000D40DF"/>
    <w:rsid w:val="00105543"/>
    <w:rsid w:val="00111063"/>
    <w:rsid w:val="00115C26"/>
    <w:rsid w:val="00120796"/>
    <w:rsid w:val="001345E5"/>
    <w:rsid w:val="00134681"/>
    <w:rsid w:val="001722B6"/>
    <w:rsid w:val="00182561"/>
    <w:rsid w:val="001B6331"/>
    <w:rsid w:val="001D5839"/>
    <w:rsid w:val="001F10CD"/>
    <w:rsid w:val="00203E22"/>
    <w:rsid w:val="002225E3"/>
    <w:rsid w:val="00231103"/>
    <w:rsid w:val="00235446"/>
    <w:rsid w:val="00235C7B"/>
    <w:rsid w:val="00240A67"/>
    <w:rsid w:val="00244566"/>
    <w:rsid w:val="002451F2"/>
    <w:rsid w:val="00252C0C"/>
    <w:rsid w:val="00253AA3"/>
    <w:rsid w:val="002612D5"/>
    <w:rsid w:val="00295A0B"/>
    <w:rsid w:val="002B120E"/>
    <w:rsid w:val="002C1D19"/>
    <w:rsid w:val="00303081"/>
    <w:rsid w:val="00321CCA"/>
    <w:rsid w:val="00325BD1"/>
    <w:rsid w:val="003358FA"/>
    <w:rsid w:val="0035344E"/>
    <w:rsid w:val="00363B80"/>
    <w:rsid w:val="00365361"/>
    <w:rsid w:val="0036697D"/>
    <w:rsid w:val="00384A9C"/>
    <w:rsid w:val="003A52BB"/>
    <w:rsid w:val="003B09EE"/>
    <w:rsid w:val="003B3A4B"/>
    <w:rsid w:val="003C7817"/>
    <w:rsid w:val="003D0D54"/>
    <w:rsid w:val="003D1959"/>
    <w:rsid w:val="003F4E57"/>
    <w:rsid w:val="003F4E75"/>
    <w:rsid w:val="00413456"/>
    <w:rsid w:val="00434C47"/>
    <w:rsid w:val="00453A45"/>
    <w:rsid w:val="0045518F"/>
    <w:rsid w:val="004731EC"/>
    <w:rsid w:val="004738F9"/>
    <w:rsid w:val="00493CA3"/>
    <w:rsid w:val="004A32D6"/>
    <w:rsid w:val="004A4437"/>
    <w:rsid w:val="004B65A4"/>
    <w:rsid w:val="004D589E"/>
    <w:rsid w:val="004D5992"/>
    <w:rsid w:val="004E7676"/>
    <w:rsid w:val="004F19BF"/>
    <w:rsid w:val="004F1B93"/>
    <w:rsid w:val="005058BF"/>
    <w:rsid w:val="00505C58"/>
    <w:rsid w:val="0050656D"/>
    <w:rsid w:val="00547328"/>
    <w:rsid w:val="00570C83"/>
    <w:rsid w:val="0057553C"/>
    <w:rsid w:val="005762C6"/>
    <w:rsid w:val="00580F43"/>
    <w:rsid w:val="005823CD"/>
    <w:rsid w:val="0058659F"/>
    <w:rsid w:val="0059754F"/>
    <w:rsid w:val="005A4D73"/>
    <w:rsid w:val="005A7878"/>
    <w:rsid w:val="005B31C6"/>
    <w:rsid w:val="005D5637"/>
    <w:rsid w:val="005E1FC2"/>
    <w:rsid w:val="005E695F"/>
    <w:rsid w:val="005E7B03"/>
    <w:rsid w:val="005F103A"/>
    <w:rsid w:val="005F40A4"/>
    <w:rsid w:val="0060039D"/>
    <w:rsid w:val="006066B0"/>
    <w:rsid w:val="00625BD7"/>
    <w:rsid w:val="00667EE7"/>
    <w:rsid w:val="0067171B"/>
    <w:rsid w:val="00673EDC"/>
    <w:rsid w:val="006820CF"/>
    <w:rsid w:val="00693030"/>
    <w:rsid w:val="00695FB4"/>
    <w:rsid w:val="006A5D5F"/>
    <w:rsid w:val="006A5ECA"/>
    <w:rsid w:val="006C3F0C"/>
    <w:rsid w:val="006C72E8"/>
    <w:rsid w:val="006D58B5"/>
    <w:rsid w:val="006D6E02"/>
    <w:rsid w:val="006D7662"/>
    <w:rsid w:val="006E7FBE"/>
    <w:rsid w:val="006F3203"/>
    <w:rsid w:val="006F590C"/>
    <w:rsid w:val="006F611D"/>
    <w:rsid w:val="00722776"/>
    <w:rsid w:val="0072468C"/>
    <w:rsid w:val="0073223A"/>
    <w:rsid w:val="00737120"/>
    <w:rsid w:val="007376A9"/>
    <w:rsid w:val="00740DAC"/>
    <w:rsid w:val="00741928"/>
    <w:rsid w:val="0074594A"/>
    <w:rsid w:val="00757FF9"/>
    <w:rsid w:val="007701EB"/>
    <w:rsid w:val="007D4145"/>
    <w:rsid w:val="007E3599"/>
    <w:rsid w:val="0080068C"/>
    <w:rsid w:val="008112D4"/>
    <w:rsid w:val="00831DC4"/>
    <w:rsid w:val="00833008"/>
    <w:rsid w:val="00855BDF"/>
    <w:rsid w:val="008572EE"/>
    <w:rsid w:val="00894D34"/>
    <w:rsid w:val="008A71CC"/>
    <w:rsid w:val="008B35FB"/>
    <w:rsid w:val="008B52BA"/>
    <w:rsid w:val="008D69A2"/>
    <w:rsid w:val="008F1574"/>
    <w:rsid w:val="0091372F"/>
    <w:rsid w:val="00922D5C"/>
    <w:rsid w:val="00934BC8"/>
    <w:rsid w:val="009411D4"/>
    <w:rsid w:val="00941C25"/>
    <w:rsid w:val="0094369B"/>
    <w:rsid w:val="00961DE4"/>
    <w:rsid w:val="00962153"/>
    <w:rsid w:val="0097794D"/>
    <w:rsid w:val="00982D3D"/>
    <w:rsid w:val="00991889"/>
    <w:rsid w:val="00995C31"/>
    <w:rsid w:val="009961B2"/>
    <w:rsid w:val="00997596"/>
    <w:rsid w:val="009C0B7E"/>
    <w:rsid w:val="009D1FC4"/>
    <w:rsid w:val="009E274B"/>
    <w:rsid w:val="009F1AF5"/>
    <w:rsid w:val="009F2359"/>
    <w:rsid w:val="009F5A94"/>
    <w:rsid w:val="009F7FF9"/>
    <w:rsid w:val="00A10249"/>
    <w:rsid w:val="00A175BC"/>
    <w:rsid w:val="00A32A6C"/>
    <w:rsid w:val="00A41C0C"/>
    <w:rsid w:val="00A53076"/>
    <w:rsid w:val="00A570CB"/>
    <w:rsid w:val="00A6029C"/>
    <w:rsid w:val="00A64432"/>
    <w:rsid w:val="00A80337"/>
    <w:rsid w:val="00A85B83"/>
    <w:rsid w:val="00AA62BA"/>
    <w:rsid w:val="00AD2D1A"/>
    <w:rsid w:val="00AE4238"/>
    <w:rsid w:val="00B1378B"/>
    <w:rsid w:val="00B36BD7"/>
    <w:rsid w:val="00B54D7A"/>
    <w:rsid w:val="00B64B6D"/>
    <w:rsid w:val="00B672F8"/>
    <w:rsid w:val="00B73947"/>
    <w:rsid w:val="00B76473"/>
    <w:rsid w:val="00B94A0B"/>
    <w:rsid w:val="00B953F3"/>
    <w:rsid w:val="00BD13FC"/>
    <w:rsid w:val="00BD42E3"/>
    <w:rsid w:val="00C13E97"/>
    <w:rsid w:val="00C253A1"/>
    <w:rsid w:val="00C30A4D"/>
    <w:rsid w:val="00C409D5"/>
    <w:rsid w:val="00C4184A"/>
    <w:rsid w:val="00C4329F"/>
    <w:rsid w:val="00C64F3D"/>
    <w:rsid w:val="00C7077C"/>
    <w:rsid w:val="00C76ECC"/>
    <w:rsid w:val="00C81DCB"/>
    <w:rsid w:val="00C9392E"/>
    <w:rsid w:val="00C961C1"/>
    <w:rsid w:val="00C97062"/>
    <w:rsid w:val="00CA2F40"/>
    <w:rsid w:val="00CA7598"/>
    <w:rsid w:val="00CC544A"/>
    <w:rsid w:val="00CD392E"/>
    <w:rsid w:val="00CE146D"/>
    <w:rsid w:val="00D03E7F"/>
    <w:rsid w:val="00D24F11"/>
    <w:rsid w:val="00D35FC8"/>
    <w:rsid w:val="00D36BD6"/>
    <w:rsid w:val="00D41D66"/>
    <w:rsid w:val="00D43273"/>
    <w:rsid w:val="00D471E6"/>
    <w:rsid w:val="00D5188C"/>
    <w:rsid w:val="00D52626"/>
    <w:rsid w:val="00D660B1"/>
    <w:rsid w:val="00D8295F"/>
    <w:rsid w:val="00D9003E"/>
    <w:rsid w:val="00D925B8"/>
    <w:rsid w:val="00DA508C"/>
    <w:rsid w:val="00DB0D82"/>
    <w:rsid w:val="00DB44C7"/>
    <w:rsid w:val="00DD6425"/>
    <w:rsid w:val="00DE67E1"/>
    <w:rsid w:val="00DF309F"/>
    <w:rsid w:val="00DF3C55"/>
    <w:rsid w:val="00E21855"/>
    <w:rsid w:val="00E27FF8"/>
    <w:rsid w:val="00E33BAA"/>
    <w:rsid w:val="00E361DC"/>
    <w:rsid w:val="00E4291B"/>
    <w:rsid w:val="00E4549E"/>
    <w:rsid w:val="00E51F41"/>
    <w:rsid w:val="00E661A4"/>
    <w:rsid w:val="00E81006"/>
    <w:rsid w:val="00E8708D"/>
    <w:rsid w:val="00E95B4F"/>
    <w:rsid w:val="00EA1BFE"/>
    <w:rsid w:val="00EA1E03"/>
    <w:rsid w:val="00EA20C3"/>
    <w:rsid w:val="00EA2E0F"/>
    <w:rsid w:val="00EB7CB2"/>
    <w:rsid w:val="00EC50F7"/>
    <w:rsid w:val="00EE51EA"/>
    <w:rsid w:val="00EF12A6"/>
    <w:rsid w:val="00F47740"/>
    <w:rsid w:val="00F8525A"/>
    <w:rsid w:val="00F9100B"/>
    <w:rsid w:val="00F9357B"/>
    <w:rsid w:val="00FA6027"/>
    <w:rsid w:val="00FD309F"/>
    <w:rsid w:val="00FD4584"/>
    <w:rsid w:val="00FE18A4"/>
    <w:rsid w:val="0E0A1760"/>
    <w:rsid w:val="21CE6CB6"/>
    <w:rsid w:val="6B27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750EBC"/>
  <w15:docId w15:val="{7A82748C-E3AE-4DF1-828D-8E9532E8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/>
      <w:snapToGrid w:val="0"/>
      <w:color w:val="000000"/>
      <w:sz w:val="21"/>
      <w:szCs w:val="21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34"/>
    <w:qFormat/>
    <w:rsid w:val="00E4549E"/>
    <w:pPr>
      <w:ind w:firstLineChars="200" w:firstLine="420"/>
    </w:pPr>
  </w:style>
  <w:style w:type="paragraph" w:styleId="a6">
    <w:name w:val="Balloon Text"/>
    <w:basedOn w:val="a"/>
    <w:link w:val="a7"/>
    <w:rsid w:val="009F5A94"/>
    <w:rPr>
      <w:sz w:val="18"/>
      <w:szCs w:val="18"/>
    </w:rPr>
  </w:style>
  <w:style w:type="character" w:customStyle="1" w:styleId="a7">
    <w:name w:val="批注框文本 字符"/>
    <w:basedOn w:val="a0"/>
    <w:link w:val="a6"/>
    <w:rsid w:val="009F5A94"/>
    <w:rPr>
      <w:rFonts w:ascii="Arial" w:hAnsi="Arial" w:cs="Arial"/>
      <w:snapToGrid w:val="0"/>
      <w:color w:val="000000"/>
      <w:sz w:val="18"/>
      <w:szCs w:val="18"/>
    </w:rPr>
  </w:style>
  <w:style w:type="character" w:styleId="a8">
    <w:name w:val="annotation reference"/>
    <w:basedOn w:val="a0"/>
    <w:rsid w:val="002C1D19"/>
    <w:rPr>
      <w:sz w:val="21"/>
      <w:szCs w:val="21"/>
    </w:rPr>
  </w:style>
  <w:style w:type="paragraph" w:styleId="a9">
    <w:name w:val="annotation text"/>
    <w:basedOn w:val="a"/>
    <w:link w:val="aa"/>
    <w:rsid w:val="002C1D19"/>
  </w:style>
  <w:style w:type="character" w:customStyle="1" w:styleId="aa">
    <w:name w:val="批注文字 字符"/>
    <w:basedOn w:val="a0"/>
    <w:link w:val="a9"/>
    <w:rsid w:val="002C1D19"/>
    <w:rPr>
      <w:rFonts w:ascii="Arial" w:hAnsi="Arial" w:cs="Arial"/>
      <w:snapToGrid w:val="0"/>
      <w:color w:val="000000"/>
      <w:sz w:val="21"/>
      <w:szCs w:val="21"/>
    </w:rPr>
  </w:style>
  <w:style w:type="paragraph" w:styleId="ab">
    <w:name w:val="annotation subject"/>
    <w:basedOn w:val="a9"/>
    <w:next w:val="a9"/>
    <w:link w:val="ac"/>
    <w:rsid w:val="002C1D19"/>
    <w:rPr>
      <w:b/>
      <w:bCs/>
    </w:rPr>
  </w:style>
  <w:style w:type="character" w:customStyle="1" w:styleId="ac">
    <w:name w:val="批注主题 字符"/>
    <w:basedOn w:val="aa"/>
    <w:link w:val="ab"/>
    <w:rsid w:val="002C1D19"/>
    <w:rPr>
      <w:rFonts w:ascii="Arial" w:hAnsi="Arial" w:cs="Arial"/>
      <w:b/>
      <w:bCs/>
      <w:snapToGrid w:val="0"/>
      <w:color w:val="000000"/>
      <w:sz w:val="21"/>
      <w:szCs w:val="21"/>
    </w:rPr>
  </w:style>
  <w:style w:type="character" w:customStyle="1" w:styleId="fontstyle01">
    <w:name w:val="fontstyle01"/>
    <w:basedOn w:val="a0"/>
    <w:rsid w:val="004A4437"/>
    <w:rPr>
      <w:rFonts w:ascii="仿宋_GB2312" w:eastAsia="仿宋_GB2312" w:hint="eastAsia"/>
      <w:b w:val="0"/>
      <w:bCs w:val="0"/>
      <w:i w:val="0"/>
      <w:iCs w:val="0"/>
      <w:color w:val="000000"/>
      <w:sz w:val="32"/>
      <w:szCs w:val="32"/>
    </w:rPr>
  </w:style>
  <w:style w:type="paragraph" w:styleId="ad">
    <w:name w:val="Revision"/>
    <w:hidden/>
    <w:uiPriority w:val="99"/>
    <w:semiHidden/>
    <w:rsid w:val="00182561"/>
    <w:rPr>
      <w:rFonts w:ascii="Arial" w:hAnsi="Arial" w:cs="Arial"/>
      <w:snapToGrid w:val="0"/>
      <w:color w:val="000000"/>
      <w:sz w:val="21"/>
      <w:szCs w:val="21"/>
    </w:rPr>
  </w:style>
  <w:style w:type="table" w:styleId="ae">
    <w:name w:val="Table Grid"/>
    <w:basedOn w:val="a1"/>
    <w:rsid w:val="0050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62F16-7650-414B-9786-504185FC4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398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宋筱</dc:creator>
  <cp:lastModifiedBy>郭永枥</cp:lastModifiedBy>
  <cp:revision>15</cp:revision>
  <dcterms:created xsi:type="dcterms:W3CDTF">2025-07-18T01:40:00Z</dcterms:created>
  <dcterms:modified xsi:type="dcterms:W3CDTF">2026-10-30T09:48:00Z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21C88D7BC6CF4D91AD3A76F89560A038_13</vt:lpwstr>
  </property>
</Properties>
</file>