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4E6FA">
      <w:pPr>
        <w:spacing w:before="156" w:beforeLines="50" w:after="156" w:afterLines="50" w:line="360" w:lineRule="auto"/>
        <w:rPr>
          <w:rFonts w:hint="eastAsia" w:ascii="宋体" w:hAnsi="宋体"/>
          <w:bCs/>
          <w:iCs/>
          <w:color w:val="000000"/>
          <w:sz w:val="28"/>
        </w:rPr>
      </w:pPr>
      <w:r>
        <w:rPr>
          <w:rFonts w:hint="eastAsia" w:ascii="宋体" w:hAnsi="宋体"/>
          <w:bCs/>
          <w:iCs/>
          <w:color w:val="000000"/>
          <w:sz w:val="28"/>
        </w:rPr>
        <w:t>证券代码：</w:t>
      </w:r>
      <w:r>
        <w:rPr>
          <w:rFonts w:ascii="宋体" w:hAnsi="宋体"/>
          <w:bCs/>
          <w:iCs/>
          <w:color w:val="000000"/>
          <w:sz w:val="28"/>
        </w:rPr>
        <w:t>688</w:t>
      </w:r>
      <w:r>
        <w:rPr>
          <w:rFonts w:hint="eastAsia" w:ascii="宋体" w:hAnsi="宋体"/>
          <w:bCs/>
          <w:iCs/>
          <w:color w:val="000000"/>
          <w:sz w:val="28"/>
        </w:rPr>
        <w:t>5</w:t>
      </w:r>
      <w:r>
        <w:rPr>
          <w:rFonts w:ascii="宋体" w:hAnsi="宋体"/>
          <w:bCs/>
          <w:iCs/>
          <w:color w:val="000000"/>
          <w:sz w:val="28"/>
        </w:rPr>
        <w:t>48</w:t>
      </w:r>
      <w:r>
        <w:rPr>
          <w:rFonts w:hint="eastAsia" w:ascii="宋体" w:hAnsi="宋体"/>
          <w:bCs/>
          <w:iCs/>
          <w:color w:val="000000"/>
          <w:sz w:val="28"/>
        </w:rPr>
        <w:t xml:space="preserve">                         证券简称：广钢气体</w:t>
      </w:r>
    </w:p>
    <w:p w14:paraId="5D1DD2F8">
      <w:pPr>
        <w:spacing w:before="156" w:beforeLines="50" w:after="156" w:afterLines="50" w:line="360" w:lineRule="auto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</w:p>
    <w:p w14:paraId="5C335F3D">
      <w:pPr>
        <w:spacing w:before="156" w:beforeLines="50" w:after="156" w:afterLines="50" w:line="360" w:lineRule="auto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广州广钢气体能源股份有限公司</w:t>
      </w:r>
    </w:p>
    <w:p w14:paraId="39D99D9F">
      <w:pPr>
        <w:spacing w:before="156" w:beforeLines="50" w:after="156" w:afterLines="50" w:line="360" w:lineRule="auto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6C80BD44">
      <w:pPr>
        <w:spacing w:line="360" w:lineRule="auto"/>
        <w:rPr>
          <w:rFonts w:hint="eastAsia" w:ascii="宋体" w:hAnsi="宋体" w:eastAsia="宋体"/>
          <w:bCs/>
          <w:iCs/>
          <w:color w:val="000000"/>
          <w:sz w:val="24"/>
          <w:lang w:eastAsia="zh-CN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     编号：2</w:t>
      </w:r>
      <w:r>
        <w:rPr>
          <w:rFonts w:ascii="宋体" w:hAnsi="宋体"/>
          <w:bCs/>
          <w:iCs/>
          <w:color w:val="000000"/>
          <w:sz w:val="24"/>
        </w:rPr>
        <w:t>02</w:t>
      </w:r>
      <w:r>
        <w:rPr>
          <w:rFonts w:hint="eastAsia" w:ascii="宋体" w:hAnsi="宋体"/>
          <w:bCs/>
          <w:iCs/>
          <w:color w:val="000000"/>
          <w:sz w:val="24"/>
        </w:rPr>
        <w:t>6-</w:t>
      </w:r>
      <w:r>
        <w:rPr>
          <w:rFonts w:ascii="宋体" w:hAnsi="宋体"/>
          <w:bCs/>
          <w:iCs/>
          <w:color w:val="000000"/>
          <w:sz w:val="24"/>
        </w:rPr>
        <w:t>00</w:t>
      </w:r>
      <w:r>
        <w:rPr>
          <w:rFonts w:hint="eastAsia" w:ascii="宋体" w:hAnsi="宋体"/>
          <w:bCs/>
          <w:iCs/>
          <w:color w:val="000000"/>
          <w:sz w:val="24"/>
          <w:lang w:val="en-US" w:eastAsia="zh-CN"/>
        </w:rPr>
        <w:t>8</w:t>
      </w:r>
    </w:p>
    <w:tbl>
      <w:tblPr>
        <w:tblStyle w:val="9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9"/>
        <w:gridCol w:w="6631"/>
      </w:tblGrid>
      <w:tr w14:paraId="59FA2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9D81C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投资者关系活动类别</w:t>
            </w:r>
          </w:p>
          <w:p w14:paraId="23146E22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</w:p>
        </w:tc>
        <w:tc>
          <w:tcPr>
            <w:tcW w:w="6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2AB7C">
            <w:pPr>
              <w:tabs>
                <w:tab w:val="center" w:pos="3199"/>
              </w:tabs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 xml:space="preserve">特定对象调研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分析师会议</w:t>
            </w:r>
          </w:p>
          <w:p w14:paraId="6008A9A6">
            <w:pPr>
              <w:tabs>
                <w:tab w:val="center" w:pos="3199"/>
              </w:tabs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 xml:space="preserve">媒体采访    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业绩说明会</w:t>
            </w:r>
          </w:p>
          <w:p w14:paraId="4C32ECA6">
            <w:pPr>
              <w:tabs>
                <w:tab w:val="center" w:pos="3199"/>
              </w:tabs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 xml:space="preserve">新闻发布会  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路演活动</w:t>
            </w:r>
          </w:p>
          <w:p w14:paraId="2B722296">
            <w:pPr>
              <w:tabs>
                <w:tab w:val="center" w:pos="3199"/>
              </w:tabs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 xml:space="preserve">现场参观        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√</w:t>
            </w:r>
            <w:r>
              <w:rPr>
                <w:rFonts w:hint="eastAsia" w:ascii="宋体" w:hAnsi="宋体"/>
                <w:sz w:val="24"/>
              </w:rPr>
              <w:t>电话会议</w:t>
            </w:r>
          </w:p>
          <w:p w14:paraId="50B20F1A">
            <w:pPr>
              <w:tabs>
                <w:tab w:val="center" w:pos="3199"/>
              </w:tabs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 xml:space="preserve">其他 </w:t>
            </w:r>
          </w:p>
        </w:tc>
      </w:tr>
      <w:tr w14:paraId="0995A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AB11A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参与单位名称</w:t>
            </w:r>
          </w:p>
          <w:p w14:paraId="45693558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（排名不分先后）</w:t>
            </w:r>
          </w:p>
        </w:tc>
        <w:tc>
          <w:tcPr>
            <w:tcW w:w="6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05765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具体名单详见附件</w:t>
            </w:r>
          </w:p>
        </w:tc>
      </w:tr>
      <w:tr w14:paraId="0554D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09A2F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7CB73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2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02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6年10月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26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日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1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: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3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0-17: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0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0</w:t>
            </w:r>
          </w:p>
        </w:tc>
      </w:tr>
      <w:tr w14:paraId="56923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7C355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D4F27">
            <w:pPr>
              <w:spacing w:line="360" w:lineRule="auto"/>
              <w:rPr>
                <w:rFonts w:hint="default" w:ascii="宋体" w:hAnsi="宋体" w:eastAsia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公司会议室</w:t>
            </w:r>
          </w:p>
        </w:tc>
      </w:tr>
      <w:tr w14:paraId="2C822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FC6F4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上市公司接待人员</w:t>
            </w:r>
          </w:p>
        </w:tc>
        <w:tc>
          <w:tcPr>
            <w:tcW w:w="6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06478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bCs/>
                <w:iCs/>
                <w:color w:val="000000"/>
                <w:sz w:val="24"/>
              </w:rPr>
              <w:t>党委书记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、董事长、首席科学家：邓韬先生</w:t>
            </w:r>
          </w:p>
          <w:p w14:paraId="7E1ECCBA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总会计师（财务负责人）：施海光先生</w:t>
            </w:r>
          </w:p>
          <w:p w14:paraId="46BFEF69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董事会秘书、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总法律顾问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：贺新先生</w:t>
            </w:r>
          </w:p>
          <w:p w14:paraId="579FB1B7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投资总监：杨能先生</w:t>
            </w:r>
          </w:p>
        </w:tc>
      </w:tr>
      <w:tr w14:paraId="67A94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CA328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投资者关系活动主要内容介绍</w:t>
            </w:r>
          </w:p>
        </w:tc>
        <w:tc>
          <w:tcPr>
            <w:tcW w:w="6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C03E8">
            <w:pPr>
              <w:spacing w:line="360" w:lineRule="auto"/>
              <w:rPr>
                <w:rFonts w:hint="eastAsia" w:ascii="宋体" w:hAnsi="宋体"/>
                <w:b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  <w:t>一</w:t>
            </w:r>
            <w:r>
              <w:rPr>
                <w:rFonts w:hint="eastAsia" w:ascii="宋体" w:hAnsi="宋体"/>
                <w:b/>
                <w:iCs/>
                <w:color w:val="000000"/>
                <w:sz w:val="24"/>
              </w:rPr>
              <w:t>、经营情况简介：</w:t>
            </w:r>
          </w:p>
          <w:p w14:paraId="2B8D2E8B">
            <w:pPr>
              <w:widowControl/>
              <w:spacing w:line="360" w:lineRule="auto"/>
              <w:ind w:firstLine="480" w:firstLineChars="200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2026年前三季度，公司实现营业收入21.19亿元，同比增长23.10%；归母净利润4.13亿元，同比增长105.81%；扣非归母净利润3.94亿元，同比增长124.27%，较好反映主业经营质量；基本每股收益0.31元，同比增长106.67%；加权平均净资产收益率6.69%，同比提升3.29个百分点。2026年前三季度，公司收入结构继续向电子大宗气体集中，归母净利润和扣非归母净利润均已超过2025年全年水平。</w:t>
            </w:r>
          </w:p>
          <w:p w14:paraId="460D8CCA">
            <w:pPr>
              <w:widowControl/>
              <w:spacing w:line="360" w:lineRule="auto"/>
              <w:ind w:firstLine="480" w:firstLineChars="200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业绩增长主要系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前期投建的电子大宗气体项目陆续投产供气、客户用气量爬坡带来的持续性收入与利润增量</w:t>
            </w:r>
            <w:r>
              <w:rPr>
                <w:rFonts w:ascii="宋体" w:hAnsi="宋体" w:eastAsia="宋体" w:cs="宋体"/>
                <w:sz w:val="24"/>
                <w:szCs w:val="24"/>
              </w:rPr>
              <w:t>；氦气作为电子大宗气体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重要组成部分</w:t>
            </w:r>
            <w:r>
              <w:rPr>
                <w:rFonts w:ascii="宋体" w:hAnsi="宋体" w:eastAsia="宋体" w:cs="宋体"/>
                <w:sz w:val="24"/>
                <w:szCs w:val="24"/>
              </w:rPr>
              <w:t>，凭借公司全球供应链保障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能力</w:t>
            </w:r>
            <w:r>
              <w:rPr>
                <w:rFonts w:ascii="宋体" w:hAnsi="宋体" w:eastAsia="宋体" w:cs="宋体"/>
                <w:sz w:val="24"/>
                <w:szCs w:val="24"/>
              </w:rPr>
              <w:t>，在特殊市场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环境</w:t>
            </w:r>
            <w:r>
              <w:rPr>
                <w:rFonts w:ascii="宋体" w:hAnsi="宋体" w:eastAsia="宋体" w:cs="宋体"/>
                <w:sz w:val="24"/>
                <w:szCs w:val="24"/>
              </w:rPr>
              <w:t>下，对当期盈利形成正向支撑。</w:t>
            </w:r>
          </w:p>
          <w:p w14:paraId="25E472D5">
            <w:pPr>
              <w:widowControl/>
              <w:spacing w:line="360" w:lineRule="auto"/>
              <w:ind w:firstLine="480" w:firstLineChars="200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2026年前三季度，公司经营活动现金流入同比增加，但经营活动现金流净额4.67亿元，同比下降28.23%，主要原因是公司业务规模扩大，购买商品、支付税费及其他运营支出较此前增加。后续公司将继续加强应收账款管理、票据结算和资金统筹，提升回款效率。</w:t>
            </w:r>
          </w:p>
          <w:p w14:paraId="5B60FAD8">
            <w:pPr>
              <w:widowControl/>
              <w:spacing w:line="360" w:lineRule="auto"/>
              <w:ind w:firstLine="480" w:firstLineChars="200"/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2026年前三季度，公司研发投入0.9亿元,同比增长15.35%，主要围绕超高纯大宗气体储运、数字化运行和气体应用技术加大投入，提升装置运行效率和项目交付能力。</w:t>
            </w:r>
          </w:p>
          <w:p w14:paraId="6C1C78FC">
            <w:pPr>
              <w:widowControl/>
              <w:spacing w:line="360" w:lineRule="auto"/>
              <w:ind w:firstLine="480" w:firstLineChars="200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2026年第三季度单季度，公司实现营业收入7.85亿元，同比增长29.48%；归母净利润1.57亿元，同比增长88.95%；扣非归母净利润1.65亿元，同比增长128.06%。</w:t>
            </w:r>
          </w:p>
          <w:p w14:paraId="1B442BA3">
            <w:pPr>
              <w:widowControl/>
              <w:spacing w:line="360" w:lineRule="auto"/>
              <w:ind w:firstLine="480" w:firstLineChars="200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  <w:t>截至2026年9月末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，公司资产负债率约34.5%，财务杠杆保持稳健，债务结构与项目投入周期基本匹配；公司在建工程15.88亿元，较年初增长约39.5%，反映多个现场制气项目有序投入；固定资产43.3亿元，较年初增长，随着在建项目陆续达到预定可使用状态并完成产能爬坡，将形成稳定产能增量，成为公司未来收入与利润增长的蓄水池。</w:t>
            </w:r>
          </w:p>
          <w:p w14:paraId="6854BBA5">
            <w:pPr>
              <w:widowControl/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</w:p>
          <w:p w14:paraId="677E3594">
            <w:pPr>
              <w:widowControl/>
              <w:spacing w:line="360" w:lineRule="auto"/>
              <w:rPr>
                <w:rFonts w:hint="eastAsia" w:ascii="宋体" w:hAnsi="宋体"/>
                <w:b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  <w:t>二</w:t>
            </w:r>
            <w:r>
              <w:rPr>
                <w:rFonts w:hint="eastAsia" w:ascii="宋体" w:hAnsi="宋体"/>
                <w:b/>
                <w:iCs/>
                <w:color w:val="000000"/>
                <w:sz w:val="24"/>
              </w:rPr>
              <w:t>、问答环节主要内容：</w:t>
            </w:r>
          </w:p>
          <w:p w14:paraId="77DEC8AB">
            <w:pPr>
              <w:widowControl/>
              <w:spacing w:line="360" w:lineRule="auto"/>
              <w:rPr>
                <w:rFonts w:hint="eastAsia" w:ascii="宋体" w:hAnsi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iCs/>
                <w:color w:val="000000"/>
                <w:sz w:val="24"/>
              </w:rPr>
              <w:t>Q1</w:t>
            </w:r>
            <w:r>
              <w:rPr>
                <w:rFonts w:hint="eastAsia" w:ascii="宋体" w:hAnsi="宋体"/>
                <w:b/>
                <w:iCs/>
                <w:color w:val="000000"/>
                <w:sz w:val="24"/>
                <w:lang w:eastAsia="zh-CN"/>
              </w:rPr>
              <w:t>：</w:t>
            </w:r>
            <w:r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  <w:t>公司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>经营活动现金流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情况及全年展望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？</w:t>
            </w:r>
          </w:p>
          <w:p w14:paraId="7A7CB0BE">
            <w:pPr>
              <w:widowControl/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答：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2026年前三季度，公司经营活动现金流入同比增加，但经营活动现金流净额4.67亿元，同比有所减少，主要因素是客户应收账款存在时点性结算差异（9月末收款顺延至10月）；公司业务规模扩大，购买商品、支付税费及其他运营支出较此前增加，其中各项税费1.64亿元，同比明显增加。未来公司将继续加强应收账款管理、票据结算和资金统筹，提升回款效率。</w:t>
            </w:r>
          </w:p>
          <w:p w14:paraId="3CE22520">
            <w:pPr>
              <w:widowControl/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</w:pPr>
          </w:p>
          <w:p w14:paraId="65AFFA3E">
            <w:pPr>
              <w:widowControl/>
              <w:spacing w:line="360" w:lineRule="auto"/>
              <w:rPr>
                <w:rFonts w:hint="default" w:ascii="宋体" w:hAnsi="宋体"/>
                <w:b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  <w:t>Q2：在存储、先进制程、海外市场扩建的情况下，请介绍公司在跟踪的项目情况？</w:t>
            </w:r>
          </w:p>
          <w:p w14:paraId="32D05094">
            <w:pPr>
              <w:widowControl/>
              <w:spacing w:line="360" w:lineRule="auto"/>
              <w:rPr>
                <w:rFonts w:hint="default" w:ascii="宋体" w:hAnsi="宋体"/>
                <w:b w:val="0"/>
                <w:bCs/>
                <w:iCs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iCs/>
                <w:color w:val="000000"/>
                <w:sz w:val="24"/>
                <w:lang w:val="en-US" w:eastAsia="zh-CN"/>
              </w:rPr>
              <w:t>答：受下游需求拉动，半导体客户业绩向好，扩建及新建项目加速落地，2026年，公司已获取电子大宗气站项目投资额较2025年成倍增长。公司2026年在存储、逻辑头部企业取得了重要突破，获取的新项目将成为未来业绩增长的重要支撑。</w:t>
            </w:r>
            <w:r>
              <w:rPr>
                <w:rFonts w:hint="eastAsia" w:ascii="宋体" w:hAnsi="宋体"/>
                <w:b w:val="0"/>
                <w:bCs/>
                <w:iCs/>
                <w:color w:val="000000"/>
                <w:sz w:val="24"/>
                <w:highlight w:val="none"/>
                <w:lang w:val="en-US" w:eastAsia="zh-CN"/>
              </w:rPr>
              <w:t>后续公司将持续跟进合肥、武汉、上海等多地相关重点项目。</w:t>
            </w:r>
          </w:p>
          <w:p w14:paraId="5159197C">
            <w:pPr>
              <w:widowControl/>
              <w:spacing w:line="360" w:lineRule="auto"/>
              <w:rPr>
                <w:rFonts w:hint="default" w:ascii="宋体" w:hAnsi="宋体"/>
                <w:b w:val="0"/>
                <w:bCs/>
                <w:iCs/>
                <w:color w:val="000000"/>
                <w:sz w:val="24"/>
                <w:lang w:val="en-US" w:eastAsia="zh-CN"/>
              </w:rPr>
            </w:pPr>
          </w:p>
          <w:p w14:paraId="2E5893DB">
            <w:pPr>
              <w:widowControl/>
              <w:spacing w:line="360" w:lineRule="auto"/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  <w:t>Q3：在建项目下半年投产情况预期？</w:t>
            </w:r>
          </w:p>
          <w:p w14:paraId="49089F09">
            <w:pPr>
              <w:widowControl/>
              <w:spacing w:line="360" w:lineRule="auto"/>
              <w:rPr>
                <w:rFonts w:hint="eastAsia" w:ascii="宋体" w:hAnsi="宋体"/>
                <w:b w:val="0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iCs/>
                <w:color w:val="000000"/>
                <w:sz w:val="24"/>
                <w:lang w:val="en-US" w:eastAsia="zh-CN"/>
              </w:rPr>
              <w:t>答：公司在武汉、成都等半导体重点区域项目仍在投入建设，武汉、成都、重庆、广州等多地有望在今年下半年陆续投入运营。</w:t>
            </w:r>
          </w:p>
          <w:p w14:paraId="17D42797">
            <w:pPr>
              <w:widowControl/>
              <w:spacing w:line="360" w:lineRule="auto"/>
              <w:rPr>
                <w:rFonts w:hint="eastAsia" w:ascii="宋体" w:hAnsi="宋体"/>
                <w:b w:val="0"/>
                <w:bCs/>
                <w:iCs/>
                <w:color w:val="000000"/>
                <w:sz w:val="24"/>
                <w:lang w:val="en-US" w:eastAsia="zh-CN"/>
              </w:rPr>
            </w:pPr>
          </w:p>
          <w:p w14:paraId="6C7DA69A">
            <w:pPr>
              <w:widowControl/>
              <w:spacing w:line="360" w:lineRule="auto"/>
              <w:rPr>
                <w:rFonts w:hint="default" w:ascii="宋体" w:hAnsi="宋体"/>
                <w:b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  <w:t>Q4：2026年第三季度非经常性损益为负的原因？</w:t>
            </w:r>
          </w:p>
          <w:p w14:paraId="5647E75F">
            <w:pPr>
              <w:widowControl/>
              <w:spacing w:line="360" w:lineRule="auto"/>
              <w:rPr>
                <w:rFonts w:hint="eastAsia" w:ascii="宋体" w:hAnsi="宋体" w:eastAsia="宋体"/>
                <w:b w:val="0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iCs/>
                <w:color w:val="000000"/>
                <w:sz w:val="24"/>
                <w:lang w:val="en-US" w:eastAsia="zh-CN"/>
              </w:rPr>
              <w:t>答：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公司与主要半导体客户均建立了长达15年的业务合作关系。同时，公司与部分主要客户通过共同发起产业基金，形成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业务+资本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”的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深度</w:t>
            </w:r>
            <w:r>
              <w:rPr>
                <w:rFonts w:ascii="宋体" w:hAnsi="宋体" w:eastAsia="宋体" w:cs="宋体"/>
                <w:sz w:val="24"/>
                <w:szCs w:val="24"/>
              </w:rPr>
              <w:t>战略合作。</w:t>
            </w:r>
            <w:r>
              <w:rPr>
                <w:rFonts w:hint="eastAsia" w:ascii="宋体" w:hAnsi="宋体"/>
                <w:b w:val="0"/>
                <w:bCs/>
                <w:iCs/>
                <w:color w:val="000000"/>
                <w:sz w:val="24"/>
                <w:lang w:val="en-US" w:eastAsia="zh-CN"/>
              </w:rPr>
              <w:t>受市场波动影响，基金相关投资出现公允价值变动损益变化，对公司2026年第三季度非经常性损益形成阶段性影响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38F94D04">
            <w:pPr>
              <w:widowControl/>
              <w:spacing w:line="360" w:lineRule="auto"/>
              <w:rPr>
                <w:rFonts w:hint="eastAsia" w:ascii="宋体" w:hAnsi="宋体"/>
                <w:b w:val="0"/>
                <w:bCs/>
                <w:iCs/>
                <w:color w:val="000000"/>
                <w:sz w:val="24"/>
                <w:lang w:val="en-US" w:eastAsia="zh-CN"/>
              </w:rPr>
            </w:pPr>
          </w:p>
          <w:p w14:paraId="741C8ACD">
            <w:pPr>
              <w:widowControl/>
              <w:spacing w:line="360" w:lineRule="auto"/>
              <w:rPr>
                <w:rFonts w:hint="eastAsia" w:ascii="宋体" w:hAnsi="宋体"/>
                <w:b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  <w:t>Q5：随着新签订单增加</w:t>
            </w:r>
            <w:r>
              <w:rPr>
                <w:rFonts w:hint="eastAsia" w:ascii="宋体" w:hAnsi="宋体"/>
                <w:b/>
                <w:iCs/>
                <w:color w:val="000000"/>
                <w:sz w:val="24"/>
              </w:rPr>
              <w:t>，公司</w:t>
            </w:r>
            <w:r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  <w:t>资金来源方面怎么考虑</w:t>
            </w:r>
            <w:r>
              <w:rPr>
                <w:rFonts w:hint="eastAsia" w:ascii="宋体" w:hAnsi="宋体"/>
                <w:b/>
                <w:iCs/>
                <w:color w:val="000000"/>
                <w:sz w:val="24"/>
              </w:rPr>
              <w:t>？</w:t>
            </w:r>
          </w:p>
          <w:p w14:paraId="144F9C9E">
            <w:pPr>
              <w:widowControl/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答：截至2026年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月末，公司资产负债率34.5%，整体财务状况健康，现金流创造能力强劲。伴随国内半导体行业发展机遇期，公司预计未来资本开支需求将进一步提升。公司将结合中长期资本开支规划及投资建设需求，考量灵活运用各项融资工具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平衡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  <w:t>间接融资与直接融资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，保障项目投资及业务发展的资金需求。</w:t>
            </w:r>
          </w:p>
          <w:p w14:paraId="34452242">
            <w:pPr>
              <w:widowControl/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</w:p>
          <w:p w14:paraId="2FD55A0F">
            <w:pPr>
              <w:widowControl/>
              <w:spacing w:line="360" w:lineRule="auto"/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  <w:t>Q6：氦气价格波动对公司2026年第二季度和第三季度的影响？</w:t>
            </w:r>
          </w:p>
          <w:p w14:paraId="282F1BD6">
            <w:pPr>
              <w:widowControl/>
              <w:spacing w:line="360" w:lineRule="auto"/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答：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氦气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  <w:t>是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电子大宗气体的核心品种之一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半导体客户对氦气供应有气源、品质和供应稳定性方面的严苛要求，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氦气价格相对稳定。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作为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国内唯一一家同时拥有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  <w:t>中东、欧洲、北美气源的内资气体企业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，在全球氦气供应波动时期，公司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  <w:t>通过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自建的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  <w:t>全球氦气供应体系，加大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欧洲、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  <w:t>北美等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气源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  <w:t>采购力度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，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  <w:t>有序释放战略库存，保障国内重点客户氦气供应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，业务平稳、健康运行。</w:t>
            </w:r>
          </w:p>
          <w:p w14:paraId="08D712BD">
            <w:pPr>
              <w:widowControl/>
              <w:spacing w:line="360" w:lineRule="auto"/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</w:pPr>
          </w:p>
          <w:p w14:paraId="6B1A1997">
            <w:pPr>
              <w:widowControl/>
              <w:spacing w:line="360" w:lineRule="auto"/>
              <w:rPr>
                <w:rFonts w:hint="eastAsia" w:ascii="宋体" w:hAnsi="宋体"/>
                <w:b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iCs/>
                <w:color w:val="000000"/>
                <w:sz w:val="24"/>
              </w:rPr>
              <w:t>Q</w:t>
            </w:r>
            <w:r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  <w:t>7：公司与韩国 AirFirst 合作的最新进展及未来展望</w:t>
            </w:r>
            <w:r>
              <w:rPr>
                <w:rFonts w:hint="eastAsia" w:ascii="宋体" w:hAnsi="宋体"/>
                <w:b/>
                <w:iCs/>
                <w:color w:val="000000"/>
                <w:sz w:val="24"/>
              </w:rPr>
              <w:t>？</w:t>
            </w:r>
          </w:p>
          <w:p w14:paraId="4CFE83C3">
            <w:pPr>
              <w:widowControl/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答：公司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推动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定制化“Super-N”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系列装备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解决方案在韩国半导体市场的落地应用与批量交付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目前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尚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处于OEM协议最终敲定阶段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具体合作事项以公司公告为准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。</w:t>
            </w:r>
          </w:p>
          <w:p w14:paraId="1797953A">
            <w:pPr>
              <w:widowControl/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</w:p>
          <w:p w14:paraId="4B842D24">
            <w:pPr>
              <w:widowControl/>
              <w:spacing w:line="360" w:lineRule="auto"/>
              <w:rPr>
                <w:rFonts w:hint="default" w:ascii="宋体" w:hAnsi="宋体"/>
                <w:b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iCs/>
                <w:color w:val="000000"/>
                <w:sz w:val="24"/>
                <w:lang w:val="en-US" w:eastAsia="zh-CN"/>
              </w:rPr>
              <w:t>Q8：美国能源部将氦气认定为关键材料，对后续氦气格局的影响？</w:t>
            </w:r>
          </w:p>
          <w:p w14:paraId="2530CA5D">
            <w:pPr>
              <w:widowControl/>
              <w:spacing w:line="360" w:lineRule="auto"/>
              <w:rPr>
                <w:rFonts w:hint="default" w:ascii="宋体" w:hAnsi="宋体" w:eastAsia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答：芯片制造企业扩产将拉动氦气需求增长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  <w:t>，芯片制程迭代升级，同步推高氦气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用量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eastAsia="zh-CN"/>
              </w:rPr>
              <w:t>。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公司将氦气作为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电子大宗气体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的重要组成部分来定位，公司已投资近百个液氦冷箱，并着力打造“氦气银行”，2026年上半年业绩也印证了公司战略定位的有效性。公司将持续增强氦气储备能力，筑牢重点产业气体保供基础。</w:t>
            </w:r>
          </w:p>
          <w:p w14:paraId="5B831324">
            <w:pPr>
              <w:widowControl/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</w:p>
          <w:p w14:paraId="7403E8AA">
            <w:pPr>
              <w:widowControl/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bCs/>
                <w:iCs/>
                <w:color w:val="000000"/>
                <w:sz w:val="24"/>
              </w:rPr>
              <w:t>欢迎关注公司微信公众号“广钢气体”，了解更多公司动态。</w:t>
            </w:r>
          </w:p>
        </w:tc>
      </w:tr>
      <w:tr w14:paraId="7D6AC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C08C9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附件清单（如有）</w:t>
            </w:r>
          </w:p>
        </w:tc>
        <w:tc>
          <w:tcPr>
            <w:tcW w:w="6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9E249">
            <w:pPr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参会机构名单</w:t>
            </w:r>
          </w:p>
        </w:tc>
      </w:tr>
      <w:tr w14:paraId="21DF0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B39D6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风险提示</w:t>
            </w:r>
          </w:p>
        </w:tc>
        <w:tc>
          <w:tcPr>
            <w:tcW w:w="6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66937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以上如涉及对行业的预测、公司发展战略规划等相关内容，不能视作公司或公司管理层对行业、公司发展或业绩的承诺和保证，敬请广大投资者注意投资风险。</w:t>
            </w:r>
          </w:p>
        </w:tc>
      </w:tr>
      <w:tr w14:paraId="4D3D6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66189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关于本次活动是否涉及应当披露重大信息的说明</w:t>
            </w:r>
          </w:p>
        </w:tc>
        <w:tc>
          <w:tcPr>
            <w:tcW w:w="6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873BF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本次活动不涉及应当披露重大信息。</w:t>
            </w:r>
          </w:p>
        </w:tc>
      </w:tr>
      <w:tr w14:paraId="36FD5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1A7E6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300AA">
            <w:pPr>
              <w:spacing w:line="360" w:lineRule="auto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2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02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6年10月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26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57A392EA">
      <w:pPr>
        <w:widowControl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 w14:paraId="3C26DB00">
      <w:pPr>
        <w:spacing w:line="360" w:lineRule="auto"/>
        <w:rPr>
          <w:rFonts w:hint="eastAsia" w:ascii="宋体" w:hAnsi="宋体"/>
          <w:bCs/>
          <w:iCs/>
          <w:color w:val="000000"/>
          <w:sz w:val="24"/>
        </w:rPr>
      </w:pPr>
      <w:r>
        <w:rPr>
          <w:rFonts w:hint="eastAsia" w:ascii="宋体" w:hAnsi="宋体"/>
          <w:bCs/>
          <w:iCs/>
          <w:color w:val="000000"/>
          <w:sz w:val="24"/>
        </w:rPr>
        <w:t>附件清单：参会机构名单</w:t>
      </w:r>
    </w:p>
    <w:tbl>
      <w:tblPr>
        <w:tblStyle w:val="9"/>
        <w:tblpPr w:leftFromText="180" w:rightFromText="180" w:vertAnchor="text" w:horzAnchor="page" w:tblpX="1882" w:tblpY="307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4850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8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</w:t>
            </w:r>
          </w:p>
        </w:tc>
      </w:tr>
      <w:tr w14:paraId="15932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E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富国基金管理有限公司</w:t>
            </w:r>
          </w:p>
        </w:tc>
      </w:tr>
      <w:tr w14:paraId="1DD82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70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国泰基金管理有限公司</w:t>
            </w:r>
          </w:p>
        </w:tc>
      </w:tr>
      <w:tr w14:paraId="2212D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22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嘉实基金管理有限公司</w:t>
            </w:r>
          </w:p>
        </w:tc>
      </w:tr>
      <w:tr w14:paraId="78A8A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D2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汇添富基金管理股份有限公司</w:t>
            </w:r>
          </w:p>
        </w:tc>
      </w:tr>
      <w:tr w14:paraId="6599A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AE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鹏华基金管理有限公司</w:t>
            </w:r>
          </w:p>
        </w:tc>
      </w:tr>
      <w:tr w14:paraId="205E1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F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华夏基金管理有限公司</w:t>
            </w:r>
          </w:p>
        </w:tc>
      </w:tr>
      <w:tr w14:paraId="13579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33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永赢基金管理有限公司</w:t>
            </w:r>
          </w:p>
        </w:tc>
      </w:tr>
      <w:tr w14:paraId="4ED5D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E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长城基金管理有限公司</w:t>
            </w:r>
          </w:p>
        </w:tc>
      </w:tr>
      <w:tr w14:paraId="09DA1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6A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天弘基金管理有限公司</w:t>
            </w:r>
          </w:p>
        </w:tc>
      </w:tr>
      <w:tr w14:paraId="78DCA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45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南方基金管理股份有限公司</w:t>
            </w:r>
          </w:p>
        </w:tc>
      </w:tr>
      <w:tr w14:paraId="08E9F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8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华宝基金管理有限公司</w:t>
            </w:r>
          </w:p>
        </w:tc>
      </w:tr>
      <w:tr w14:paraId="6CA12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9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银华基金管理股份有限公司</w:t>
            </w:r>
          </w:p>
        </w:tc>
      </w:tr>
      <w:tr w14:paraId="56203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37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易方达基金管理有限公司</w:t>
            </w:r>
          </w:p>
        </w:tc>
      </w:tr>
      <w:tr w14:paraId="6B199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27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中欧基金管理有限公司</w:t>
            </w:r>
          </w:p>
        </w:tc>
      </w:tr>
      <w:tr w14:paraId="72AC2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DE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Government of Singapore Investment Corporation</w:t>
            </w:r>
          </w:p>
        </w:tc>
      </w:tr>
      <w:tr w14:paraId="6974F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24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Temasek</w:t>
            </w:r>
          </w:p>
        </w:tc>
      </w:tr>
      <w:tr w14:paraId="6CD3D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FA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Point72 Asia Hong Kong Limited</w:t>
            </w:r>
          </w:p>
        </w:tc>
      </w:tr>
      <w:tr w14:paraId="2DB44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AC7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Keywise Capital Management HK Limited</w:t>
            </w:r>
          </w:p>
        </w:tc>
      </w:tr>
      <w:tr w14:paraId="780CB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6E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ARC Avenue Asset Management</w:t>
            </w:r>
          </w:p>
        </w:tc>
      </w:tr>
      <w:tr w14:paraId="634FA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C2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TD Asset Management Inc.</w:t>
            </w:r>
          </w:p>
        </w:tc>
      </w:tr>
      <w:tr w14:paraId="1DD17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E8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Willing Capital Management Limited</w:t>
            </w:r>
          </w:p>
        </w:tc>
      </w:tr>
      <w:tr w14:paraId="65771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A7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纽伯格伯曼公司</w:t>
            </w:r>
          </w:p>
        </w:tc>
      </w:tr>
      <w:tr w14:paraId="2471B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C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中国人寿资产管理有限公司</w:t>
            </w:r>
          </w:p>
        </w:tc>
      </w:tr>
      <w:tr w14:paraId="64DEA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B8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太平资产管理有限公司</w:t>
            </w:r>
          </w:p>
        </w:tc>
      </w:tr>
      <w:tr w14:paraId="383C0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D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太平洋资产管理有限责任公司</w:t>
            </w:r>
          </w:p>
        </w:tc>
      </w:tr>
      <w:tr w14:paraId="10144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FF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阳光资产管理股份有限公司</w:t>
            </w:r>
          </w:p>
        </w:tc>
      </w:tr>
      <w:tr w14:paraId="18D5F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8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泰康基金管理有限公司</w:t>
            </w:r>
          </w:p>
        </w:tc>
      </w:tr>
      <w:tr w14:paraId="5FAAB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0D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中邮保险资产管理有限公司</w:t>
            </w:r>
          </w:p>
        </w:tc>
      </w:tr>
      <w:tr w14:paraId="379AA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D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安联保险资产管理有限公司</w:t>
            </w:r>
          </w:p>
        </w:tc>
      </w:tr>
      <w:tr w14:paraId="21401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C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光大永明资产管理股份有限公司</w:t>
            </w:r>
          </w:p>
        </w:tc>
      </w:tr>
      <w:tr w14:paraId="57539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F5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工银安盛资产管理有限公司</w:t>
            </w:r>
          </w:p>
        </w:tc>
      </w:tr>
      <w:tr w14:paraId="7B9DA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D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合众资产管理股份有限公司</w:t>
            </w:r>
          </w:p>
        </w:tc>
      </w:tr>
      <w:tr w14:paraId="26CDB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30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昆仑健康保险股份有限公司</w:t>
            </w:r>
          </w:p>
        </w:tc>
      </w:tr>
      <w:tr w14:paraId="6562C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FF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中国人寿养老保险股份有限公司</w:t>
            </w:r>
          </w:p>
        </w:tc>
      </w:tr>
      <w:tr w14:paraId="0B600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4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中国人民养老保险有限责任公司</w:t>
            </w:r>
          </w:p>
        </w:tc>
      </w:tr>
      <w:tr w14:paraId="27616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F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平安养老保险股份有限公司</w:t>
            </w:r>
          </w:p>
        </w:tc>
      </w:tr>
      <w:tr w14:paraId="01D7E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29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朱雀基金管理有限公司</w:t>
            </w:r>
          </w:p>
        </w:tc>
      </w:tr>
      <w:tr w14:paraId="02EBA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C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中银基金管理有限公司</w:t>
            </w:r>
          </w:p>
        </w:tc>
      </w:tr>
      <w:tr w14:paraId="6868E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20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中银国际证券股份有限公司</w:t>
            </w:r>
          </w:p>
        </w:tc>
      </w:tr>
      <w:tr w14:paraId="718C0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32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中信银行股份有限公司</w:t>
            </w:r>
          </w:p>
        </w:tc>
      </w:tr>
      <w:tr w14:paraId="54137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89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中信建投证券股份有限公司</w:t>
            </w:r>
          </w:p>
        </w:tc>
      </w:tr>
      <w:tr w14:paraId="583AF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F1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中信保诚基金管理有限公司</w:t>
            </w:r>
          </w:p>
        </w:tc>
      </w:tr>
      <w:tr w14:paraId="7FF6B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8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中海信托股份有限公司</w:t>
            </w:r>
          </w:p>
        </w:tc>
      </w:tr>
      <w:tr w14:paraId="3124B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30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中国对外经济贸易信托有限公司</w:t>
            </w:r>
          </w:p>
        </w:tc>
      </w:tr>
      <w:tr w14:paraId="4060A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E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浙商证券股份有限公司</w:t>
            </w:r>
          </w:p>
        </w:tc>
      </w:tr>
      <w:tr w14:paraId="498A0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72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浙江浙商证券资产管理有限公司</w:t>
            </w:r>
          </w:p>
        </w:tc>
      </w:tr>
      <w:tr w14:paraId="71D84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60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招银理财有限责任公司</w:t>
            </w:r>
          </w:p>
        </w:tc>
      </w:tr>
      <w:tr w14:paraId="67556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29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长信基金管理有限责任公司</w:t>
            </w:r>
          </w:p>
        </w:tc>
      </w:tr>
      <w:tr w14:paraId="69479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0F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长盛基金管理有限公司</w:t>
            </w:r>
          </w:p>
        </w:tc>
      </w:tr>
      <w:tr w14:paraId="7AEE2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1B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长安基金管理有限公司</w:t>
            </w:r>
          </w:p>
        </w:tc>
      </w:tr>
      <w:tr w14:paraId="29AF2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C2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圆信永丰基金管理有限公司</w:t>
            </w:r>
          </w:p>
        </w:tc>
      </w:tr>
      <w:tr w14:paraId="426D1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CF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银河基金管理有限公司</w:t>
            </w:r>
          </w:p>
        </w:tc>
      </w:tr>
      <w:tr w14:paraId="136EC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88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兴业证券股份有限公司</w:t>
            </w:r>
          </w:p>
        </w:tc>
      </w:tr>
      <w:tr w14:paraId="379A6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7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兴业基金管理有限公司</w:t>
            </w:r>
          </w:p>
        </w:tc>
      </w:tr>
      <w:tr w14:paraId="71720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04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信银理财有限责任公司</w:t>
            </w:r>
          </w:p>
        </w:tc>
      </w:tr>
      <w:tr w14:paraId="64C37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5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信达澳亚基金管理有限公司</w:t>
            </w:r>
          </w:p>
        </w:tc>
      </w:tr>
      <w:tr w14:paraId="7F561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12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新华基金管理股份有限公司</w:t>
            </w:r>
          </w:p>
        </w:tc>
      </w:tr>
      <w:tr w14:paraId="3CD32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B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西部利得基金管理有限公司</w:t>
            </w:r>
          </w:p>
        </w:tc>
      </w:tr>
      <w:tr w14:paraId="74957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64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万得信息技术股份有限公司</w:t>
            </w:r>
          </w:p>
        </w:tc>
      </w:tr>
      <w:tr w14:paraId="44759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5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太平养老保险股份有限公司</w:t>
            </w:r>
          </w:p>
        </w:tc>
      </w:tr>
      <w:tr w14:paraId="606EC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D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苏州君榕资产管理有限公司</w:t>
            </w:r>
          </w:p>
        </w:tc>
      </w:tr>
      <w:tr w14:paraId="55532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8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深圳市尚诚资产管理有限责任公司</w:t>
            </w:r>
          </w:p>
        </w:tc>
      </w:tr>
      <w:tr w14:paraId="7A204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34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深圳市伯利恒资产管理有限公司</w:t>
            </w:r>
          </w:p>
        </w:tc>
      </w:tr>
      <w:tr w14:paraId="4F11E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9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深圳前海辰星私募证券投资基金管理合伙企业（有限合伙）</w:t>
            </w:r>
          </w:p>
        </w:tc>
      </w:tr>
      <w:tr w14:paraId="226A8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18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申万菱信基金管理有限公司</w:t>
            </w:r>
          </w:p>
        </w:tc>
      </w:tr>
      <w:tr w14:paraId="466D1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2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上海潼骁投资发展中心（有限合伙）</w:t>
            </w:r>
          </w:p>
        </w:tc>
      </w:tr>
      <w:tr w14:paraId="086E1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1C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上海钦沐资产管理合伙企业（有限合伙）</w:t>
            </w:r>
          </w:p>
        </w:tc>
      </w:tr>
      <w:tr w14:paraId="66E8A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6B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上海鹏嘉资产管理有限公司</w:t>
            </w:r>
          </w:p>
        </w:tc>
      </w:tr>
      <w:tr w14:paraId="79DC2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24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上海美市科技有限公司</w:t>
            </w:r>
          </w:p>
        </w:tc>
      </w:tr>
      <w:tr w14:paraId="7BD30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2D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上海景林资产管理有限公司</w:t>
            </w:r>
          </w:p>
        </w:tc>
      </w:tr>
      <w:tr w14:paraId="1BFD4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E8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上海鹤禧私募基金管理有限公司</w:t>
            </w:r>
          </w:p>
        </w:tc>
      </w:tr>
      <w:tr w14:paraId="5578C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02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上海国泰海通证券资产管理有限公司</w:t>
            </w:r>
          </w:p>
        </w:tc>
      </w:tr>
      <w:tr w14:paraId="7EAD4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D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上海国际信托有限公司</w:t>
            </w:r>
          </w:p>
        </w:tc>
      </w:tr>
      <w:tr w14:paraId="75BE2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68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上海敦颐资产管理有限公司</w:t>
            </w:r>
          </w:p>
        </w:tc>
      </w:tr>
      <w:tr w14:paraId="3DABF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2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上海东方证券资产管理有限公司</w:t>
            </w:r>
          </w:p>
        </w:tc>
      </w:tr>
      <w:tr w14:paraId="3DFFA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BE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上海博笃投资管理有限公司</w:t>
            </w:r>
          </w:p>
        </w:tc>
      </w:tr>
      <w:tr w14:paraId="40181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54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山西证券股份有限公司</w:t>
            </w:r>
          </w:p>
        </w:tc>
      </w:tr>
      <w:tr w14:paraId="6C23C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EC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睿远基金管理有限公司</w:t>
            </w:r>
          </w:p>
        </w:tc>
      </w:tr>
      <w:tr w14:paraId="463FD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BE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融通基金管理有限公司</w:t>
            </w:r>
          </w:p>
        </w:tc>
      </w:tr>
      <w:tr w14:paraId="6D2CE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44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群益证券投资信托股份有限公司</w:t>
            </w:r>
          </w:p>
        </w:tc>
      </w:tr>
      <w:tr w14:paraId="6A9D3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3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青银理财有限责任公司</w:t>
            </w:r>
          </w:p>
        </w:tc>
      </w:tr>
      <w:tr w14:paraId="10A48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5F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前海开源基金管理有限公司</w:t>
            </w:r>
          </w:p>
        </w:tc>
      </w:tr>
      <w:tr w14:paraId="14C4B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E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浦银理财有限责任公司</w:t>
            </w:r>
          </w:p>
        </w:tc>
      </w:tr>
      <w:tr w14:paraId="6ED55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6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浦银基金管理有限公司</w:t>
            </w:r>
          </w:p>
        </w:tc>
      </w:tr>
      <w:tr w14:paraId="6B147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55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平安理财有限责任公司</w:t>
            </w:r>
          </w:p>
        </w:tc>
      </w:tr>
      <w:tr w14:paraId="745F6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1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平安基金管理有限公司</w:t>
            </w:r>
          </w:p>
        </w:tc>
      </w:tr>
      <w:tr w14:paraId="28BEC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86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鹏扬基金管理有限公司</w:t>
            </w:r>
          </w:p>
        </w:tc>
      </w:tr>
      <w:tr w14:paraId="22C4B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7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诺安基金管理有限公司</w:t>
            </w:r>
          </w:p>
        </w:tc>
      </w:tr>
      <w:tr w14:paraId="1BA36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AF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农银汇理基金管理有限公司</w:t>
            </w:r>
          </w:p>
        </w:tc>
      </w:tr>
      <w:tr w14:paraId="364FD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67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宁银理财有限责任公司</w:t>
            </w:r>
          </w:p>
        </w:tc>
      </w:tr>
      <w:tr w14:paraId="2964B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5B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摩根士丹利基金管理（中国）有限公司</w:t>
            </w:r>
          </w:p>
        </w:tc>
      </w:tr>
      <w:tr w14:paraId="12A2B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AA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晋江和铭资产管理有限公司</w:t>
            </w:r>
          </w:p>
        </w:tc>
      </w:tr>
      <w:tr w14:paraId="230E7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A6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交银施罗德基金管理有限公司</w:t>
            </w:r>
          </w:p>
        </w:tc>
      </w:tr>
      <w:tr w14:paraId="7B052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AE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江信基金管理有限公司</w:t>
            </w:r>
          </w:p>
        </w:tc>
      </w:tr>
      <w:tr w14:paraId="7B9A8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4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建信理财有限责任公司</w:t>
            </w:r>
          </w:p>
        </w:tc>
      </w:tr>
      <w:tr w14:paraId="599A9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E7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建信基金管理有限责任公司</w:t>
            </w:r>
          </w:p>
        </w:tc>
      </w:tr>
      <w:tr w14:paraId="5155D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C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嘉合基金管理有限公司</w:t>
            </w:r>
          </w:p>
        </w:tc>
      </w:tr>
      <w:tr w14:paraId="169E7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B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汇丰晋信基金管理有限公司</w:t>
            </w:r>
          </w:p>
        </w:tc>
      </w:tr>
      <w:tr w14:paraId="529B3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C0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华夏理财有限责任公司</w:t>
            </w:r>
          </w:p>
        </w:tc>
      </w:tr>
      <w:tr w14:paraId="77E57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7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华能贵诚信托有限公司</w:t>
            </w:r>
          </w:p>
        </w:tc>
      </w:tr>
      <w:tr w14:paraId="3E5B8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05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华安基金管理有限公司</w:t>
            </w:r>
          </w:p>
        </w:tc>
      </w:tr>
      <w:tr w14:paraId="59FE7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2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红思客资产管理（北京）有限责任公司</w:t>
            </w:r>
          </w:p>
        </w:tc>
      </w:tr>
      <w:tr w14:paraId="72E66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EA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横琴淳臻投资管理中心（有限合伙）</w:t>
            </w:r>
          </w:p>
        </w:tc>
      </w:tr>
      <w:tr w14:paraId="27CBF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54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杭州同花顺数据开发有限公司</w:t>
            </w:r>
          </w:p>
        </w:tc>
      </w:tr>
      <w:tr w14:paraId="3CCAE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DB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海富通基金管理有限公司</w:t>
            </w:r>
          </w:p>
        </w:tc>
      </w:tr>
      <w:tr w14:paraId="3FFEA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24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国联基金管理有限公司</w:t>
            </w:r>
          </w:p>
        </w:tc>
      </w:tr>
      <w:tr w14:paraId="3D814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DA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国联安基金管理有限公司</w:t>
            </w:r>
          </w:p>
        </w:tc>
      </w:tr>
      <w:tr w14:paraId="0C87C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73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国金基金管理有限公司</w:t>
            </w:r>
          </w:p>
        </w:tc>
      </w:tr>
      <w:tr w14:paraId="12A9B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5D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国海富兰克林基金管理有限公司</w:t>
            </w:r>
          </w:p>
        </w:tc>
      </w:tr>
      <w:tr w14:paraId="61395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4D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广西铁路发展投资基金（有限合伙）</w:t>
            </w:r>
          </w:p>
        </w:tc>
      </w:tr>
      <w:tr w14:paraId="06D67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89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光大证券股份有限公司</w:t>
            </w:r>
          </w:p>
        </w:tc>
      </w:tr>
      <w:tr w14:paraId="3FA6B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7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光大保德信基金管理有限公司</w:t>
            </w:r>
          </w:p>
        </w:tc>
      </w:tr>
      <w:tr w14:paraId="7E40F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08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富安达基金管理有限公司</w:t>
            </w:r>
          </w:p>
        </w:tc>
      </w:tr>
      <w:tr w14:paraId="6FFF8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EE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东方证券股份有限公司</w:t>
            </w:r>
          </w:p>
        </w:tc>
      </w:tr>
      <w:tr w14:paraId="207CF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A0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东方基金管理股份有限公司</w:t>
            </w:r>
          </w:p>
        </w:tc>
      </w:tr>
      <w:tr w14:paraId="1529C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05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东方财富信息股份有限公司</w:t>
            </w:r>
          </w:p>
        </w:tc>
      </w:tr>
      <w:tr w14:paraId="3C774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F9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东方阿尔法基金管理有限公司</w:t>
            </w:r>
          </w:p>
        </w:tc>
      </w:tr>
      <w:tr w14:paraId="430A6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A3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淡水泉（北京）投资管理有限公司</w:t>
            </w:r>
          </w:p>
        </w:tc>
      </w:tr>
      <w:tr w14:paraId="36447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B9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 w14:paraId="3CED3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45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创金合信基金管理有限公司</w:t>
            </w:r>
          </w:p>
        </w:tc>
      </w:tr>
      <w:tr w14:paraId="501F4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BE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北京国有资本运营管理有限公司</w:t>
            </w:r>
          </w:p>
        </w:tc>
      </w:tr>
      <w:tr w14:paraId="55CFC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0D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宝盈基金管理有限公司</w:t>
            </w:r>
          </w:p>
        </w:tc>
      </w:tr>
      <w:tr w14:paraId="73261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4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中新融创资本管理有限公司</w:t>
            </w:r>
          </w:p>
        </w:tc>
      </w:tr>
      <w:tr w14:paraId="66CF1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40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国泰海通证券</w:t>
            </w:r>
          </w:p>
        </w:tc>
      </w:tr>
      <w:tr w14:paraId="03E16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5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广发证券</w:t>
            </w:r>
          </w:p>
        </w:tc>
      </w:tr>
      <w:tr w14:paraId="52BD5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ED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中金证券</w:t>
            </w:r>
          </w:p>
        </w:tc>
      </w:tr>
      <w:tr w14:paraId="47057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D1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国联民生证券</w:t>
            </w:r>
          </w:p>
        </w:tc>
      </w:tr>
      <w:tr w14:paraId="56989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71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西部证券</w:t>
            </w:r>
          </w:p>
        </w:tc>
      </w:tr>
      <w:tr w14:paraId="253D9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4F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中泰证券</w:t>
            </w:r>
          </w:p>
        </w:tc>
      </w:tr>
      <w:tr w14:paraId="031C5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1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国信证券</w:t>
            </w:r>
          </w:p>
        </w:tc>
      </w:tr>
      <w:tr w14:paraId="548CA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B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野村证券</w:t>
            </w:r>
          </w:p>
        </w:tc>
      </w:tr>
      <w:tr w14:paraId="64C29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87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天风证券</w:t>
            </w:r>
          </w:p>
        </w:tc>
      </w:tr>
      <w:tr w14:paraId="4F151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26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国金证券</w:t>
            </w:r>
          </w:p>
        </w:tc>
      </w:tr>
      <w:tr w14:paraId="178E1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3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华泰证券</w:t>
            </w:r>
          </w:p>
        </w:tc>
      </w:tr>
      <w:tr w14:paraId="047E6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6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国投证券</w:t>
            </w:r>
          </w:p>
        </w:tc>
      </w:tr>
      <w:tr w14:paraId="1D1B7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7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长城证券</w:t>
            </w:r>
          </w:p>
        </w:tc>
      </w:tr>
      <w:tr w14:paraId="0EB82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B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东吴证券</w:t>
            </w:r>
          </w:p>
        </w:tc>
      </w:tr>
      <w:tr w14:paraId="599EB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C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华创证券</w:t>
            </w:r>
          </w:p>
        </w:tc>
      </w:tr>
      <w:tr w14:paraId="277DF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C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东财证券</w:t>
            </w:r>
          </w:p>
        </w:tc>
      </w:tr>
      <w:tr w14:paraId="44692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30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汇丰证券</w:t>
            </w:r>
          </w:p>
        </w:tc>
      </w:tr>
      <w:tr w14:paraId="44724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20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美银证券</w:t>
            </w:r>
          </w:p>
        </w:tc>
      </w:tr>
      <w:tr w14:paraId="25327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0A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中银证券</w:t>
            </w:r>
          </w:p>
        </w:tc>
      </w:tr>
      <w:tr w14:paraId="36563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D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申万宏源证券</w:t>
            </w:r>
          </w:p>
        </w:tc>
      </w:tr>
      <w:tr w14:paraId="7F37E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6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东亚前海证券</w:t>
            </w:r>
          </w:p>
        </w:tc>
      </w:tr>
      <w:tr w14:paraId="7A297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E7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方正证券</w:t>
            </w:r>
          </w:p>
        </w:tc>
      </w:tr>
      <w:tr w14:paraId="64C35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B8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浙商大制造</w:t>
            </w:r>
          </w:p>
        </w:tc>
      </w:tr>
      <w:tr w14:paraId="6CA85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E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西南证券</w:t>
            </w:r>
          </w:p>
        </w:tc>
      </w:tr>
      <w:tr w14:paraId="48477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5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长江证券</w:t>
            </w:r>
          </w:p>
        </w:tc>
      </w:tr>
      <w:tr w14:paraId="42DCA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41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国海证券</w:t>
            </w:r>
          </w:p>
        </w:tc>
      </w:tr>
      <w:tr w14:paraId="4CD93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2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招商证券</w:t>
            </w:r>
          </w:p>
        </w:tc>
      </w:tr>
      <w:tr w14:paraId="4BD0D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66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浙商证券</w:t>
            </w:r>
          </w:p>
        </w:tc>
      </w:tr>
      <w:tr w14:paraId="59867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5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华西证券</w:t>
            </w:r>
          </w:p>
        </w:tc>
      </w:tr>
      <w:tr w14:paraId="2BF39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A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总计258人</w:t>
            </w:r>
          </w:p>
        </w:tc>
      </w:tr>
      <w:bookmarkEnd w:id="0"/>
    </w:tbl>
    <w:p w14:paraId="54D145C0">
      <w:pPr>
        <w:widowControl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kzYjRiZTlhMTkxYmRlZjEwMDljMDM5ZDM4M2Y2NDUifQ=="/>
    <w:docVar w:name="KSO_WPS_MARK_KEY" w:val="f24a8a36-8842-49cc-be26-330e00327327"/>
  </w:docVars>
  <w:rsids>
    <w:rsidRoot w:val="002D6BF0"/>
    <w:rsid w:val="00000727"/>
    <w:rsid w:val="000033CE"/>
    <w:rsid w:val="00003FD9"/>
    <w:rsid w:val="0000570B"/>
    <w:rsid w:val="00006EF0"/>
    <w:rsid w:val="0000726A"/>
    <w:rsid w:val="00012948"/>
    <w:rsid w:val="000132DE"/>
    <w:rsid w:val="00015224"/>
    <w:rsid w:val="000154CB"/>
    <w:rsid w:val="000204A3"/>
    <w:rsid w:val="000217A1"/>
    <w:rsid w:val="0002274F"/>
    <w:rsid w:val="00022D3E"/>
    <w:rsid w:val="00024987"/>
    <w:rsid w:val="0002517F"/>
    <w:rsid w:val="00027306"/>
    <w:rsid w:val="00031CB9"/>
    <w:rsid w:val="0004218C"/>
    <w:rsid w:val="000425E4"/>
    <w:rsid w:val="00042F80"/>
    <w:rsid w:val="00045190"/>
    <w:rsid w:val="00046227"/>
    <w:rsid w:val="0004646F"/>
    <w:rsid w:val="00046C97"/>
    <w:rsid w:val="00047F68"/>
    <w:rsid w:val="0005142E"/>
    <w:rsid w:val="00053805"/>
    <w:rsid w:val="00054143"/>
    <w:rsid w:val="000547F3"/>
    <w:rsid w:val="000561D6"/>
    <w:rsid w:val="000574C2"/>
    <w:rsid w:val="00057CED"/>
    <w:rsid w:val="0006409D"/>
    <w:rsid w:val="0006525A"/>
    <w:rsid w:val="00065711"/>
    <w:rsid w:val="00065A24"/>
    <w:rsid w:val="000667F1"/>
    <w:rsid w:val="00067457"/>
    <w:rsid w:val="0006763F"/>
    <w:rsid w:val="00070B77"/>
    <w:rsid w:val="0007276C"/>
    <w:rsid w:val="000730A6"/>
    <w:rsid w:val="00074A20"/>
    <w:rsid w:val="0007530D"/>
    <w:rsid w:val="00077B26"/>
    <w:rsid w:val="00077F37"/>
    <w:rsid w:val="00080364"/>
    <w:rsid w:val="000817D1"/>
    <w:rsid w:val="00083220"/>
    <w:rsid w:val="00084D4C"/>
    <w:rsid w:val="00085565"/>
    <w:rsid w:val="00085946"/>
    <w:rsid w:val="000861B9"/>
    <w:rsid w:val="000877D2"/>
    <w:rsid w:val="00090EED"/>
    <w:rsid w:val="00094143"/>
    <w:rsid w:val="00096E82"/>
    <w:rsid w:val="00097C24"/>
    <w:rsid w:val="000A1E0D"/>
    <w:rsid w:val="000A2E89"/>
    <w:rsid w:val="000A73E3"/>
    <w:rsid w:val="000B4450"/>
    <w:rsid w:val="000B49E8"/>
    <w:rsid w:val="000B5138"/>
    <w:rsid w:val="000B57F9"/>
    <w:rsid w:val="000B63F4"/>
    <w:rsid w:val="000B7D97"/>
    <w:rsid w:val="000C3744"/>
    <w:rsid w:val="000C3844"/>
    <w:rsid w:val="000C4965"/>
    <w:rsid w:val="000C61F5"/>
    <w:rsid w:val="000C64E2"/>
    <w:rsid w:val="000C6E53"/>
    <w:rsid w:val="000C739E"/>
    <w:rsid w:val="000C7651"/>
    <w:rsid w:val="000C78F4"/>
    <w:rsid w:val="000D0BE8"/>
    <w:rsid w:val="000D1215"/>
    <w:rsid w:val="000E1969"/>
    <w:rsid w:val="000E295B"/>
    <w:rsid w:val="000E4C11"/>
    <w:rsid w:val="000E4D0F"/>
    <w:rsid w:val="000E5B6B"/>
    <w:rsid w:val="000E5E40"/>
    <w:rsid w:val="000E7A5F"/>
    <w:rsid w:val="000F1807"/>
    <w:rsid w:val="000F2801"/>
    <w:rsid w:val="001003D0"/>
    <w:rsid w:val="00101719"/>
    <w:rsid w:val="00102350"/>
    <w:rsid w:val="0010401F"/>
    <w:rsid w:val="00105686"/>
    <w:rsid w:val="00107828"/>
    <w:rsid w:val="00111831"/>
    <w:rsid w:val="00112B0C"/>
    <w:rsid w:val="00113FA9"/>
    <w:rsid w:val="00114127"/>
    <w:rsid w:val="001210CC"/>
    <w:rsid w:val="0012177D"/>
    <w:rsid w:val="00123393"/>
    <w:rsid w:val="00123BD5"/>
    <w:rsid w:val="00124B14"/>
    <w:rsid w:val="00125979"/>
    <w:rsid w:val="00130C80"/>
    <w:rsid w:val="00134131"/>
    <w:rsid w:val="00136805"/>
    <w:rsid w:val="00137AEC"/>
    <w:rsid w:val="00140830"/>
    <w:rsid w:val="00142D3E"/>
    <w:rsid w:val="001432D4"/>
    <w:rsid w:val="00146949"/>
    <w:rsid w:val="00147151"/>
    <w:rsid w:val="00150520"/>
    <w:rsid w:val="00151100"/>
    <w:rsid w:val="00151601"/>
    <w:rsid w:val="001532A1"/>
    <w:rsid w:val="00153EB6"/>
    <w:rsid w:val="001549C0"/>
    <w:rsid w:val="00154A45"/>
    <w:rsid w:val="00156EEE"/>
    <w:rsid w:val="00157CB7"/>
    <w:rsid w:val="00157EF7"/>
    <w:rsid w:val="00160ECA"/>
    <w:rsid w:val="001644A6"/>
    <w:rsid w:val="001648E6"/>
    <w:rsid w:val="00164D6C"/>
    <w:rsid w:val="0016537C"/>
    <w:rsid w:val="00165726"/>
    <w:rsid w:val="0016591A"/>
    <w:rsid w:val="00165944"/>
    <w:rsid w:val="00166991"/>
    <w:rsid w:val="0016720A"/>
    <w:rsid w:val="00167356"/>
    <w:rsid w:val="00170227"/>
    <w:rsid w:val="00174B96"/>
    <w:rsid w:val="00174DD2"/>
    <w:rsid w:val="0017578F"/>
    <w:rsid w:val="001771DC"/>
    <w:rsid w:val="00181D04"/>
    <w:rsid w:val="00182FFB"/>
    <w:rsid w:val="0018726A"/>
    <w:rsid w:val="001879C1"/>
    <w:rsid w:val="00190CF8"/>
    <w:rsid w:val="001916C4"/>
    <w:rsid w:val="00192EBC"/>
    <w:rsid w:val="00193963"/>
    <w:rsid w:val="001948F6"/>
    <w:rsid w:val="00196292"/>
    <w:rsid w:val="001A221B"/>
    <w:rsid w:val="001A2657"/>
    <w:rsid w:val="001A2C69"/>
    <w:rsid w:val="001A3020"/>
    <w:rsid w:val="001A5141"/>
    <w:rsid w:val="001A52EC"/>
    <w:rsid w:val="001A6EE3"/>
    <w:rsid w:val="001A7AA3"/>
    <w:rsid w:val="001B1A5D"/>
    <w:rsid w:val="001B4892"/>
    <w:rsid w:val="001B6409"/>
    <w:rsid w:val="001C044F"/>
    <w:rsid w:val="001C0EE4"/>
    <w:rsid w:val="001C3C24"/>
    <w:rsid w:val="001D1B93"/>
    <w:rsid w:val="001D1E8E"/>
    <w:rsid w:val="001D4702"/>
    <w:rsid w:val="001D4732"/>
    <w:rsid w:val="001D5678"/>
    <w:rsid w:val="001D78FA"/>
    <w:rsid w:val="001D7FD8"/>
    <w:rsid w:val="001E0674"/>
    <w:rsid w:val="001E20A7"/>
    <w:rsid w:val="001E6381"/>
    <w:rsid w:val="001E775A"/>
    <w:rsid w:val="001E7946"/>
    <w:rsid w:val="001F032A"/>
    <w:rsid w:val="001F0507"/>
    <w:rsid w:val="001F0F96"/>
    <w:rsid w:val="001F28A5"/>
    <w:rsid w:val="001F37B5"/>
    <w:rsid w:val="001F4328"/>
    <w:rsid w:val="001F5069"/>
    <w:rsid w:val="001F65B7"/>
    <w:rsid w:val="002035FB"/>
    <w:rsid w:val="0020559F"/>
    <w:rsid w:val="00205817"/>
    <w:rsid w:val="00205A92"/>
    <w:rsid w:val="00210D24"/>
    <w:rsid w:val="00211B95"/>
    <w:rsid w:val="00211E06"/>
    <w:rsid w:val="00213C4C"/>
    <w:rsid w:val="00216990"/>
    <w:rsid w:val="00216D7C"/>
    <w:rsid w:val="00216E6F"/>
    <w:rsid w:val="00217146"/>
    <w:rsid w:val="002243CA"/>
    <w:rsid w:val="00227BCB"/>
    <w:rsid w:val="00231C0B"/>
    <w:rsid w:val="00233672"/>
    <w:rsid w:val="00233E1A"/>
    <w:rsid w:val="00233F7A"/>
    <w:rsid w:val="00237252"/>
    <w:rsid w:val="0024328A"/>
    <w:rsid w:val="002435C4"/>
    <w:rsid w:val="00243DD5"/>
    <w:rsid w:val="0024512F"/>
    <w:rsid w:val="00245F88"/>
    <w:rsid w:val="00250CC3"/>
    <w:rsid w:val="002510E1"/>
    <w:rsid w:val="00253E08"/>
    <w:rsid w:val="002600B0"/>
    <w:rsid w:val="002614A5"/>
    <w:rsid w:val="00261B24"/>
    <w:rsid w:val="00265D04"/>
    <w:rsid w:val="00266538"/>
    <w:rsid w:val="00270BB0"/>
    <w:rsid w:val="002719F2"/>
    <w:rsid w:val="00273B43"/>
    <w:rsid w:val="00274A03"/>
    <w:rsid w:val="00275569"/>
    <w:rsid w:val="002762CF"/>
    <w:rsid w:val="00280E59"/>
    <w:rsid w:val="00280EF1"/>
    <w:rsid w:val="0028241D"/>
    <w:rsid w:val="00283D93"/>
    <w:rsid w:val="002876B3"/>
    <w:rsid w:val="00287888"/>
    <w:rsid w:val="00290F92"/>
    <w:rsid w:val="0029503C"/>
    <w:rsid w:val="00295C02"/>
    <w:rsid w:val="00297421"/>
    <w:rsid w:val="002A006A"/>
    <w:rsid w:val="002A082B"/>
    <w:rsid w:val="002A1F85"/>
    <w:rsid w:val="002A2442"/>
    <w:rsid w:val="002A5317"/>
    <w:rsid w:val="002A7857"/>
    <w:rsid w:val="002A7BF9"/>
    <w:rsid w:val="002B307F"/>
    <w:rsid w:val="002B4CB9"/>
    <w:rsid w:val="002C112E"/>
    <w:rsid w:val="002C2B45"/>
    <w:rsid w:val="002C32A8"/>
    <w:rsid w:val="002C47A0"/>
    <w:rsid w:val="002C4E39"/>
    <w:rsid w:val="002C65B8"/>
    <w:rsid w:val="002D139B"/>
    <w:rsid w:val="002D2A95"/>
    <w:rsid w:val="002D2EC8"/>
    <w:rsid w:val="002D30B1"/>
    <w:rsid w:val="002D3D1C"/>
    <w:rsid w:val="002D5986"/>
    <w:rsid w:val="002D6BF0"/>
    <w:rsid w:val="002D71B2"/>
    <w:rsid w:val="002E2152"/>
    <w:rsid w:val="002E2F03"/>
    <w:rsid w:val="002F2A42"/>
    <w:rsid w:val="002F489B"/>
    <w:rsid w:val="002F5047"/>
    <w:rsid w:val="00301C57"/>
    <w:rsid w:val="0031036C"/>
    <w:rsid w:val="00310AB3"/>
    <w:rsid w:val="003119CD"/>
    <w:rsid w:val="00315C96"/>
    <w:rsid w:val="00315ED8"/>
    <w:rsid w:val="003175CF"/>
    <w:rsid w:val="00320048"/>
    <w:rsid w:val="00324D79"/>
    <w:rsid w:val="00326486"/>
    <w:rsid w:val="00326A3D"/>
    <w:rsid w:val="003367CB"/>
    <w:rsid w:val="0034196B"/>
    <w:rsid w:val="00341FBD"/>
    <w:rsid w:val="00342C23"/>
    <w:rsid w:val="00342DDE"/>
    <w:rsid w:val="00343865"/>
    <w:rsid w:val="00343EFE"/>
    <w:rsid w:val="003445DE"/>
    <w:rsid w:val="00346F47"/>
    <w:rsid w:val="003536CB"/>
    <w:rsid w:val="00353C6D"/>
    <w:rsid w:val="00355072"/>
    <w:rsid w:val="00357151"/>
    <w:rsid w:val="00357D1E"/>
    <w:rsid w:val="0036070B"/>
    <w:rsid w:val="00362376"/>
    <w:rsid w:val="0036391C"/>
    <w:rsid w:val="00363E3D"/>
    <w:rsid w:val="00364644"/>
    <w:rsid w:val="003744AA"/>
    <w:rsid w:val="003757B9"/>
    <w:rsid w:val="003822A6"/>
    <w:rsid w:val="003839CC"/>
    <w:rsid w:val="00383C47"/>
    <w:rsid w:val="00384345"/>
    <w:rsid w:val="0038601A"/>
    <w:rsid w:val="0038682D"/>
    <w:rsid w:val="00386C10"/>
    <w:rsid w:val="00393689"/>
    <w:rsid w:val="0039508E"/>
    <w:rsid w:val="00396B9C"/>
    <w:rsid w:val="003A176E"/>
    <w:rsid w:val="003A26A2"/>
    <w:rsid w:val="003A42C4"/>
    <w:rsid w:val="003B0BD4"/>
    <w:rsid w:val="003B3431"/>
    <w:rsid w:val="003B3A10"/>
    <w:rsid w:val="003B6833"/>
    <w:rsid w:val="003B7716"/>
    <w:rsid w:val="003B7801"/>
    <w:rsid w:val="003D3443"/>
    <w:rsid w:val="003E4BB2"/>
    <w:rsid w:val="003E7622"/>
    <w:rsid w:val="003F2773"/>
    <w:rsid w:val="003F2A80"/>
    <w:rsid w:val="003F30C9"/>
    <w:rsid w:val="003F3499"/>
    <w:rsid w:val="003F41C2"/>
    <w:rsid w:val="003F4995"/>
    <w:rsid w:val="0040479E"/>
    <w:rsid w:val="00404BDF"/>
    <w:rsid w:val="00405EE5"/>
    <w:rsid w:val="00405F15"/>
    <w:rsid w:val="00406275"/>
    <w:rsid w:val="004168CE"/>
    <w:rsid w:val="0041695F"/>
    <w:rsid w:val="00416A83"/>
    <w:rsid w:val="004206F6"/>
    <w:rsid w:val="00420F9A"/>
    <w:rsid w:val="00421387"/>
    <w:rsid w:val="00422049"/>
    <w:rsid w:val="00422461"/>
    <w:rsid w:val="00422474"/>
    <w:rsid w:val="004240A7"/>
    <w:rsid w:val="004248AC"/>
    <w:rsid w:val="00427B2E"/>
    <w:rsid w:val="004310AE"/>
    <w:rsid w:val="004335AF"/>
    <w:rsid w:val="00433B0C"/>
    <w:rsid w:val="00433BC7"/>
    <w:rsid w:val="004373F8"/>
    <w:rsid w:val="00437E02"/>
    <w:rsid w:val="004415E9"/>
    <w:rsid w:val="00441D31"/>
    <w:rsid w:val="0044494D"/>
    <w:rsid w:val="00451185"/>
    <w:rsid w:val="0045389C"/>
    <w:rsid w:val="00453D3D"/>
    <w:rsid w:val="00454583"/>
    <w:rsid w:val="00455193"/>
    <w:rsid w:val="0045759A"/>
    <w:rsid w:val="00457CBC"/>
    <w:rsid w:val="004608A6"/>
    <w:rsid w:val="004618CE"/>
    <w:rsid w:val="0046222A"/>
    <w:rsid w:val="00465FBF"/>
    <w:rsid w:val="00466715"/>
    <w:rsid w:val="0046677C"/>
    <w:rsid w:val="00470B97"/>
    <w:rsid w:val="00472D98"/>
    <w:rsid w:val="00476076"/>
    <w:rsid w:val="004765EA"/>
    <w:rsid w:val="004774EF"/>
    <w:rsid w:val="00477746"/>
    <w:rsid w:val="004809B0"/>
    <w:rsid w:val="00483A41"/>
    <w:rsid w:val="00485DE2"/>
    <w:rsid w:val="00485E73"/>
    <w:rsid w:val="0049005F"/>
    <w:rsid w:val="004901C0"/>
    <w:rsid w:val="004906E1"/>
    <w:rsid w:val="00493728"/>
    <w:rsid w:val="0049418F"/>
    <w:rsid w:val="00494BE4"/>
    <w:rsid w:val="004A03C8"/>
    <w:rsid w:val="004A1B58"/>
    <w:rsid w:val="004A2E80"/>
    <w:rsid w:val="004A369C"/>
    <w:rsid w:val="004A5D31"/>
    <w:rsid w:val="004A7827"/>
    <w:rsid w:val="004B21A6"/>
    <w:rsid w:val="004B37BD"/>
    <w:rsid w:val="004B3988"/>
    <w:rsid w:val="004B57BF"/>
    <w:rsid w:val="004B71BB"/>
    <w:rsid w:val="004C0CF1"/>
    <w:rsid w:val="004C2BA8"/>
    <w:rsid w:val="004C3E22"/>
    <w:rsid w:val="004C4D98"/>
    <w:rsid w:val="004D0310"/>
    <w:rsid w:val="004D0B07"/>
    <w:rsid w:val="004D0BF9"/>
    <w:rsid w:val="004D1121"/>
    <w:rsid w:val="004D49CB"/>
    <w:rsid w:val="004D701E"/>
    <w:rsid w:val="004D753E"/>
    <w:rsid w:val="004E1106"/>
    <w:rsid w:val="004E1250"/>
    <w:rsid w:val="004E15C8"/>
    <w:rsid w:val="004E2FF7"/>
    <w:rsid w:val="004E36C0"/>
    <w:rsid w:val="004E5232"/>
    <w:rsid w:val="004E6884"/>
    <w:rsid w:val="004F0DBA"/>
    <w:rsid w:val="004F1E80"/>
    <w:rsid w:val="004F23D7"/>
    <w:rsid w:val="004F25D8"/>
    <w:rsid w:val="004F356C"/>
    <w:rsid w:val="004F3A0C"/>
    <w:rsid w:val="004F4E08"/>
    <w:rsid w:val="004F72B1"/>
    <w:rsid w:val="00501A37"/>
    <w:rsid w:val="005058CD"/>
    <w:rsid w:val="00514D71"/>
    <w:rsid w:val="00515667"/>
    <w:rsid w:val="00521050"/>
    <w:rsid w:val="00521C1D"/>
    <w:rsid w:val="0052255A"/>
    <w:rsid w:val="00522711"/>
    <w:rsid w:val="00523A6B"/>
    <w:rsid w:val="00523CA5"/>
    <w:rsid w:val="005254E7"/>
    <w:rsid w:val="005267B9"/>
    <w:rsid w:val="00526BC1"/>
    <w:rsid w:val="00530E2F"/>
    <w:rsid w:val="005348AD"/>
    <w:rsid w:val="005363BD"/>
    <w:rsid w:val="00536723"/>
    <w:rsid w:val="00536873"/>
    <w:rsid w:val="005368B6"/>
    <w:rsid w:val="005401F3"/>
    <w:rsid w:val="00541BC0"/>
    <w:rsid w:val="00542400"/>
    <w:rsid w:val="00542C76"/>
    <w:rsid w:val="00542D07"/>
    <w:rsid w:val="0054495C"/>
    <w:rsid w:val="00545603"/>
    <w:rsid w:val="005465A9"/>
    <w:rsid w:val="00550D70"/>
    <w:rsid w:val="00552BED"/>
    <w:rsid w:val="005539D9"/>
    <w:rsid w:val="00554F2B"/>
    <w:rsid w:val="00556E22"/>
    <w:rsid w:val="00561315"/>
    <w:rsid w:val="00561803"/>
    <w:rsid w:val="00563D92"/>
    <w:rsid w:val="00564410"/>
    <w:rsid w:val="005644AA"/>
    <w:rsid w:val="0056457B"/>
    <w:rsid w:val="00565C5D"/>
    <w:rsid w:val="0056643D"/>
    <w:rsid w:val="005665C3"/>
    <w:rsid w:val="0056687C"/>
    <w:rsid w:val="00566BFA"/>
    <w:rsid w:val="00570433"/>
    <w:rsid w:val="0057099C"/>
    <w:rsid w:val="005713C6"/>
    <w:rsid w:val="005771DE"/>
    <w:rsid w:val="00577544"/>
    <w:rsid w:val="005827A8"/>
    <w:rsid w:val="005827F7"/>
    <w:rsid w:val="005832F8"/>
    <w:rsid w:val="00584538"/>
    <w:rsid w:val="00584ED0"/>
    <w:rsid w:val="00586F4D"/>
    <w:rsid w:val="00587164"/>
    <w:rsid w:val="0058793E"/>
    <w:rsid w:val="0059063A"/>
    <w:rsid w:val="005906B5"/>
    <w:rsid w:val="00591209"/>
    <w:rsid w:val="00592E91"/>
    <w:rsid w:val="005A0B44"/>
    <w:rsid w:val="005A1AED"/>
    <w:rsid w:val="005A2CA8"/>
    <w:rsid w:val="005A2FE0"/>
    <w:rsid w:val="005A4196"/>
    <w:rsid w:val="005A48C4"/>
    <w:rsid w:val="005A5600"/>
    <w:rsid w:val="005A6D1C"/>
    <w:rsid w:val="005A764B"/>
    <w:rsid w:val="005A7B0F"/>
    <w:rsid w:val="005B2B66"/>
    <w:rsid w:val="005B2F51"/>
    <w:rsid w:val="005B4CC7"/>
    <w:rsid w:val="005C12CC"/>
    <w:rsid w:val="005C2E80"/>
    <w:rsid w:val="005C6089"/>
    <w:rsid w:val="005C6FC3"/>
    <w:rsid w:val="005D72B8"/>
    <w:rsid w:val="005E05C4"/>
    <w:rsid w:val="005E0759"/>
    <w:rsid w:val="005E126B"/>
    <w:rsid w:val="005E1AFC"/>
    <w:rsid w:val="005E69F2"/>
    <w:rsid w:val="005E6F34"/>
    <w:rsid w:val="005E6FF2"/>
    <w:rsid w:val="005F1C39"/>
    <w:rsid w:val="005F517C"/>
    <w:rsid w:val="005F71F6"/>
    <w:rsid w:val="00600B2C"/>
    <w:rsid w:val="00600E8E"/>
    <w:rsid w:val="006060E0"/>
    <w:rsid w:val="00607581"/>
    <w:rsid w:val="0061312F"/>
    <w:rsid w:val="00613E02"/>
    <w:rsid w:val="006214FD"/>
    <w:rsid w:val="00622D6F"/>
    <w:rsid w:val="006250F9"/>
    <w:rsid w:val="006257A4"/>
    <w:rsid w:val="0062689A"/>
    <w:rsid w:val="00632521"/>
    <w:rsid w:val="00632787"/>
    <w:rsid w:val="00633234"/>
    <w:rsid w:val="006347F8"/>
    <w:rsid w:val="00641CB2"/>
    <w:rsid w:val="00645AC5"/>
    <w:rsid w:val="0064659B"/>
    <w:rsid w:val="00646C3D"/>
    <w:rsid w:val="00646FB0"/>
    <w:rsid w:val="006470D6"/>
    <w:rsid w:val="00652143"/>
    <w:rsid w:val="00653C39"/>
    <w:rsid w:val="0065641F"/>
    <w:rsid w:val="00656607"/>
    <w:rsid w:val="00656A40"/>
    <w:rsid w:val="00656A76"/>
    <w:rsid w:val="006611A6"/>
    <w:rsid w:val="006626AA"/>
    <w:rsid w:val="006656EC"/>
    <w:rsid w:val="006657CC"/>
    <w:rsid w:val="0066769B"/>
    <w:rsid w:val="0067032C"/>
    <w:rsid w:val="0067049B"/>
    <w:rsid w:val="00671CF1"/>
    <w:rsid w:val="006746D7"/>
    <w:rsid w:val="0067651E"/>
    <w:rsid w:val="00677486"/>
    <w:rsid w:val="006810D3"/>
    <w:rsid w:val="0068113E"/>
    <w:rsid w:val="00681B9D"/>
    <w:rsid w:val="00682769"/>
    <w:rsid w:val="006828CB"/>
    <w:rsid w:val="00683E29"/>
    <w:rsid w:val="00684849"/>
    <w:rsid w:val="006849A0"/>
    <w:rsid w:val="006850B2"/>
    <w:rsid w:val="00686A94"/>
    <w:rsid w:val="00687E46"/>
    <w:rsid w:val="006943D8"/>
    <w:rsid w:val="00695090"/>
    <w:rsid w:val="00697D61"/>
    <w:rsid w:val="006A1619"/>
    <w:rsid w:val="006A5136"/>
    <w:rsid w:val="006A76A3"/>
    <w:rsid w:val="006B1058"/>
    <w:rsid w:val="006B2C95"/>
    <w:rsid w:val="006B4994"/>
    <w:rsid w:val="006B52D8"/>
    <w:rsid w:val="006B63B6"/>
    <w:rsid w:val="006C2022"/>
    <w:rsid w:val="006C25B0"/>
    <w:rsid w:val="006C3F36"/>
    <w:rsid w:val="006C46C0"/>
    <w:rsid w:val="006C4734"/>
    <w:rsid w:val="006C4C75"/>
    <w:rsid w:val="006D0BDA"/>
    <w:rsid w:val="006D2600"/>
    <w:rsid w:val="006D3B12"/>
    <w:rsid w:val="006D4B0F"/>
    <w:rsid w:val="006E0893"/>
    <w:rsid w:val="006E0A01"/>
    <w:rsid w:val="006E4858"/>
    <w:rsid w:val="006E55D5"/>
    <w:rsid w:val="006E774D"/>
    <w:rsid w:val="006F2E7C"/>
    <w:rsid w:val="006F33C8"/>
    <w:rsid w:val="006F6061"/>
    <w:rsid w:val="006F7A47"/>
    <w:rsid w:val="00700715"/>
    <w:rsid w:val="00701517"/>
    <w:rsid w:val="00704502"/>
    <w:rsid w:val="00705E66"/>
    <w:rsid w:val="0070624D"/>
    <w:rsid w:val="007070FC"/>
    <w:rsid w:val="00707517"/>
    <w:rsid w:val="00707AEA"/>
    <w:rsid w:val="00707EF7"/>
    <w:rsid w:val="007116B4"/>
    <w:rsid w:val="007116DD"/>
    <w:rsid w:val="00711B61"/>
    <w:rsid w:val="00713DEB"/>
    <w:rsid w:val="00713FB0"/>
    <w:rsid w:val="0071712F"/>
    <w:rsid w:val="00717146"/>
    <w:rsid w:val="00720328"/>
    <w:rsid w:val="00721A94"/>
    <w:rsid w:val="007234DD"/>
    <w:rsid w:val="00724688"/>
    <w:rsid w:val="007251BA"/>
    <w:rsid w:val="007279CA"/>
    <w:rsid w:val="00727B53"/>
    <w:rsid w:val="00730497"/>
    <w:rsid w:val="00732A0D"/>
    <w:rsid w:val="00734E16"/>
    <w:rsid w:val="00734EF8"/>
    <w:rsid w:val="007378D0"/>
    <w:rsid w:val="00742D8C"/>
    <w:rsid w:val="00744189"/>
    <w:rsid w:val="00746AC8"/>
    <w:rsid w:val="007530D1"/>
    <w:rsid w:val="0075671B"/>
    <w:rsid w:val="00757769"/>
    <w:rsid w:val="00757EC8"/>
    <w:rsid w:val="00761A8C"/>
    <w:rsid w:val="00762AB8"/>
    <w:rsid w:val="00763C3A"/>
    <w:rsid w:val="007656A2"/>
    <w:rsid w:val="00766DBB"/>
    <w:rsid w:val="00767A09"/>
    <w:rsid w:val="0077080F"/>
    <w:rsid w:val="00773997"/>
    <w:rsid w:val="00775DD2"/>
    <w:rsid w:val="00780F20"/>
    <w:rsid w:val="00781E77"/>
    <w:rsid w:val="00783493"/>
    <w:rsid w:val="00783AA2"/>
    <w:rsid w:val="00785B13"/>
    <w:rsid w:val="00785DA1"/>
    <w:rsid w:val="00786D0B"/>
    <w:rsid w:val="007929DE"/>
    <w:rsid w:val="007930C3"/>
    <w:rsid w:val="007945E9"/>
    <w:rsid w:val="007A03CE"/>
    <w:rsid w:val="007A139B"/>
    <w:rsid w:val="007A2DF0"/>
    <w:rsid w:val="007A41BF"/>
    <w:rsid w:val="007A44CB"/>
    <w:rsid w:val="007A44DB"/>
    <w:rsid w:val="007A4D60"/>
    <w:rsid w:val="007B4DFA"/>
    <w:rsid w:val="007B69C4"/>
    <w:rsid w:val="007C090F"/>
    <w:rsid w:val="007C099A"/>
    <w:rsid w:val="007C14CB"/>
    <w:rsid w:val="007C1F6A"/>
    <w:rsid w:val="007C2F03"/>
    <w:rsid w:val="007C4047"/>
    <w:rsid w:val="007C4E43"/>
    <w:rsid w:val="007C6DE3"/>
    <w:rsid w:val="007D209D"/>
    <w:rsid w:val="007D5BBC"/>
    <w:rsid w:val="007E4FFC"/>
    <w:rsid w:val="007E74D3"/>
    <w:rsid w:val="007E779F"/>
    <w:rsid w:val="007F250D"/>
    <w:rsid w:val="007F4DDC"/>
    <w:rsid w:val="007F509B"/>
    <w:rsid w:val="0080506E"/>
    <w:rsid w:val="00805CB5"/>
    <w:rsid w:val="0080733C"/>
    <w:rsid w:val="00812C72"/>
    <w:rsid w:val="008131F7"/>
    <w:rsid w:val="008169BC"/>
    <w:rsid w:val="00817DAF"/>
    <w:rsid w:val="00817F63"/>
    <w:rsid w:val="0082014D"/>
    <w:rsid w:val="00820227"/>
    <w:rsid w:val="00820E0B"/>
    <w:rsid w:val="008232EE"/>
    <w:rsid w:val="00825767"/>
    <w:rsid w:val="00825BB0"/>
    <w:rsid w:val="00826B9B"/>
    <w:rsid w:val="008279AA"/>
    <w:rsid w:val="00833302"/>
    <w:rsid w:val="00834480"/>
    <w:rsid w:val="008351B0"/>
    <w:rsid w:val="00835873"/>
    <w:rsid w:val="0083587A"/>
    <w:rsid w:val="00840B23"/>
    <w:rsid w:val="00843555"/>
    <w:rsid w:val="00843E7B"/>
    <w:rsid w:val="008442A0"/>
    <w:rsid w:val="00844E68"/>
    <w:rsid w:val="00850E63"/>
    <w:rsid w:val="00852507"/>
    <w:rsid w:val="0085408E"/>
    <w:rsid w:val="0085480C"/>
    <w:rsid w:val="00854958"/>
    <w:rsid w:val="008559D1"/>
    <w:rsid w:val="0086082A"/>
    <w:rsid w:val="00860ABC"/>
    <w:rsid w:val="00862658"/>
    <w:rsid w:val="008643A7"/>
    <w:rsid w:val="00864837"/>
    <w:rsid w:val="00866406"/>
    <w:rsid w:val="00866846"/>
    <w:rsid w:val="00866BBE"/>
    <w:rsid w:val="00867099"/>
    <w:rsid w:val="00867C12"/>
    <w:rsid w:val="008734D4"/>
    <w:rsid w:val="008748DC"/>
    <w:rsid w:val="00876102"/>
    <w:rsid w:val="00880B5A"/>
    <w:rsid w:val="00880EDA"/>
    <w:rsid w:val="00881566"/>
    <w:rsid w:val="00882980"/>
    <w:rsid w:val="00883C9D"/>
    <w:rsid w:val="00885960"/>
    <w:rsid w:val="00886916"/>
    <w:rsid w:val="008874FF"/>
    <w:rsid w:val="008926DD"/>
    <w:rsid w:val="008930F2"/>
    <w:rsid w:val="00895FFB"/>
    <w:rsid w:val="00896C02"/>
    <w:rsid w:val="008A48E2"/>
    <w:rsid w:val="008A6B60"/>
    <w:rsid w:val="008B02D8"/>
    <w:rsid w:val="008B1EE7"/>
    <w:rsid w:val="008B3CEA"/>
    <w:rsid w:val="008B49A5"/>
    <w:rsid w:val="008C0AC6"/>
    <w:rsid w:val="008C0DEA"/>
    <w:rsid w:val="008C122C"/>
    <w:rsid w:val="008C5F5F"/>
    <w:rsid w:val="008D05F3"/>
    <w:rsid w:val="008D09B1"/>
    <w:rsid w:val="008D18B0"/>
    <w:rsid w:val="008D2423"/>
    <w:rsid w:val="008D2E51"/>
    <w:rsid w:val="008D57D8"/>
    <w:rsid w:val="008D6E7B"/>
    <w:rsid w:val="008E0C30"/>
    <w:rsid w:val="008E1221"/>
    <w:rsid w:val="008E3ABD"/>
    <w:rsid w:val="008E58F2"/>
    <w:rsid w:val="008E7E7E"/>
    <w:rsid w:val="008F2279"/>
    <w:rsid w:val="00900A71"/>
    <w:rsid w:val="00900F14"/>
    <w:rsid w:val="00902BCF"/>
    <w:rsid w:val="009039F3"/>
    <w:rsid w:val="0091495C"/>
    <w:rsid w:val="00914B3D"/>
    <w:rsid w:val="00914DC5"/>
    <w:rsid w:val="0091653F"/>
    <w:rsid w:val="009218E9"/>
    <w:rsid w:val="009219CF"/>
    <w:rsid w:val="009243FF"/>
    <w:rsid w:val="00925715"/>
    <w:rsid w:val="00925985"/>
    <w:rsid w:val="009259C5"/>
    <w:rsid w:val="00932349"/>
    <w:rsid w:val="00933718"/>
    <w:rsid w:val="00933BA2"/>
    <w:rsid w:val="00935F77"/>
    <w:rsid w:val="00936DF7"/>
    <w:rsid w:val="00940FAF"/>
    <w:rsid w:val="009410CE"/>
    <w:rsid w:val="0094136F"/>
    <w:rsid w:val="009479F9"/>
    <w:rsid w:val="00952587"/>
    <w:rsid w:val="0095278E"/>
    <w:rsid w:val="00952C36"/>
    <w:rsid w:val="00954214"/>
    <w:rsid w:val="00955210"/>
    <w:rsid w:val="00955BA5"/>
    <w:rsid w:val="00955BCA"/>
    <w:rsid w:val="009565D0"/>
    <w:rsid w:val="00957852"/>
    <w:rsid w:val="00962DF9"/>
    <w:rsid w:val="00963675"/>
    <w:rsid w:val="00963D9A"/>
    <w:rsid w:val="0097054D"/>
    <w:rsid w:val="00971464"/>
    <w:rsid w:val="00971C3A"/>
    <w:rsid w:val="0097300C"/>
    <w:rsid w:val="009757E1"/>
    <w:rsid w:val="00975B13"/>
    <w:rsid w:val="009771D6"/>
    <w:rsid w:val="00980109"/>
    <w:rsid w:val="00982B73"/>
    <w:rsid w:val="00983070"/>
    <w:rsid w:val="00983EAC"/>
    <w:rsid w:val="00985752"/>
    <w:rsid w:val="00987DBF"/>
    <w:rsid w:val="00990D56"/>
    <w:rsid w:val="00991F26"/>
    <w:rsid w:val="00992CB6"/>
    <w:rsid w:val="009936D6"/>
    <w:rsid w:val="00994CFF"/>
    <w:rsid w:val="00994F38"/>
    <w:rsid w:val="00995CEC"/>
    <w:rsid w:val="00995EC2"/>
    <w:rsid w:val="009A0B91"/>
    <w:rsid w:val="009A1BD0"/>
    <w:rsid w:val="009A269F"/>
    <w:rsid w:val="009A414A"/>
    <w:rsid w:val="009A4FD7"/>
    <w:rsid w:val="009A58F6"/>
    <w:rsid w:val="009A7A30"/>
    <w:rsid w:val="009B0C9E"/>
    <w:rsid w:val="009B2735"/>
    <w:rsid w:val="009B62BC"/>
    <w:rsid w:val="009C1C8C"/>
    <w:rsid w:val="009C2135"/>
    <w:rsid w:val="009D014F"/>
    <w:rsid w:val="009D1943"/>
    <w:rsid w:val="009D1C19"/>
    <w:rsid w:val="009D3445"/>
    <w:rsid w:val="009D3D7B"/>
    <w:rsid w:val="009D5BFD"/>
    <w:rsid w:val="009D5DC5"/>
    <w:rsid w:val="009D7088"/>
    <w:rsid w:val="009D70C0"/>
    <w:rsid w:val="009E0402"/>
    <w:rsid w:val="009E07D8"/>
    <w:rsid w:val="009E4F31"/>
    <w:rsid w:val="009E63E0"/>
    <w:rsid w:val="009E6BD0"/>
    <w:rsid w:val="009E718D"/>
    <w:rsid w:val="009F0264"/>
    <w:rsid w:val="009F4F59"/>
    <w:rsid w:val="009F7FE5"/>
    <w:rsid w:val="00A013E7"/>
    <w:rsid w:val="00A01C66"/>
    <w:rsid w:val="00A060E9"/>
    <w:rsid w:val="00A07553"/>
    <w:rsid w:val="00A103E5"/>
    <w:rsid w:val="00A14B18"/>
    <w:rsid w:val="00A174B1"/>
    <w:rsid w:val="00A22555"/>
    <w:rsid w:val="00A228B9"/>
    <w:rsid w:val="00A2681C"/>
    <w:rsid w:val="00A27F6D"/>
    <w:rsid w:val="00A3203B"/>
    <w:rsid w:val="00A34D8E"/>
    <w:rsid w:val="00A353C2"/>
    <w:rsid w:val="00A44324"/>
    <w:rsid w:val="00A45B0F"/>
    <w:rsid w:val="00A46E2D"/>
    <w:rsid w:val="00A51017"/>
    <w:rsid w:val="00A639E1"/>
    <w:rsid w:val="00A63A89"/>
    <w:rsid w:val="00A67A5D"/>
    <w:rsid w:val="00A708F8"/>
    <w:rsid w:val="00A72A8E"/>
    <w:rsid w:val="00A752EA"/>
    <w:rsid w:val="00A77822"/>
    <w:rsid w:val="00A77E70"/>
    <w:rsid w:val="00A801BF"/>
    <w:rsid w:val="00A82366"/>
    <w:rsid w:val="00A86659"/>
    <w:rsid w:val="00A873A9"/>
    <w:rsid w:val="00A9028F"/>
    <w:rsid w:val="00A927D8"/>
    <w:rsid w:val="00A9678C"/>
    <w:rsid w:val="00A96F8A"/>
    <w:rsid w:val="00AA1F7E"/>
    <w:rsid w:val="00AA3C63"/>
    <w:rsid w:val="00AA4EAF"/>
    <w:rsid w:val="00AA5861"/>
    <w:rsid w:val="00AB0539"/>
    <w:rsid w:val="00AB1B23"/>
    <w:rsid w:val="00AB36C7"/>
    <w:rsid w:val="00AC04EC"/>
    <w:rsid w:val="00AC0609"/>
    <w:rsid w:val="00AC22CA"/>
    <w:rsid w:val="00AC4ECE"/>
    <w:rsid w:val="00AD2734"/>
    <w:rsid w:val="00AD428A"/>
    <w:rsid w:val="00AD6202"/>
    <w:rsid w:val="00AD7F7C"/>
    <w:rsid w:val="00AE04C7"/>
    <w:rsid w:val="00AE378B"/>
    <w:rsid w:val="00AE381D"/>
    <w:rsid w:val="00AE5441"/>
    <w:rsid w:val="00AE73C5"/>
    <w:rsid w:val="00AF06BA"/>
    <w:rsid w:val="00AF12C8"/>
    <w:rsid w:val="00AF21F7"/>
    <w:rsid w:val="00AF2DD9"/>
    <w:rsid w:val="00AF2FE4"/>
    <w:rsid w:val="00AF46E0"/>
    <w:rsid w:val="00AF46EB"/>
    <w:rsid w:val="00AF47C3"/>
    <w:rsid w:val="00AF6F6D"/>
    <w:rsid w:val="00AF7813"/>
    <w:rsid w:val="00B00296"/>
    <w:rsid w:val="00B03395"/>
    <w:rsid w:val="00B04232"/>
    <w:rsid w:val="00B04EC4"/>
    <w:rsid w:val="00B062AE"/>
    <w:rsid w:val="00B07955"/>
    <w:rsid w:val="00B163B4"/>
    <w:rsid w:val="00B16A04"/>
    <w:rsid w:val="00B16C2C"/>
    <w:rsid w:val="00B217F0"/>
    <w:rsid w:val="00B22109"/>
    <w:rsid w:val="00B22822"/>
    <w:rsid w:val="00B23BE4"/>
    <w:rsid w:val="00B25769"/>
    <w:rsid w:val="00B25EAC"/>
    <w:rsid w:val="00B4044A"/>
    <w:rsid w:val="00B44364"/>
    <w:rsid w:val="00B45C26"/>
    <w:rsid w:val="00B50020"/>
    <w:rsid w:val="00B506E4"/>
    <w:rsid w:val="00B51FD4"/>
    <w:rsid w:val="00B538B7"/>
    <w:rsid w:val="00B53A58"/>
    <w:rsid w:val="00B54F50"/>
    <w:rsid w:val="00B55E3C"/>
    <w:rsid w:val="00B55EF4"/>
    <w:rsid w:val="00B56808"/>
    <w:rsid w:val="00B5730E"/>
    <w:rsid w:val="00B60F88"/>
    <w:rsid w:val="00B61C93"/>
    <w:rsid w:val="00B65933"/>
    <w:rsid w:val="00B6773B"/>
    <w:rsid w:val="00B709D1"/>
    <w:rsid w:val="00B70F21"/>
    <w:rsid w:val="00B72319"/>
    <w:rsid w:val="00B72C9E"/>
    <w:rsid w:val="00B7331B"/>
    <w:rsid w:val="00B7375F"/>
    <w:rsid w:val="00B73AEA"/>
    <w:rsid w:val="00B767A6"/>
    <w:rsid w:val="00B804FD"/>
    <w:rsid w:val="00B816C0"/>
    <w:rsid w:val="00B8651D"/>
    <w:rsid w:val="00B9171F"/>
    <w:rsid w:val="00B95678"/>
    <w:rsid w:val="00BA247E"/>
    <w:rsid w:val="00BA2878"/>
    <w:rsid w:val="00BA5604"/>
    <w:rsid w:val="00BB2711"/>
    <w:rsid w:val="00BB7A44"/>
    <w:rsid w:val="00BC0473"/>
    <w:rsid w:val="00BC139F"/>
    <w:rsid w:val="00BC4EA9"/>
    <w:rsid w:val="00BC60ED"/>
    <w:rsid w:val="00BC638D"/>
    <w:rsid w:val="00BD2334"/>
    <w:rsid w:val="00BD5125"/>
    <w:rsid w:val="00BD5F44"/>
    <w:rsid w:val="00BD6519"/>
    <w:rsid w:val="00BD734F"/>
    <w:rsid w:val="00BD7984"/>
    <w:rsid w:val="00BE0960"/>
    <w:rsid w:val="00BE0BE9"/>
    <w:rsid w:val="00BE40FB"/>
    <w:rsid w:val="00BE5BC0"/>
    <w:rsid w:val="00BF214B"/>
    <w:rsid w:val="00BF2358"/>
    <w:rsid w:val="00BF25F1"/>
    <w:rsid w:val="00BF61DB"/>
    <w:rsid w:val="00BF62BD"/>
    <w:rsid w:val="00BF6394"/>
    <w:rsid w:val="00BF7B43"/>
    <w:rsid w:val="00C01CD8"/>
    <w:rsid w:val="00C037EE"/>
    <w:rsid w:val="00C05B65"/>
    <w:rsid w:val="00C07E2F"/>
    <w:rsid w:val="00C11D0E"/>
    <w:rsid w:val="00C1243A"/>
    <w:rsid w:val="00C137BE"/>
    <w:rsid w:val="00C147CF"/>
    <w:rsid w:val="00C16B94"/>
    <w:rsid w:val="00C17375"/>
    <w:rsid w:val="00C2199A"/>
    <w:rsid w:val="00C25E8C"/>
    <w:rsid w:val="00C27218"/>
    <w:rsid w:val="00C27632"/>
    <w:rsid w:val="00C27719"/>
    <w:rsid w:val="00C27C9D"/>
    <w:rsid w:val="00C309EE"/>
    <w:rsid w:val="00C30AA2"/>
    <w:rsid w:val="00C32532"/>
    <w:rsid w:val="00C3490F"/>
    <w:rsid w:val="00C352B5"/>
    <w:rsid w:val="00C353CC"/>
    <w:rsid w:val="00C35B04"/>
    <w:rsid w:val="00C36291"/>
    <w:rsid w:val="00C370F0"/>
    <w:rsid w:val="00C37DE0"/>
    <w:rsid w:val="00C4103C"/>
    <w:rsid w:val="00C410AD"/>
    <w:rsid w:val="00C414D2"/>
    <w:rsid w:val="00C440E1"/>
    <w:rsid w:val="00C4447B"/>
    <w:rsid w:val="00C51B41"/>
    <w:rsid w:val="00C60629"/>
    <w:rsid w:val="00C64E8F"/>
    <w:rsid w:val="00C6560E"/>
    <w:rsid w:val="00C65A74"/>
    <w:rsid w:val="00C70871"/>
    <w:rsid w:val="00C710B9"/>
    <w:rsid w:val="00C71EB1"/>
    <w:rsid w:val="00C71F90"/>
    <w:rsid w:val="00C75331"/>
    <w:rsid w:val="00C758D1"/>
    <w:rsid w:val="00C759C9"/>
    <w:rsid w:val="00C776F1"/>
    <w:rsid w:val="00C81620"/>
    <w:rsid w:val="00C85192"/>
    <w:rsid w:val="00C857D8"/>
    <w:rsid w:val="00C90817"/>
    <w:rsid w:val="00C91686"/>
    <w:rsid w:val="00C91F7F"/>
    <w:rsid w:val="00CA09B8"/>
    <w:rsid w:val="00CA1A75"/>
    <w:rsid w:val="00CA1B49"/>
    <w:rsid w:val="00CA209F"/>
    <w:rsid w:val="00CA59F6"/>
    <w:rsid w:val="00CA6103"/>
    <w:rsid w:val="00CB399D"/>
    <w:rsid w:val="00CB6A25"/>
    <w:rsid w:val="00CC17B5"/>
    <w:rsid w:val="00CC2A28"/>
    <w:rsid w:val="00CC335F"/>
    <w:rsid w:val="00CC37AC"/>
    <w:rsid w:val="00CC3CA2"/>
    <w:rsid w:val="00CC59CF"/>
    <w:rsid w:val="00CC62CF"/>
    <w:rsid w:val="00CC6E0E"/>
    <w:rsid w:val="00CC7A8F"/>
    <w:rsid w:val="00CD0DE6"/>
    <w:rsid w:val="00CD1A6A"/>
    <w:rsid w:val="00CD1EA4"/>
    <w:rsid w:val="00CD2182"/>
    <w:rsid w:val="00CD2841"/>
    <w:rsid w:val="00CD7853"/>
    <w:rsid w:val="00CD7A67"/>
    <w:rsid w:val="00CE1521"/>
    <w:rsid w:val="00CE152B"/>
    <w:rsid w:val="00CE1A8A"/>
    <w:rsid w:val="00CE59DD"/>
    <w:rsid w:val="00CE5CC0"/>
    <w:rsid w:val="00CE7272"/>
    <w:rsid w:val="00CF1A13"/>
    <w:rsid w:val="00CF1EF4"/>
    <w:rsid w:val="00CF2D70"/>
    <w:rsid w:val="00CF3B25"/>
    <w:rsid w:val="00CF4A62"/>
    <w:rsid w:val="00CF4B8D"/>
    <w:rsid w:val="00CF5F45"/>
    <w:rsid w:val="00CF79ED"/>
    <w:rsid w:val="00D0076A"/>
    <w:rsid w:val="00D014BE"/>
    <w:rsid w:val="00D016B0"/>
    <w:rsid w:val="00D02CB0"/>
    <w:rsid w:val="00D04061"/>
    <w:rsid w:val="00D04135"/>
    <w:rsid w:val="00D041AE"/>
    <w:rsid w:val="00D07000"/>
    <w:rsid w:val="00D079C6"/>
    <w:rsid w:val="00D11A56"/>
    <w:rsid w:val="00D14211"/>
    <w:rsid w:val="00D16EF4"/>
    <w:rsid w:val="00D2248C"/>
    <w:rsid w:val="00D23A03"/>
    <w:rsid w:val="00D23C27"/>
    <w:rsid w:val="00D27D79"/>
    <w:rsid w:val="00D3167E"/>
    <w:rsid w:val="00D3202F"/>
    <w:rsid w:val="00D36DB9"/>
    <w:rsid w:val="00D37DAB"/>
    <w:rsid w:val="00D402C3"/>
    <w:rsid w:val="00D4263B"/>
    <w:rsid w:val="00D44475"/>
    <w:rsid w:val="00D45A48"/>
    <w:rsid w:val="00D464EF"/>
    <w:rsid w:val="00D46677"/>
    <w:rsid w:val="00D5120C"/>
    <w:rsid w:val="00D54527"/>
    <w:rsid w:val="00D54C39"/>
    <w:rsid w:val="00D55730"/>
    <w:rsid w:val="00D60DA6"/>
    <w:rsid w:val="00D628B6"/>
    <w:rsid w:val="00D62A3B"/>
    <w:rsid w:val="00D63459"/>
    <w:rsid w:val="00D63527"/>
    <w:rsid w:val="00D6390B"/>
    <w:rsid w:val="00D63E4F"/>
    <w:rsid w:val="00D64C35"/>
    <w:rsid w:val="00D65360"/>
    <w:rsid w:val="00D70CD4"/>
    <w:rsid w:val="00D71460"/>
    <w:rsid w:val="00D74967"/>
    <w:rsid w:val="00D74CD9"/>
    <w:rsid w:val="00D81BB7"/>
    <w:rsid w:val="00D81C26"/>
    <w:rsid w:val="00D877B0"/>
    <w:rsid w:val="00D90C31"/>
    <w:rsid w:val="00D9155B"/>
    <w:rsid w:val="00D91F61"/>
    <w:rsid w:val="00D93F5B"/>
    <w:rsid w:val="00D96228"/>
    <w:rsid w:val="00DA0839"/>
    <w:rsid w:val="00DA4F04"/>
    <w:rsid w:val="00DA51D6"/>
    <w:rsid w:val="00DA74AA"/>
    <w:rsid w:val="00DA7F24"/>
    <w:rsid w:val="00DB1751"/>
    <w:rsid w:val="00DB35EC"/>
    <w:rsid w:val="00DB39C9"/>
    <w:rsid w:val="00DB3B41"/>
    <w:rsid w:val="00DB3FF4"/>
    <w:rsid w:val="00DB40FB"/>
    <w:rsid w:val="00DB535D"/>
    <w:rsid w:val="00DB5374"/>
    <w:rsid w:val="00DC0055"/>
    <w:rsid w:val="00DC039E"/>
    <w:rsid w:val="00DC1067"/>
    <w:rsid w:val="00DC1669"/>
    <w:rsid w:val="00DC3185"/>
    <w:rsid w:val="00DC7D2F"/>
    <w:rsid w:val="00DD292D"/>
    <w:rsid w:val="00DD4964"/>
    <w:rsid w:val="00DD503F"/>
    <w:rsid w:val="00DE1C6D"/>
    <w:rsid w:val="00DE1CC0"/>
    <w:rsid w:val="00DE3CF8"/>
    <w:rsid w:val="00DE4BAB"/>
    <w:rsid w:val="00DE4BD1"/>
    <w:rsid w:val="00DE4C92"/>
    <w:rsid w:val="00DE66A4"/>
    <w:rsid w:val="00DE78E6"/>
    <w:rsid w:val="00DE78F6"/>
    <w:rsid w:val="00DF3AF4"/>
    <w:rsid w:val="00DF7C9B"/>
    <w:rsid w:val="00E00EFD"/>
    <w:rsid w:val="00E01953"/>
    <w:rsid w:val="00E02924"/>
    <w:rsid w:val="00E036BD"/>
    <w:rsid w:val="00E04D98"/>
    <w:rsid w:val="00E0530D"/>
    <w:rsid w:val="00E065B8"/>
    <w:rsid w:val="00E109AF"/>
    <w:rsid w:val="00E11203"/>
    <w:rsid w:val="00E15A6E"/>
    <w:rsid w:val="00E2028D"/>
    <w:rsid w:val="00E20AC5"/>
    <w:rsid w:val="00E21BAF"/>
    <w:rsid w:val="00E236C0"/>
    <w:rsid w:val="00E237D9"/>
    <w:rsid w:val="00E239E4"/>
    <w:rsid w:val="00E25236"/>
    <w:rsid w:val="00E30CC7"/>
    <w:rsid w:val="00E316B2"/>
    <w:rsid w:val="00E34D2E"/>
    <w:rsid w:val="00E36DE1"/>
    <w:rsid w:val="00E37302"/>
    <w:rsid w:val="00E408FD"/>
    <w:rsid w:val="00E41063"/>
    <w:rsid w:val="00E418A3"/>
    <w:rsid w:val="00E432C8"/>
    <w:rsid w:val="00E475E0"/>
    <w:rsid w:val="00E50AA8"/>
    <w:rsid w:val="00E54341"/>
    <w:rsid w:val="00E55391"/>
    <w:rsid w:val="00E5569D"/>
    <w:rsid w:val="00E55904"/>
    <w:rsid w:val="00E55963"/>
    <w:rsid w:val="00E565D9"/>
    <w:rsid w:val="00E57AE5"/>
    <w:rsid w:val="00E60DA0"/>
    <w:rsid w:val="00E626CF"/>
    <w:rsid w:val="00E63048"/>
    <w:rsid w:val="00E63AEB"/>
    <w:rsid w:val="00E64492"/>
    <w:rsid w:val="00E6706D"/>
    <w:rsid w:val="00E677EB"/>
    <w:rsid w:val="00E713E4"/>
    <w:rsid w:val="00E713E5"/>
    <w:rsid w:val="00E721B0"/>
    <w:rsid w:val="00E73CA5"/>
    <w:rsid w:val="00E8035C"/>
    <w:rsid w:val="00E81E94"/>
    <w:rsid w:val="00E840E6"/>
    <w:rsid w:val="00E84103"/>
    <w:rsid w:val="00E859F3"/>
    <w:rsid w:val="00E87B39"/>
    <w:rsid w:val="00E9394C"/>
    <w:rsid w:val="00E96C23"/>
    <w:rsid w:val="00E96FDF"/>
    <w:rsid w:val="00EA0662"/>
    <w:rsid w:val="00EA0C5B"/>
    <w:rsid w:val="00EA1464"/>
    <w:rsid w:val="00EA293A"/>
    <w:rsid w:val="00EB3700"/>
    <w:rsid w:val="00EB3E1E"/>
    <w:rsid w:val="00EB42D3"/>
    <w:rsid w:val="00EB53A3"/>
    <w:rsid w:val="00EB6D36"/>
    <w:rsid w:val="00EC1B12"/>
    <w:rsid w:val="00EC4DF3"/>
    <w:rsid w:val="00EC5107"/>
    <w:rsid w:val="00EC5BDE"/>
    <w:rsid w:val="00EC5CC7"/>
    <w:rsid w:val="00ED1DA5"/>
    <w:rsid w:val="00ED331A"/>
    <w:rsid w:val="00ED527D"/>
    <w:rsid w:val="00ED5728"/>
    <w:rsid w:val="00ED6393"/>
    <w:rsid w:val="00ED760C"/>
    <w:rsid w:val="00EE02D8"/>
    <w:rsid w:val="00EE110F"/>
    <w:rsid w:val="00EE2585"/>
    <w:rsid w:val="00EE2EC0"/>
    <w:rsid w:val="00EE3AEB"/>
    <w:rsid w:val="00EE3C6E"/>
    <w:rsid w:val="00EE3F0B"/>
    <w:rsid w:val="00EE60F5"/>
    <w:rsid w:val="00EE68DC"/>
    <w:rsid w:val="00EE71A1"/>
    <w:rsid w:val="00EF06DB"/>
    <w:rsid w:val="00EF2553"/>
    <w:rsid w:val="00EF4BF0"/>
    <w:rsid w:val="00EF4F20"/>
    <w:rsid w:val="00EF4FC9"/>
    <w:rsid w:val="00EF6B4B"/>
    <w:rsid w:val="00EF6EE7"/>
    <w:rsid w:val="00EF79A7"/>
    <w:rsid w:val="00EF79A9"/>
    <w:rsid w:val="00EF7D5D"/>
    <w:rsid w:val="00F00D59"/>
    <w:rsid w:val="00F013FD"/>
    <w:rsid w:val="00F03028"/>
    <w:rsid w:val="00F048C4"/>
    <w:rsid w:val="00F0607A"/>
    <w:rsid w:val="00F07041"/>
    <w:rsid w:val="00F07360"/>
    <w:rsid w:val="00F13913"/>
    <w:rsid w:val="00F142B1"/>
    <w:rsid w:val="00F14AF1"/>
    <w:rsid w:val="00F14D56"/>
    <w:rsid w:val="00F14D96"/>
    <w:rsid w:val="00F15256"/>
    <w:rsid w:val="00F15D13"/>
    <w:rsid w:val="00F176DA"/>
    <w:rsid w:val="00F2139B"/>
    <w:rsid w:val="00F2216E"/>
    <w:rsid w:val="00F225A1"/>
    <w:rsid w:val="00F2353A"/>
    <w:rsid w:val="00F2478E"/>
    <w:rsid w:val="00F24873"/>
    <w:rsid w:val="00F25807"/>
    <w:rsid w:val="00F266B6"/>
    <w:rsid w:val="00F3007D"/>
    <w:rsid w:val="00F32F4D"/>
    <w:rsid w:val="00F336C6"/>
    <w:rsid w:val="00F33D3E"/>
    <w:rsid w:val="00F33EE7"/>
    <w:rsid w:val="00F34D8C"/>
    <w:rsid w:val="00F34E77"/>
    <w:rsid w:val="00F36D84"/>
    <w:rsid w:val="00F36FA9"/>
    <w:rsid w:val="00F402BC"/>
    <w:rsid w:val="00F4074C"/>
    <w:rsid w:val="00F44D24"/>
    <w:rsid w:val="00F47D39"/>
    <w:rsid w:val="00F532C2"/>
    <w:rsid w:val="00F57405"/>
    <w:rsid w:val="00F57DD2"/>
    <w:rsid w:val="00F61024"/>
    <w:rsid w:val="00F6165E"/>
    <w:rsid w:val="00F62593"/>
    <w:rsid w:val="00F62A5E"/>
    <w:rsid w:val="00F6465F"/>
    <w:rsid w:val="00F66245"/>
    <w:rsid w:val="00F67819"/>
    <w:rsid w:val="00F711E1"/>
    <w:rsid w:val="00F72D04"/>
    <w:rsid w:val="00F751B4"/>
    <w:rsid w:val="00F75B74"/>
    <w:rsid w:val="00F75EBD"/>
    <w:rsid w:val="00F8262E"/>
    <w:rsid w:val="00F84B89"/>
    <w:rsid w:val="00F855E2"/>
    <w:rsid w:val="00F85B21"/>
    <w:rsid w:val="00F86506"/>
    <w:rsid w:val="00F903C0"/>
    <w:rsid w:val="00F90F68"/>
    <w:rsid w:val="00F93CD5"/>
    <w:rsid w:val="00F9517D"/>
    <w:rsid w:val="00F96024"/>
    <w:rsid w:val="00F970C1"/>
    <w:rsid w:val="00F9729F"/>
    <w:rsid w:val="00FA217E"/>
    <w:rsid w:val="00FA6E29"/>
    <w:rsid w:val="00FB0800"/>
    <w:rsid w:val="00FB22EF"/>
    <w:rsid w:val="00FB50A5"/>
    <w:rsid w:val="00FB571A"/>
    <w:rsid w:val="00FC016D"/>
    <w:rsid w:val="00FC3B00"/>
    <w:rsid w:val="00FC4DAB"/>
    <w:rsid w:val="00FC725E"/>
    <w:rsid w:val="00FD054E"/>
    <w:rsid w:val="00FD0A33"/>
    <w:rsid w:val="00FD1E0E"/>
    <w:rsid w:val="00FD24D1"/>
    <w:rsid w:val="00FD28B9"/>
    <w:rsid w:val="00FE2D7B"/>
    <w:rsid w:val="00FE3082"/>
    <w:rsid w:val="00FE36B9"/>
    <w:rsid w:val="00FE522A"/>
    <w:rsid w:val="00FE56A2"/>
    <w:rsid w:val="00FE57AD"/>
    <w:rsid w:val="00FF1452"/>
    <w:rsid w:val="00FF14B6"/>
    <w:rsid w:val="00FF1F6D"/>
    <w:rsid w:val="00FF4CA9"/>
    <w:rsid w:val="00FF5D09"/>
    <w:rsid w:val="00FF71B5"/>
    <w:rsid w:val="06923289"/>
    <w:rsid w:val="0775534D"/>
    <w:rsid w:val="0B702D7E"/>
    <w:rsid w:val="0CE13F47"/>
    <w:rsid w:val="13B30CB1"/>
    <w:rsid w:val="15BC3062"/>
    <w:rsid w:val="1DFA16B9"/>
    <w:rsid w:val="1F545487"/>
    <w:rsid w:val="2290075A"/>
    <w:rsid w:val="232230CD"/>
    <w:rsid w:val="23FF0CCE"/>
    <w:rsid w:val="2D242488"/>
    <w:rsid w:val="31DF6D9F"/>
    <w:rsid w:val="3200110E"/>
    <w:rsid w:val="396226AE"/>
    <w:rsid w:val="3E5D7693"/>
    <w:rsid w:val="41DA2298"/>
    <w:rsid w:val="422A7562"/>
    <w:rsid w:val="4305532F"/>
    <w:rsid w:val="4BF65952"/>
    <w:rsid w:val="4CA10E5E"/>
    <w:rsid w:val="4CCC554C"/>
    <w:rsid w:val="4F733680"/>
    <w:rsid w:val="589A33C0"/>
    <w:rsid w:val="5DD63F6C"/>
    <w:rsid w:val="6077603F"/>
    <w:rsid w:val="613F4F5A"/>
    <w:rsid w:val="61A70B34"/>
    <w:rsid w:val="61D316F1"/>
    <w:rsid w:val="70473F3C"/>
    <w:rsid w:val="723B7BF3"/>
    <w:rsid w:val="7A9E45ED"/>
    <w:rsid w:val="7EB5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unhideWhenUsed/>
    <w:qFormat/>
    <w:uiPriority w:val="99"/>
    <w:pPr>
      <w:jc w:val="left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23"/>
    <w:semiHidden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1">
    <w:name w:val="FollowedHyperlink"/>
    <w:basedOn w:val="1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文字 字符"/>
    <w:basedOn w:val="10"/>
    <w:link w:val="3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6">
    <w:name w:val="批注主题 字符"/>
    <w:basedOn w:val="15"/>
    <w:link w:val="8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paragraph" w:customStyle="1" w:styleId="17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8">
    <w:name w:val="批注框文本 字符"/>
    <w:basedOn w:val="10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字符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1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3">
    <w:name w:val="HTML 预设格式 字符"/>
    <w:basedOn w:val="10"/>
    <w:link w:val="7"/>
    <w:semiHidden/>
    <w:qFormat/>
    <w:uiPriority w:val="99"/>
    <w:rPr>
      <w:rFonts w:ascii="Courier New" w:hAnsi="Courier New" w:eastAsia="宋体" w:cs="Courier New"/>
      <w:kern w:val="2"/>
    </w:rPr>
  </w:style>
  <w:style w:type="paragraph" w:customStyle="1" w:styleId="24">
    <w:name w:val="修订4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15042-0BDC-486E-9E87-25A920923F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cmtc</Company>
  <Pages>9</Pages>
  <Words>2616</Words>
  <Characters>2985</Characters>
  <Lines>20</Lines>
  <Paragraphs>5</Paragraphs>
  <TotalTime>62</TotalTime>
  <ScaleCrop>false</ScaleCrop>
  <LinksUpToDate>false</LinksUpToDate>
  <CharactersWithSpaces>3132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2026-04-30T04:00:00Z</dcterms:created>
  <dc:creator>龚玉娇</dc:creator>
  <cp:lastModifiedBy>廖敏</cp:lastModifiedBy>
  <cp:lastPrinted>2026-10-29T08:30:00Z</cp:lastPrinted>
  <dcterms:modified xsi:type="dcterms:W3CDTF">2026-10-30T12:26:20Z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E3FD99C526B94A5586C9454B210F3359_13</vt:lpwstr>
  </property>
  <property fmtid="{D5CDD505-2E9C-101B-9397-08002B2CF9AE}" pid="4" name="KSOTemplateDocerSaveRecord">
    <vt:lpwstr>eyJoZGlkIjoiYWQ4MzMzMjYxMzY2MTBkZTQzNDcyNzRlYzViNzMzNzQiLCJ1c2VySWQiOiIxNzY1NjM0NDQ5In0=</vt:lpwstr>
  </property>
</Properties>
</file>