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97248D">
      <w:pPr>
        <w:spacing w:before="93" w:beforeLines="30" w:after="62" w:afterLines="20" w:line="360" w:lineRule="auto"/>
        <w:ind w:left="-126" w:leftChars="-60"/>
        <w:jc w:val="center"/>
        <w:rPr>
          <w:sz w:val="24"/>
        </w:rPr>
      </w:pPr>
      <w:r>
        <w:rPr>
          <w:sz w:val="24"/>
        </w:rPr>
        <w:t>证券简称：达梦数据                                    股票代码：688692</w:t>
      </w:r>
    </w:p>
    <w:p w14:paraId="4D09977F">
      <w:pPr>
        <w:spacing w:before="124" w:beforeLines="40" w:after="62" w:afterLines="20" w:line="360" w:lineRule="auto"/>
        <w:jc w:val="center"/>
        <w:rPr>
          <w:b/>
          <w:sz w:val="36"/>
          <w:szCs w:val="32"/>
        </w:rPr>
      </w:pPr>
      <w:r>
        <w:rPr>
          <w:b/>
          <w:sz w:val="36"/>
          <w:szCs w:val="32"/>
        </w:rPr>
        <w:t>武汉达梦数据库股份有限公司</w:t>
      </w:r>
    </w:p>
    <w:p w14:paraId="2E56AF64">
      <w:pPr>
        <w:spacing w:before="124" w:beforeLines="40" w:after="62" w:afterLines="20" w:line="360" w:lineRule="auto"/>
        <w:jc w:val="center"/>
        <w:rPr>
          <w:b/>
          <w:sz w:val="36"/>
          <w:szCs w:val="32"/>
        </w:rPr>
      </w:pPr>
      <w:r>
        <w:rPr>
          <w:b/>
          <w:sz w:val="36"/>
          <w:szCs w:val="32"/>
        </w:rPr>
        <w:t>投资者关系活动记录表</w:t>
      </w:r>
    </w:p>
    <w:p w14:paraId="3AEC91F2">
      <w:pPr>
        <w:spacing w:before="93" w:beforeLines="30" w:after="62" w:afterLines="20" w:line="360" w:lineRule="auto"/>
        <w:ind w:firstLine="480" w:firstLineChars="200"/>
        <w:jc w:val="right"/>
        <w:rPr>
          <w:rFonts w:hint="default" w:eastAsia="宋体"/>
          <w:sz w:val="24"/>
          <w:lang w:val="en-US" w:eastAsia="zh-CN"/>
        </w:rPr>
      </w:pPr>
      <w:r>
        <w:rPr>
          <w:sz w:val="24"/>
        </w:rPr>
        <w:t>编号：202</w:t>
      </w:r>
      <w:r>
        <w:rPr>
          <w:rFonts w:hint="eastAsia"/>
          <w:sz w:val="24"/>
          <w:lang w:val="en-US" w:eastAsia="zh-CN"/>
        </w:rPr>
        <w:t>6</w:t>
      </w:r>
      <w:r>
        <w:rPr>
          <w:sz w:val="24"/>
        </w:rPr>
        <w:t>-</w:t>
      </w:r>
      <w:r>
        <w:rPr>
          <w:rFonts w:hint="eastAsia"/>
          <w:sz w:val="24"/>
        </w:rPr>
        <w:t>0</w:t>
      </w:r>
      <w:r>
        <w:rPr>
          <w:rFonts w:hint="eastAsia"/>
          <w:sz w:val="24"/>
          <w:lang w:val="en-US" w:eastAsia="zh-CN"/>
        </w:rPr>
        <w:t>12</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05"/>
        <w:gridCol w:w="6091"/>
      </w:tblGrid>
      <w:tr w14:paraId="62DBA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9" w:type="dxa"/>
            <w:vAlign w:val="center"/>
          </w:tcPr>
          <w:p w14:paraId="05630872">
            <w:pPr>
              <w:spacing w:line="460" w:lineRule="exact"/>
              <w:jc w:val="center"/>
              <w:rPr>
                <w:b/>
                <w:bCs/>
                <w:iCs/>
                <w:sz w:val="24"/>
                <w:szCs w:val="24"/>
              </w:rPr>
            </w:pPr>
            <w:r>
              <w:rPr>
                <w:b/>
                <w:bCs/>
                <w:iCs/>
                <w:sz w:val="24"/>
                <w:szCs w:val="24"/>
              </w:rPr>
              <w:t>投资者关系活动类别</w:t>
            </w:r>
          </w:p>
        </w:tc>
        <w:tc>
          <w:tcPr>
            <w:tcW w:w="6138" w:type="dxa"/>
          </w:tcPr>
          <w:p w14:paraId="402E8E1F">
            <w:pPr>
              <w:spacing w:line="460" w:lineRule="exact"/>
              <w:rPr>
                <w:bCs/>
                <w:iCs/>
                <w:sz w:val="24"/>
                <w:szCs w:val="24"/>
              </w:rPr>
            </w:pPr>
            <w:r>
              <w:rPr>
                <w:rFonts w:ascii="Segoe UI Symbol" w:hAnsi="Segoe UI Symbol" w:cs="Segoe UI Symbol"/>
                <w:bCs/>
                <w:iCs/>
                <w:sz w:val="24"/>
                <w:szCs w:val="24"/>
              </w:rPr>
              <w:t>☑</w:t>
            </w:r>
            <w:r>
              <w:rPr>
                <w:bCs/>
                <w:sz w:val="24"/>
                <w:szCs w:val="24"/>
              </w:rPr>
              <w:t xml:space="preserve">特定对象调研 </w:t>
            </w:r>
            <w:r>
              <w:rPr>
                <w:b/>
                <w:bCs/>
                <w:sz w:val="24"/>
                <w:szCs w:val="24"/>
              </w:rPr>
              <w:t xml:space="preserve"> </w:t>
            </w:r>
            <w:r>
              <w:rPr>
                <w:sz w:val="24"/>
                <w:szCs w:val="24"/>
              </w:rPr>
              <w:t xml:space="preserve">      </w:t>
            </w:r>
            <w:r>
              <w:rPr>
                <w:rFonts w:hint="eastAsia"/>
                <w:bCs/>
                <w:iCs/>
                <w:sz w:val="24"/>
                <w:szCs w:val="24"/>
                <w:lang w:eastAsia="zh-CN"/>
              </w:rPr>
              <w:t>□</w:t>
            </w:r>
            <w:r>
              <w:rPr>
                <w:sz w:val="24"/>
                <w:szCs w:val="24"/>
              </w:rPr>
              <w:t>分析师会议</w:t>
            </w:r>
          </w:p>
          <w:p w14:paraId="4EAE004A">
            <w:pPr>
              <w:spacing w:line="460" w:lineRule="exact"/>
              <w:rPr>
                <w:bCs/>
                <w:iCs/>
                <w:sz w:val="24"/>
                <w:szCs w:val="24"/>
              </w:rPr>
            </w:pPr>
            <w:r>
              <w:rPr>
                <w:rFonts w:hint="eastAsia"/>
                <w:bCs/>
                <w:iCs/>
                <w:sz w:val="24"/>
                <w:szCs w:val="24"/>
              </w:rPr>
              <w:t>□</w:t>
            </w:r>
            <w:r>
              <w:rPr>
                <w:sz w:val="24"/>
                <w:szCs w:val="24"/>
              </w:rPr>
              <w:t xml:space="preserve">媒体采访            </w:t>
            </w:r>
            <w:r>
              <w:rPr>
                <w:bCs/>
                <w:iCs/>
                <w:sz w:val="24"/>
                <w:szCs w:val="24"/>
              </w:rPr>
              <w:sym w:font="Wingdings 2" w:char="00A3"/>
            </w:r>
            <w:r>
              <w:rPr>
                <w:sz w:val="24"/>
                <w:szCs w:val="24"/>
              </w:rPr>
              <w:t>业绩说明会</w:t>
            </w:r>
          </w:p>
          <w:p w14:paraId="5CA548CB">
            <w:pPr>
              <w:spacing w:line="460" w:lineRule="exact"/>
              <w:rPr>
                <w:bCs/>
                <w:iCs/>
                <w:sz w:val="24"/>
                <w:szCs w:val="24"/>
              </w:rPr>
            </w:pPr>
            <w:r>
              <w:rPr>
                <w:rFonts w:hint="eastAsia"/>
                <w:bCs/>
                <w:iCs/>
                <w:sz w:val="24"/>
                <w:szCs w:val="24"/>
              </w:rPr>
              <w:t>□</w:t>
            </w:r>
            <w:r>
              <w:rPr>
                <w:sz w:val="24"/>
                <w:szCs w:val="24"/>
              </w:rPr>
              <w:t xml:space="preserve">新闻发布会          </w:t>
            </w:r>
            <w:r>
              <w:rPr>
                <w:rFonts w:hint="eastAsia"/>
                <w:bCs/>
                <w:iCs/>
                <w:sz w:val="24"/>
                <w:szCs w:val="24"/>
              </w:rPr>
              <w:t>□</w:t>
            </w:r>
            <w:r>
              <w:rPr>
                <w:sz w:val="24"/>
                <w:szCs w:val="24"/>
              </w:rPr>
              <w:t>路演活动</w:t>
            </w:r>
          </w:p>
          <w:p w14:paraId="117BB8B0">
            <w:pPr>
              <w:tabs>
                <w:tab w:val="left" w:pos="2685"/>
                <w:tab w:val="center" w:pos="3199"/>
              </w:tabs>
              <w:spacing w:line="460" w:lineRule="exact"/>
              <w:rPr>
                <w:sz w:val="24"/>
                <w:szCs w:val="24"/>
                <w:u w:val="single"/>
              </w:rPr>
            </w:pPr>
            <w:r>
              <w:rPr>
                <w:rFonts w:hint="eastAsia"/>
                <w:bCs/>
                <w:iCs/>
                <w:sz w:val="24"/>
                <w:szCs w:val="24"/>
                <w:lang w:eastAsia="zh-CN"/>
              </w:rPr>
              <w:t>☑</w:t>
            </w:r>
            <w:r>
              <w:rPr>
                <w:sz w:val="24"/>
                <w:szCs w:val="24"/>
              </w:rPr>
              <w:t>现场参观</w:t>
            </w:r>
            <w:r>
              <w:rPr>
                <w:bCs/>
                <w:iCs/>
                <w:sz w:val="24"/>
                <w:szCs w:val="24"/>
              </w:rPr>
              <w:tab/>
            </w:r>
            <w:r>
              <w:rPr>
                <w:rFonts w:hint="eastAsia"/>
                <w:bCs/>
                <w:iCs/>
                <w:sz w:val="24"/>
                <w:szCs w:val="24"/>
              </w:rPr>
              <w:t>□</w:t>
            </w:r>
            <w:r>
              <w:rPr>
                <w:sz w:val="24"/>
                <w:szCs w:val="24"/>
              </w:rPr>
              <w:t xml:space="preserve">其他 </w:t>
            </w:r>
            <w:r>
              <w:rPr>
                <w:sz w:val="24"/>
                <w:szCs w:val="24"/>
                <w:u w:val="single"/>
              </w:rPr>
              <w:t xml:space="preserve">     </w:t>
            </w:r>
          </w:p>
        </w:tc>
      </w:tr>
      <w:tr w14:paraId="4C9EE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9" w:type="dxa"/>
            <w:vAlign w:val="center"/>
          </w:tcPr>
          <w:p w14:paraId="53AAAB0A">
            <w:pPr>
              <w:spacing w:line="460" w:lineRule="exact"/>
              <w:jc w:val="center"/>
              <w:rPr>
                <w:b/>
                <w:bCs/>
                <w:iCs/>
                <w:sz w:val="24"/>
                <w:szCs w:val="24"/>
              </w:rPr>
            </w:pPr>
            <w:r>
              <w:rPr>
                <w:b/>
                <w:bCs/>
                <w:iCs/>
                <w:sz w:val="24"/>
                <w:szCs w:val="24"/>
              </w:rPr>
              <w:t>参与单位名称</w:t>
            </w:r>
          </w:p>
        </w:tc>
        <w:tc>
          <w:tcPr>
            <w:tcW w:w="6138" w:type="dxa"/>
          </w:tcPr>
          <w:p w14:paraId="3E721169">
            <w:pPr>
              <w:spacing w:line="460" w:lineRule="exact"/>
              <w:rPr>
                <w:bCs/>
                <w:iCs/>
                <w:sz w:val="24"/>
                <w:szCs w:val="24"/>
              </w:rPr>
            </w:pPr>
            <w:r>
              <w:rPr>
                <w:rFonts w:hint="eastAsia"/>
                <w:bCs/>
                <w:iCs/>
                <w:sz w:val="24"/>
                <w:szCs w:val="24"/>
                <w:highlight w:val="none"/>
                <w:lang w:val="en-US" w:eastAsia="zh-CN"/>
              </w:rPr>
              <w:t>平安证券、武汉广茂私募基金、易方达基金、中信证券、华安基金、北京益安资本、国泰海通资管、光大保德信基金、湖北天升私募基金</w:t>
            </w:r>
            <w:bookmarkStart w:id="0" w:name="_GoBack"/>
            <w:bookmarkEnd w:id="0"/>
            <w:r>
              <w:rPr>
                <w:rFonts w:hint="eastAsia"/>
                <w:bCs/>
                <w:iCs/>
                <w:sz w:val="24"/>
                <w:szCs w:val="24"/>
                <w:highlight w:val="none"/>
                <w:lang w:val="en-US" w:eastAsia="zh-CN"/>
              </w:rPr>
              <w:t>、长江电工、招商银行、南方基金、方正富邦基金、中金公司、国新投资、杭银理财</w:t>
            </w:r>
            <w:r>
              <w:rPr>
                <w:rFonts w:hint="eastAsia"/>
                <w:bCs/>
                <w:iCs/>
                <w:sz w:val="24"/>
                <w:szCs w:val="24"/>
                <w:highlight w:val="none"/>
                <w:lang w:val="en-US" w:eastAsia="zh-CN"/>
              </w:rPr>
              <w:t>等</w:t>
            </w:r>
            <w:r>
              <w:rPr>
                <w:rFonts w:hint="eastAsia"/>
                <w:bCs/>
                <w:iCs/>
                <w:sz w:val="24"/>
                <w:szCs w:val="24"/>
                <w:highlight w:val="none"/>
              </w:rPr>
              <w:t>机构投资者</w:t>
            </w:r>
            <w:r>
              <w:rPr>
                <w:rFonts w:hint="eastAsia"/>
                <w:bCs/>
                <w:iCs/>
                <w:sz w:val="24"/>
                <w:szCs w:val="24"/>
                <w:highlight w:val="none"/>
                <w:lang w:val="en-US" w:eastAsia="zh-CN"/>
              </w:rPr>
              <w:t>及个人投资者</w:t>
            </w:r>
            <w:r>
              <w:rPr>
                <w:rFonts w:hint="eastAsia"/>
                <w:bCs/>
                <w:iCs/>
                <w:sz w:val="24"/>
                <w:szCs w:val="24"/>
                <w:highlight w:val="none"/>
              </w:rPr>
              <w:t>共</w:t>
            </w:r>
            <w:r>
              <w:rPr>
                <w:rFonts w:hint="eastAsia"/>
                <w:b w:val="0"/>
                <w:bCs/>
                <w:iCs/>
                <w:color w:val="auto"/>
                <w:sz w:val="24"/>
                <w:szCs w:val="24"/>
                <w:highlight w:val="none"/>
                <w:lang w:val="en-US" w:eastAsia="zh-CN"/>
              </w:rPr>
              <w:t>27</w:t>
            </w:r>
            <w:r>
              <w:rPr>
                <w:rFonts w:hint="eastAsia"/>
                <w:bCs/>
                <w:iCs/>
                <w:sz w:val="24"/>
                <w:szCs w:val="24"/>
                <w:highlight w:val="none"/>
              </w:rPr>
              <w:t>名。</w:t>
            </w:r>
          </w:p>
        </w:tc>
      </w:tr>
      <w:tr w14:paraId="13084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9" w:type="dxa"/>
            <w:vAlign w:val="center"/>
          </w:tcPr>
          <w:p w14:paraId="4D4125C8">
            <w:pPr>
              <w:spacing w:line="460" w:lineRule="exact"/>
              <w:jc w:val="center"/>
              <w:rPr>
                <w:b/>
                <w:bCs/>
                <w:iCs/>
                <w:sz w:val="24"/>
                <w:szCs w:val="24"/>
              </w:rPr>
            </w:pPr>
            <w:r>
              <w:rPr>
                <w:b/>
                <w:bCs/>
                <w:iCs/>
                <w:sz w:val="24"/>
                <w:szCs w:val="24"/>
              </w:rPr>
              <w:t>会议时间</w:t>
            </w:r>
          </w:p>
        </w:tc>
        <w:tc>
          <w:tcPr>
            <w:tcW w:w="6138" w:type="dxa"/>
          </w:tcPr>
          <w:p w14:paraId="1CC8ED8A">
            <w:pPr>
              <w:spacing w:line="460" w:lineRule="exact"/>
              <w:rPr>
                <w:rFonts w:hint="default" w:eastAsia="宋体"/>
                <w:bCs/>
                <w:iCs/>
                <w:sz w:val="24"/>
                <w:szCs w:val="24"/>
                <w:lang w:val="en-US" w:eastAsia="zh-CN"/>
              </w:rPr>
            </w:pPr>
            <w:r>
              <w:rPr>
                <w:bCs/>
                <w:iCs/>
                <w:sz w:val="24"/>
                <w:szCs w:val="24"/>
              </w:rPr>
              <w:t>202</w:t>
            </w:r>
            <w:r>
              <w:rPr>
                <w:rFonts w:hint="eastAsia"/>
                <w:bCs/>
                <w:iCs/>
                <w:sz w:val="24"/>
                <w:szCs w:val="24"/>
                <w:lang w:val="en-US" w:eastAsia="zh-CN"/>
              </w:rPr>
              <w:t>6</w:t>
            </w:r>
            <w:r>
              <w:rPr>
                <w:bCs/>
                <w:iCs/>
                <w:sz w:val="24"/>
                <w:szCs w:val="24"/>
              </w:rPr>
              <w:t>年</w:t>
            </w:r>
            <w:r>
              <w:rPr>
                <w:rFonts w:hint="eastAsia"/>
                <w:bCs/>
                <w:iCs/>
                <w:sz w:val="24"/>
                <w:szCs w:val="24"/>
                <w:lang w:val="en-US" w:eastAsia="zh-CN"/>
              </w:rPr>
              <w:t>10</w:t>
            </w:r>
            <w:r>
              <w:rPr>
                <w:bCs/>
                <w:iCs/>
                <w:sz w:val="24"/>
                <w:szCs w:val="24"/>
              </w:rPr>
              <w:t>月</w:t>
            </w:r>
            <w:r>
              <w:rPr>
                <w:rFonts w:hint="eastAsia"/>
                <w:bCs/>
                <w:iCs/>
                <w:sz w:val="24"/>
                <w:szCs w:val="24"/>
                <w:lang w:val="en-US" w:eastAsia="zh-CN"/>
              </w:rPr>
              <w:t>30</w:t>
            </w:r>
            <w:r>
              <w:rPr>
                <w:bCs/>
                <w:iCs/>
                <w:sz w:val="24"/>
                <w:szCs w:val="24"/>
              </w:rPr>
              <w:t>日</w:t>
            </w:r>
            <w:r>
              <w:rPr>
                <w:rFonts w:hint="eastAsia"/>
                <w:bCs/>
                <w:iCs/>
                <w:sz w:val="24"/>
                <w:szCs w:val="24"/>
                <w:lang w:val="en-US" w:eastAsia="zh-CN"/>
              </w:rPr>
              <w:t>-11月2日</w:t>
            </w:r>
          </w:p>
        </w:tc>
      </w:tr>
      <w:tr w14:paraId="22625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2219" w:type="dxa"/>
            <w:vAlign w:val="center"/>
          </w:tcPr>
          <w:p w14:paraId="17549121">
            <w:pPr>
              <w:spacing w:line="460" w:lineRule="exact"/>
              <w:jc w:val="center"/>
              <w:rPr>
                <w:b/>
                <w:bCs/>
                <w:iCs/>
                <w:sz w:val="24"/>
                <w:szCs w:val="24"/>
              </w:rPr>
            </w:pPr>
            <w:r>
              <w:rPr>
                <w:b/>
                <w:bCs/>
                <w:iCs/>
                <w:sz w:val="24"/>
                <w:szCs w:val="24"/>
              </w:rPr>
              <w:t>参会地点</w:t>
            </w:r>
          </w:p>
        </w:tc>
        <w:tc>
          <w:tcPr>
            <w:tcW w:w="6138" w:type="dxa"/>
          </w:tcPr>
          <w:p w14:paraId="2B68CD41">
            <w:pPr>
              <w:pStyle w:val="22"/>
              <w:spacing w:line="460" w:lineRule="exact"/>
              <w:rPr>
                <w:rFonts w:hint="default" w:eastAsia="宋体"/>
                <w:bCs/>
                <w:iCs/>
                <w:sz w:val="24"/>
                <w:szCs w:val="24"/>
                <w:lang w:val="en-US" w:eastAsia="zh-CN"/>
              </w:rPr>
            </w:pPr>
            <w:r>
              <w:rPr>
                <w:rFonts w:hint="default" w:ascii="Times New Roman" w:hAnsi="Times New Roman" w:eastAsiaTheme="minorEastAsia"/>
                <w:kern w:val="2"/>
                <w:sz w:val="24"/>
                <w:szCs w:val="32"/>
                <w:lang w:val="en-US" w:eastAsia="zh-CN"/>
              </w:rPr>
              <w:t>湖北省武汉市东湖新技术开发区甲铺岭街39号达梦中国数据库产业基地2号楼</w:t>
            </w:r>
          </w:p>
        </w:tc>
      </w:tr>
      <w:tr w14:paraId="3C7DC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2219" w:type="dxa"/>
            <w:vAlign w:val="center"/>
          </w:tcPr>
          <w:p w14:paraId="71FBC3E5">
            <w:pPr>
              <w:spacing w:line="460" w:lineRule="exact"/>
              <w:jc w:val="center"/>
              <w:rPr>
                <w:b/>
                <w:bCs/>
                <w:iCs/>
                <w:sz w:val="24"/>
                <w:szCs w:val="24"/>
              </w:rPr>
            </w:pPr>
            <w:r>
              <w:rPr>
                <w:b/>
                <w:bCs/>
                <w:iCs/>
                <w:sz w:val="24"/>
                <w:szCs w:val="24"/>
              </w:rPr>
              <w:t>公司接待人员姓名</w:t>
            </w:r>
          </w:p>
        </w:tc>
        <w:tc>
          <w:tcPr>
            <w:tcW w:w="6138" w:type="dxa"/>
            <w:vAlign w:val="center"/>
          </w:tcPr>
          <w:p w14:paraId="7CF4F129">
            <w:pPr>
              <w:pStyle w:val="22"/>
              <w:spacing w:line="460" w:lineRule="exact"/>
              <w:rPr>
                <w:rFonts w:hint="default" w:ascii="Times New Roman" w:hAnsi="Times New Roman" w:eastAsiaTheme="minorEastAsia"/>
                <w:kern w:val="2"/>
                <w:sz w:val="24"/>
                <w:szCs w:val="32"/>
                <w:lang w:val="en-US" w:eastAsia="zh-CN"/>
              </w:rPr>
            </w:pPr>
            <w:r>
              <w:rPr>
                <w:rFonts w:hint="eastAsia" w:ascii="Times New Roman" w:hAnsi="Times New Roman" w:eastAsiaTheme="minorEastAsia"/>
                <w:kern w:val="2"/>
                <w:sz w:val="24"/>
                <w:szCs w:val="32"/>
                <w:lang w:val="en-US" w:eastAsia="zh-CN"/>
              </w:rPr>
              <w:t>董事长 冯裕才先生</w:t>
            </w:r>
          </w:p>
          <w:p w14:paraId="353A59FF">
            <w:pPr>
              <w:pStyle w:val="22"/>
              <w:spacing w:line="460" w:lineRule="exact"/>
              <w:rPr>
                <w:rFonts w:hint="eastAsia" w:ascii="Times New Roman" w:hAnsi="Times New Roman" w:eastAsiaTheme="minorEastAsia"/>
                <w:kern w:val="2"/>
                <w:sz w:val="24"/>
                <w:szCs w:val="32"/>
                <w:lang w:val="en-US" w:eastAsia="zh-CN"/>
              </w:rPr>
            </w:pPr>
            <w:r>
              <w:rPr>
                <w:rFonts w:hint="eastAsia" w:ascii="Times New Roman" w:hAnsi="Times New Roman" w:eastAsiaTheme="minorEastAsia"/>
                <w:kern w:val="2"/>
                <w:sz w:val="24"/>
                <w:szCs w:val="32"/>
                <w:lang w:val="en-US" w:eastAsia="zh-CN"/>
              </w:rPr>
              <w:t>高级副总经理 周淳先生</w:t>
            </w:r>
          </w:p>
          <w:p w14:paraId="5E3FA9A1">
            <w:pPr>
              <w:pStyle w:val="22"/>
              <w:spacing w:line="460" w:lineRule="exact"/>
              <w:rPr>
                <w:rFonts w:hint="eastAsia" w:ascii="Times New Roman" w:hAnsi="Times New Roman" w:eastAsiaTheme="minorEastAsia"/>
                <w:kern w:val="2"/>
                <w:sz w:val="24"/>
                <w:szCs w:val="32"/>
                <w:lang w:val="en-US" w:eastAsia="zh-CN"/>
              </w:rPr>
            </w:pPr>
            <w:r>
              <w:rPr>
                <w:rFonts w:hint="eastAsia" w:ascii="Times New Roman" w:hAnsi="Times New Roman" w:eastAsiaTheme="minorEastAsia"/>
                <w:kern w:val="2"/>
                <w:sz w:val="24"/>
                <w:szCs w:val="32"/>
                <w:lang w:val="en-US" w:eastAsia="zh-CN"/>
              </w:rPr>
              <w:t>高级副总经理 张永强先生</w:t>
            </w:r>
          </w:p>
          <w:p w14:paraId="607FFFAC">
            <w:pPr>
              <w:pStyle w:val="22"/>
              <w:spacing w:line="460" w:lineRule="exact"/>
              <w:rPr>
                <w:rFonts w:hint="eastAsia" w:ascii="Times New Roman" w:hAnsi="Times New Roman" w:eastAsiaTheme="minorEastAsia"/>
                <w:kern w:val="2"/>
                <w:sz w:val="24"/>
                <w:szCs w:val="32"/>
                <w:lang w:val="en-US" w:eastAsia="zh-CN"/>
              </w:rPr>
            </w:pPr>
            <w:r>
              <w:rPr>
                <w:rFonts w:hint="eastAsia" w:ascii="Times New Roman" w:hAnsi="Times New Roman" w:eastAsiaTheme="minorEastAsia"/>
                <w:kern w:val="2"/>
                <w:sz w:val="24"/>
                <w:szCs w:val="32"/>
                <w:lang w:val="en-US" w:eastAsia="zh-CN"/>
              </w:rPr>
              <w:t>董事会秘书 卜京红女士</w:t>
            </w:r>
          </w:p>
          <w:p w14:paraId="09C36DB4">
            <w:pPr>
              <w:pStyle w:val="22"/>
              <w:spacing w:line="460" w:lineRule="exact"/>
              <w:rPr>
                <w:rFonts w:hint="default" w:ascii="Times New Roman" w:hAnsi="Times New Roman" w:eastAsiaTheme="minorEastAsia"/>
                <w:kern w:val="2"/>
                <w:sz w:val="24"/>
                <w:szCs w:val="32"/>
                <w:lang w:val="en-US" w:eastAsia="zh-CN"/>
              </w:rPr>
            </w:pPr>
            <w:r>
              <w:rPr>
                <w:rFonts w:hint="eastAsia" w:ascii="Times New Roman" w:hAnsi="Times New Roman" w:eastAsiaTheme="minorEastAsia"/>
                <w:kern w:val="2"/>
                <w:sz w:val="24"/>
                <w:szCs w:val="32"/>
                <w:lang w:val="en-US" w:eastAsia="zh-CN"/>
              </w:rPr>
              <w:t>技术预研部总监 胡书能先生</w:t>
            </w:r>
          </w:p>
          <w:p w14:paraId="175D54C0">
            <w:pPr>
              <w:pStyle w:val="22"/>
              <w:spacing w:line="460" w:lineRule="exact"/>
              <w:rPr>
                <w:rFonts w:hint="default" w:ascii="Times New Roman" w:hAnsi="Times New Roman" w:eastAsiaTheme="minorEastAsia"/>
                <w:kern w:val="2"/>
                <w:sz w:val="24"/>
                <w:szCs w:val="32"/>
                <w:lang w:val="en-US" w:eastAsia="zh-CN"/>
              </w:rPr>
            </w:pPr>
            <w:r>
              <w:rPr>
                <w:rFonts w:hint="eastAsia" w:ascii="Times New Roman" w:hAnsi="Times New Roman" w:eastAsiaTheme="minorEastAsia"/>
                <w:kern w:val="2"/>
                <w:sz w:val="24"/>
                <w:szCs w:val="32"/>
                <w:lang w:eastAsia="zh-CN"/>
              </w:rPr>
              <w:t xml:space="preserve">证券事务代表 </w:t>
            </w:r>
            <w:r>
              <w:rPr>
                <w:rFonts w:hint="eastAsia" w:ascii="Times New Roman" w:hAnsi="Times New Roman" w:eastAsiaTheme="minorEastAsia"/>
                <w:kern w:val="2"/>
                <w:sz w:val="24"/>
                <w:szCs w:val="32"/>
                <w:lang w:val="en-US" w:eastAsia="zh-CN"/>
              </w:rPr>
              <w:t>王宇琦先生</w:t>
            </w:r>
          </w:p>
        </w:tc>
      </w:tr>
      <w:tr w14:paraId="48BBE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2219" w:type="dxa"/>
            <w:vAlign w:val="center"/>
          </w:tcPr>
          <w:p w14:paraId="2A330E97">
            <w:pPr>
              <w:spacing w:line="460" w:lineRule="exact"/>
              <w:jc w:val="center"/>
              <w:rPr>
                <w:iCs/>
                <w:sz w:val="24"/>
                <w:szCs w:val="24"/>
              </w:rPr>
            </w:pPr>
            <w:r>
              <w:rPr>
                <w:b/>
                <w:bCs/>
                <w:iCs/>
                <w:sz w:val="24"/>
                <w:szCs w:val="24"/>
              </w:rPr>
              <w:t>投资者关系活动主要内容介绍</w:t>
            </w:r>
          </w:p>
        </w:tc>
        <w:tc>
          <w:tcPr>
            <w:tcW w:w="6138" w:type="dxa"/>
          </w:tcPr>
          <w:p w14:paraId="4BFA6D1B">
            <w:pPr>
              <w:pStyle w:val="22"/>
              <w:spacing w:line="460" w:lineRule="exact"/>
              <w:rPr>
                <w:rFonts w:ascii="Times New Roman" w:hAnsi="Times New Roman"/>
                <w:kern w:val="2"/>
                <w:sz w:val="24"/>
                <w:szCs w:val="24"/>
                <w:lang w:eastAsia="zh-CN"/>
              </w:rPr>
            </w:pPr>
            <w:r>
              <w:rPr>
                <w:rFonts w:ascii="Times New Roman" w:hAnsi="Times New Roman"/>
                <w:b/>
                <w:bCs/>
                <w:kern w:val="2"/>
                <w:sz w:val="24"/>
                <w:szCs w:val="24"/>
                <w:lang w:eastAsia="zh-CN"/>
              </w:rPr>
              <w:t>主要交流问题</w:t>
            </w:r>
            <w:r>
              <w:rPr>
                <w:rFonts w:ascii="Times New Roman" w:hAnsi="Times New Roman"/>
                <w:kern w:val="2"/>
                <w:sz w:val="24"/>
                <w:szCs w:val="24"/>
                <w:lang w:eastAsia="zh-CN"/>
              </w:rPr>
              <w:t>：</w:t>
            </w:r>
          </w:p>
          <w:p w14:paraId="63F92FFF">
            <w:pPr>
              <w:spacing w:line="460" w:lineRule="exact"/>
              <w:rPr>
                <w:rFonts w:hint="eastAsia" w:eastAsiaTheme="majorEastAsia"/>
                <w:b/>
                <w:bCs/>
                <w:sz w:val="24"/>
                <w:szCs w:val="24"/>
                <w:lang w:eastAsia="zh-CN"/>
              </w:rPr>
            </w:pPr>
            <w:r>
              <w:rPr>
                <w:b/>
                <w:bCs/>
                <w:sz w:val="24"/>
                <w:szCs w:val="24"/>
              </w:rPr>
              <w:t>1.</w:t>
            </w:r>
            <w:r>
              <w:rPr>
                <w:rFonts w:hint="eastAsia"/>
                <w:b/>
                <w:bCs/>
                <w:sz w:val="24"/>
                <w:szCs w:val="24"/>
                <w:lang w:val="en-US" w:eastAsia="zh-CN"/>
              </w:rPr>
              <w:t>国内信息化建设</w:t>
            </w:r>
            <w:r>
              <w:rPr>
                <w:b/>
                <w:bCs/>
                <w:sz w:val="24"/>
                <w:szCs w:val="24"/>
              </w:rPr>
              <w:t>完成第一轮采购后，达梦的增长靠什么接续？</w:t>
            </w:r>
          </w:p>
          <w:p w14:paraId="2825C0FC">
            <w:pPr>
              <w:spacing w:line="460" w:lineRule="exact"/>
              <w:rPr>
                <w:rFonts w:hint="eastAsia"/>
                <w:sz w:val="24"/>
                <w:szCs w:val="24"/>
                <w:lang w:val="en-US" w:eastAsia="zh-CN"/>
              </w:rPr>
            </w:pPr>
            <w:r>
              <w:rPr>
                <w:rFonts w:hint="eastAsia"/>
                <w:sz w:val="24"/>
                <w:szCs w:val="24"/>
                <w:lang w:val="en-US" w:eastAsia="zh-CN"/>
              </w:rPr>
              <w:t>答：国内信息化建设推动了公司软件授权业务的发展，但公司并未将未来增长寄望于信息化建设采购周期，而是围绕公司产品化、国际化和生态化持续培育接续动能。具体而言：</w:t>
            </w:r>
          </w:p>
          <w:p w14:paraId="48E13306">
            <w:pPr>
              <w:spacing w:line="460" w:lineRule="exact"/>
              <w:ind w:firstLine="480" w:firstLineChars="200"/>
              <w:rPr>
                <w:rFonts w:hint="eastAsia"/>
                <w:sz w:val="24"/>
                <w:szCs w:val="24"/>
                <w:lang w:val="en-US" w:eastAsia="zh-CN"/>
              </w:rPr>
            </w:pPr>
            <w:r>
              <w:rPr>
                <w:rFonts w:hint="eastAsia"/>
                <w:sz w:val="24"/>
                <w:szCs w:val="24"/>
                <w:lang w:val="en-US" w:eastAsia="zh-CN"/>
              </w:rPr>
              <w:t>在产品与技术侧，公司正建立基于产品线的运作机制，推动考核体系由项目型向产品管理型转型，同步优化产品规划、产品研发与管理体系，并加快数据库一体机和云数据库产品的市场推广，以培育新的增长极；</w:t>
            </w:r>
          </w:p>
          <w:p w14:paraId="5E52F290">
            <w:pPr>
              <w:spacing w:line="460" w:lineRule="exact"/>
              <w:ind w:firstLine="480" w:firstLineChars="200"/>
              <w:rPr>
                <w:rFonts w:hint="eastAsia"/>
                <w:sz w:val="24"/>
                <w:szCs w:val="24"/>
                <w:lang w:val="en-US" w:eastAsia="zh-CN"/>
              </w:rPr>
            </w:pPr>
            <w:r>
              <w:rPr>
                <w:rFonts w:hint="eastAsia"/>
                <w:sz w:val="24"/>
                <w:szCs w:val="24"/>
                <w:lang w:val="en-US" w:eastAsia="zh-CN"/>
              </w:rPr>
              <w:t>在全球化侧，公司以海南自贸港国际业务总部为依托，持续深化海外市场战略布局，发挥全栈自主研发优势与产品国际化适配能力，优化达梦关系型数据库、达梦启云数据库等核心产品的国际标准兼容性，同步组建专业海外运营团队，深化本地化合作与渠道建设，完善海外技术服务与支撑体系；</w:t>
            </w:r>
          </w:p>
          <w:p w14:paraId="2F3C0A07">
            <w:pPr>
              <w:spacing w:line="460" w:lineRule="exact"/>
              <w:ind w:firstLine="480" w:firstLineChars="200"/>
              <w:rPr>
                <w:rFonts w:hint="eastAsia"/>
                <w:sz w:val="24"/>
                <w:szCs w:val="24"/>
                <w:lang w:val="en-US" w:eastAsia="zh-CN"/>
              </w:rPr>
            </w:pPr>
            <w:r>
              <w:rPr>
                <w:rFonts w:hint="eastAsia"/>
                <w:sz w:val="24"/>
                <w:szCs w:val="24"/>
                <w:lang w:val="en-US" w:eastAsia="zh-CN"/>
              </w:rPr>
              <w:t>在资本与产业链侧，公司依托合肥中湾达梦股权投资基金合伙企业（有限合伙），深化“技术+资本”双轮驱动，聚焦数据库产业链上下游筛选具备技术优势与产业化潜力的创新项目，推动产业链“强链、补链、拓链”，并发挥产业资源优势加速投资项目技术转化与商业化落地，助力完善全栈数据产品生态。</w:t>
            </w:r>
          </w:p>
          <w:p w14:paraId="1963A147">
            <w:pPr>
              <w:spacing w:line="460" w:lineRule="exact"/>
              <w:ind w:firstLine="480" w:firstLineChars="200"/>
              <w:rPr>
                <w:rFonts w:hint="eastAsia"/>
                <w:sz w:val="24"/>
                <w:szCs w:val="24"/>
                <w:lang w:val="en-US" w:eastAsia="zh-CN"/>
              </w:rPr>
            </w:pPr>
            <w:r>
              <w:rPr>
                <w:rFonts w:hint="eastAsia"/>
                <w:sz w:val="24"/>
                <w:szCs w:val="24"/>
                <w:lang w:val="en-US" w:eastAsia="zh-CN"/>
              </w:rPr>
              <w:t>整体来看，公司正通过技术创新、全球布局与资本协同的有机结合，为公司的持续增长构建更具韧性的业务基础。</w:t>
            </w:r>
          </w:p>
          <w:p w14:paraId="665A30F1">
            <w:pPr>
              <w:spacing w:line="460" w:lineRule="exact"/>
              <w:rPr>
                <w:rFonts w:hint="eastAsia"/>
                <w:sz w:val="24"/>
                <w:szCs w:val="24"/>
                <w:lang w:val="en-US" w:eastAsia="zh-CN"/>
              </w:rPr>
            </w:pPr>
          </w:p>
          <w:p w14:paraId="649198CF">
            <w:pPr>
              <w:spacing w:line="460" w:lineRule="exact"/>
              <w:rPr>
                <w:rFonts w:hint="eastAsia" w:eastAsiaTheme="majorEastAsia"/>
                <w:b/>
                <w:sz w:val="24"/>
                <w:lang w:val="en-US" w:eastAsia="zh-CN"/>
              </w:rPr>
            </w:pPr>
            <w:r>
              <w:rPr>
                <w:rFonts w:hint="eastAsia" w:eastAsiaTheme="majorEastAsia"/>
                <w:b/>
                <w:sz w:val="24"/>
                <w:lang w:val="en-US" w:eastAsia="zh-CN"/>
              </w:rPr>
              <w:t>2</w:t>
            </w:r>
            <w:r>
              <w:rPr>
                <w:rFonts w:hint="eastAsia" w:eastAsiaTheme="majorEastAsia"/>
                <w:b/>
                <w:sz w:val="24"/>
              </w:rPr>
              <w:t>.在金融、能源等行业，达梦距离核心生产系统的规模化复制还有哪些瓶颈？</w:t>
            </w:r>
          </w:p>
          <w:p w14:paraId="2D8452D1">
            <w:pPr>
              <w:spacing w:line="460" w:lineRule="exact"/>
              <w:rPr>
                <w:rFonts w:hint="eastAsia"/>
                <w:sz w:val="24"/>
                <w:szCs w:val="24"/>
                <w:lang w:val="en-US" w:eastAsia="zh-CN"/>
              </w:rPr>
            </w:pPr>
            <w:r>
              <w:rPr>
                <w:rFonts w:hint="eastAsia"/>
                <w:sz w:val="24"/>
                <w:szCs w:val="24"/>
              </w:rPr>
              <w:t>答：</w:t>
            </w:r>
            <w:r>
              <w:rPr>
                <w:rFonts w:hint="eastAsia"/>
                <w:sz w:val="24"/>
                <w:szCs w:val="24"/>
                <w:lang w:val="en-US" w:eastAsia="zh-CN"/>
              </w:rPr>
              <w:t>从公司在金融、能源等行业的实践来看，公司数据库在金融领域已从外围系统成功进入核心交易系统，广泛覆盖银行、证券、保险、信托等多类金融机构，并打造了多个具有行业示范效应的标杆案例。随着从外围向核心迁移，单客户价值明显提升，这主要源于核心系统对性能、稳定性和可靠性的极高要求，技术壁垒更深，客户一旦完成核心系统替换验证，信任度和黏性显著增强，后续合作范围持续扩大，从而带来更深远的价值增长。</w:t>
            </w:r>
          </w:p>
          <w:p w14:paraId="6499FE06">
            <w:pPr>
              <w:spacing w:line="460" w:lineRule="exact"/>
              <w:ind w:firstLine="480" w:firstLineChars="200"/>
              <w:rPr>
                <w:rFonts w:hint="eastAsia"/>
                <w:sz w:val="24"/>
                <w:szCs w:val="24"/>
                <w:lang w:val="en-US" w:eastAsia="zh-CN"/>
              </w:rPr>
            </w:pPr>
            <w:r>
              <w:rPr>
                <w:rFonts w:hint="eastAsia"/>
                <w:sz w:val="24"/>
                <w:szCs w:val="24"/>
                <w:lang w:val="en-US" w:eastAsia="zh-CN"/>
              </w:rPr>
              <w:t>与此同时，从标杆验证走向规模化复制，仍需持续跨越一些行业共性门槛：核心生产系统对高并发、低时延、强一致和灾备容错的要求更为严苛，客户选型决策审慎、验证周期相对较长；迁移改造还涉及上层应用适配、上下游生态协同、运维体系重构以及复合型专业人才支撑，能源行业不同细分场景的实时性、安全合规和工况差异也要求解决方案进一步行业化打磨。因此，公司更倾向于将这些视为规模化复制过程中需要持续投入和耐心沉淀的能力建设环节，而非不可逾越的障碍；公司正通过标杆项目经验沉淀、联合生态伙伴完善行业方案、强化专业服务与本地化支撑，逐步提升核心生产系统的可复制性和规模化交付能力。</w:t>
            </w:r>
          </w:p>
          <w:p w14:paraId="3A659760">
            <w:pPr>
              <w:spacing w:line="460" w:lineRule="exact"/>
              <w:rPr>
                <w:rFonts w:hint="eastAsia"/>
                <w:sz w:val="24"/>
                <w:szCs w:val="24"/>
                <w:lang w:eastAsia="zh-CN"/>
              </w:rPr>
            </w:pPr>
          </w:p>
          <w:p w14:paraId="0804665C">
            <w:pPr>
              <w:spacing w:line="460" w:lineRule="exact"/>
              <w:rPr>
                <w:rFonts w:hint="eastAsia" w:eastAsiaTheme="majorEastAsia"/>
                <w:b/>
                <w:sz w:val="24"/>
                <w:lang w:val="en-US" w:eastAsia="zh-CN"/>
              </w:rPr>
            </w:pPr>
            <w:r>
              <w:rPr>
                <w:rFonts w:hint="eastAsia" w:eastAsiaTheme="majorEastAsia"/>
                <w:b/>
                <w:sz w:val="24"/>
                <w:lang w:val="en-US" w:eastAsia="zh-CN"/>
              </w:rPr>
              <w:t>3</w:t>
            </w:r>
            <w:r>
              <w:rPr>
                <w:rFonts w:hint="eastAsia" w:eastAsiaTheme="majorEastAsia"/>
                <w:b/>
                <w:sz w:val="24"/>
              </w:rPr>
              <w:t>.达梦的技术优势，能否转化成稳定的中标率和定价权？</w:t>
            </w:r>
          </w:p>
          <w:p w14:paraId="67F04FED">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sz w:val="24"/>
                <w:szCs w:val="24"/>
                <w:lang w:val="en-US" w:eastAsia="zh-CN"/>
              </w:rPr>
            </w:pPr>
            <w:r>
              <w:rPr>
                <w:rFonts w:hint="eastAsia"/>
                <w:sz w:val="24"/>
                <w:szCs w:val="24"/>
                <w:lang w:val="en-US" w:eastAsia="zh-CN"/>
              </w:rPr>
              <w:t>答：技术优势是参与市场竞争的重要基础，但中标率和定价权并非技术参数的简单映射，而是技术实力、生态适配、服务能力、标杆案例与客户采购机制共同作用的结果。</w:t>
            </w:r>
          </w:p>
          <w:p w14:paraId="0D4EC209">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sz w:val="24"/>
                <w:szCs w:val="24"/>
                <w:lang w:val="en-US" w:eastAsia="zh-CN"/>
              </w:rPr>
            </w:pPr>
            <w:r>
              <w:rPr>
                <w:rFonts w:hint="eastAsia"/>
                <w:sz w:val="24"/>
                <w:szCs w:val="24"/>
                <w:lang w:val="en-US" w:eastAsia="zh-CN"/>
              </w:rPr>
              <w:t>从公司实践看，持续的技术投入和核心系统标杆验证确实在提升客户信任与方案竞争力方面为公司争取了更合理的价值定价，但不同行业、不同客户的选型标准、预算约束和竞争格局存在差异，中标结果仍会受项目节奏、生态协同和综合商务条件影响，定价权也并非单纯由技术领先决定，公司更倾向于以产品综合价值和长期服务能力构建议价能力，而非依赖低价竞争。整体而言，技术优势是公司穿越周期、提升中标质量和议价空间的长期护城河，公司正通过标杆项目沉淀、生态体系完善和专业服务强化，推动技术优势稳步转化为市场竞争力。</w:t>
            </w:r>
          </w:p>
          <w:p w14:paraId="74DD206A">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sz w:val="24"/>
                <w:szCs w:val="24"/>
                <w:lang w:val="en-US" w:eastAsia="zh-CN"/>
              </w:rPr>
            </w:pPr>
          </w:p>
          <w:p w14:paraId="3A653674">
            <w:pPr>
              <w:spacing w:line="460" w:lineRule="exact"/>
              <w:rPr>
                <w:rFonts w:hint="eastAsia" w:eastAsiaTheme="majorEastAsia"/>
                <w:b/>
                <w:sz w:val="24"/>
                <w:lang w:val="en-US" w:eastAsia="zh-CN"/>
              </w:rPr>
            </w:pPr>
            <w:r>
              <w:rPr>
                <w:rFonts w:hint="eastAsia" w:eastAsiaTheme="majorEastAsia"/>
                <w:b/>
                <w:sz w:val="24"/>
                <w:lang w:val="en-US" w:eastAsia="zh-CN"/>
              </w:rPr>
              <w:t>4</w:t>
            </w:r>
            <w:r>
              <w:rPr>
                <w:rFonts w:hint="eastAsia" w:eastAsiaTheme="majorEastAsia"/>
                <w:b/>
                <w:sz w:val="24"/>
              </w:rPr>
              <w:t>.</w:t>
            </w:r>
            <w:r>
              <w:rPr>
                <w:rFonts w:hint="eastAsia" w:eastAsiaTheme="majorEastAsia"/>
                <w:b/>
                <w:sz w:val="24"/>
                <w:lang w:val="en-US" w:eastAsia="zh-CN"/>
              </w:rPr>
              <w:t>公司三季度收入增速较快的原因？</w:t>
            </w:r>
          </w:p>
          <w:p w14:paraId="6D970B4B">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default"/>
                <w:sz w:val="24"/>
                <w:szCs w:val="24"/>
                <w:lang w:val="en-US" w:eastAsia="zh-CN"/>
              </w:rPr>
            </w:pPr>
            <w:r>
              <w:rPr>
                <w:rFonts w:hint="default"/>
                <w:sz w:val="24"/>
                <w:szCs w:val="24"/>
                <w:lang w:val="en-US" w:eastAsia="zh-CN"/>
              </w:rPr>
              <w:t>答：2026年三季度，受益于重点行业数字化转型项目加快落地，下游客户采购需求持续释放；公司持续推进技术攻关与产品迭代，依托标杆示范案例规模化推广全栈数据产品，带动软件产品使用授权、数据库一体机业务实现放量，在党政、金融、信息技术、运营商等多领域实现营业收入增长，公司扣除股份支付影响后的归属于上市公司股东的净利润为4.47亿元，同比增长35.61%。</w:t>
            </w:r>
          </w:p>
          <w:p w14:paraId="70C2FB04">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default"/>
                <w:sz w:val="24"/>
                <w:szCs w:val="24"/>
                <w:lang w:val="en-US" w:eastAsia="zh-CN"/>
              </w:rPr>
            </w:pPr>
          </w:p>
          <w:p w14:paraId="6F3A05BB">
            <w:pPr>
              <w:spacing w:line="460" w:lineRule="exact"/>
              <w:rPr>
                <w:rFonts w:hint="eastAsia" w:eastAsiaTheme="majorEastAsia"/>
                <w:b/>
                <w:sz w:val="24"/>
                <w:lang w:val="en-US" w:eastAsia="zh-CN"/>
              </w:rPr>
            </w:pPr>
            <w:r>
              <w:rPr>
                <w:rFonts w:hint="eastAsia" w:eastAsiaTheme="majorEastAsia"/>
                <w:b/>
                <w:sz w:val="24"/>
                <w:lang w:val="en-US" w:eastAsia="zh-CN"/>
              </w:rPr>
              <w:t>5</w:t>
            </w:r>
            <w:r>
              <w:rPr>
                <w:rFonts w:hint="eastAsia" w:eastAsiaTheme="majorEastAsia"/>
                <w:b/>
                <w:sz w:val="24"/>
              </w:rPr>
              <w:t>.</w:t>
            </w:r>
            <w:r>
              <w:rPr>
                <w:rFonts w:hint="eastAsia" w:eastAsiaTheme="majorEastAsia"/>
                <w:b/>
                <w:sz w:val="24"/>
                <w:lang w:val="en-US" w:eastAsia="zh-CN"/>
              </w:rPr>
              <w:t>公司</w:t>
            </w:r>
            <w:r>
              <w:rPr>
                <w:rFonts w:hint="eastAsia" w:eastAsiaTheme="majorEastAsia"/>
                <w:b/>
                <w:sz w:val="24"/>
              </w:rPr>
              <w:t>AI相关数据库能力，如何形成可单独验证的增量收入？</w:t>
            </w:r>
            <w:r>
              <w:rPr>
                <w:rFonts w:hint="eastAsia" w:eastAsiaTheme="majorEastAsia"/>
                <w:b/>
                <w:sz w:val="24"/>
                <w:lang w:val="en-US" w:eastAsia="zh-CN"/>
              </w:rPr>
              <w:t>公司如何展望在AI数据库领域的竞争地位？</w:t>
            </w:r>
          </w:p>
          <w:p w14:paraId="20F406AD">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default"/>
                <w:sz w:val="24"/>
                <w:szCs w:val="24"/>
                <w:lang w:val="en-US" w:eastAsia="zh-CN"/>
              </w:rPr>
            </w:pPr>
            <w:r>
              <w:rPr>
                <w:rFonts w:hint="eastAsia"/>
                <w:sz w:val="24"/>
                <w:szCs w:val="24"/>
                <w:lang w:val="en-US" w:eastAsia="zh-CN"/>
              </w:rPr>
              <w:t>答：公司新一代旗舰产品DM9融合了向量检索与多模数据处理能力，支持面向Agent的MCP协议/CLI接口，搭载数据库设计、智能运维两大AI Agent应用。目前，上述AI能力并未作为独立模块单独向客户收费，而是整合于产品整体能力之中，以此提升产品的综合竞争力与客户价值。截至目前，公司正积极推进DM9在金融、能源、政务等关键领域的标杆案例打造，相关应用成果将随着项目推进逐步呈现。公司将持续关注客户需求与产品成熟度，稳步推进相关技术的产品化与规模化应用。</w:t>
            </w:r>
          </w:p>
          <w:p w14:paraId="5C0FD599">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default"/>
                <w:sz w:val="24"/>
                <w:szCs w:val="24"/>
                <w:lang w:val="en-US" w:eastAsia="zh-CN"/>
              </w:rPr>
            </w:pPr>
          </w:p>
          <w:p w14:paraId="7E649589">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eastAsiaTheme="majorEastAsia"/>
                <w:b/>
                <w:sz w:val="24"/>
                <w:lang w:val="en-US" w:eastAsia="zh-CN"/>
              </w:rPr>
            </w:pPr>
            <w:r>
              <w:rPr>
                <w:rFonts w:hint="eastAsia" w:eastAsiaTheme="majorEastAsia"/>
                <w:b/>
                <w:sz w:val="24"/>
                <w:lang w:val="en-US" w:eastAsia="zh-CN"/>
              </w:rPr>
              <w:t>6</w:t>
            </w:r>
            <w:r>
              <w:rPr>
                <w:rFonts w:hint="eastAsia" w:eastAsiaTheme="majorEastAsia"/>
                <w:b/>
                <w:sz w:val="24"/>
              </w:rPr>
              <w:t>.</w:t>
            </w:r>
            <w:r>
              <w:rPr>
                <w:rFonts w:hint="eastAsia"/>
                <w:b/>
                <w:bCs/>
                <w:sz w:val="24"/>
                <w:szCs w:val="24"/>
                <w:lang w:val="en-US" w:eastAsia="zh-CN"/>
              </w:rPr>
              <w:t>达梦数据核心数据库产品的进展如何？目前与海外龙头存在的差距？</w:t>
            </w:r>
          </w:p>
          <w:p w14:paraId="55F358AE">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sz w:val="24"/>
                <w:szCs w:val="24"/>
                <w:lang w:val="en-US" w:eastAsia="zh-CN"/>
              </w:rPr>
            </w:pPr>
            <w:r>
              <w:rPr>
                <w:rFonts w:hint="eastAsia"/>
                <w:sz w:val="24"/>
                <w:szCs w:val="24"/>
                <w:lang w:val="en-US" w:eastAsia="zh-CN"/>
              </w:rPr>
              <w:t>答：关于产品进展，公司旗舰产品DM9已于2026年正式发布，在功能、性能、高可用性与兼容性等维度实现了系统性升级，并在架构层面完成了集中式与分布式的一体化整合，同时原生支持向量检索与多模数据处理能力，推动数据库由传统事务引擎向智能数据底座延伸。从竞争格局看，公司自研的共享存储集群技术已打破国外同类产品在该领域的长期垄断。整体而言，公司产品正处于从“可用”向“好用”跨越的关键阶段，我们对这一进程保持耐心，也对技术演进方向保持清晰判断。</w:t>
            </w:r>
          </w:p>
          <w:p w14:paraId="50A909C2">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sz w:val="24"/>
                <w:szCs w:val="24"/>
                <w:lang w:val="en-US" w:eastAsia="zh-CN"/>
              </w:rPr>
            </w:pPr>
          </w:p>
          <w:p w14:paraId="71423A57">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eastAsiaTheme="majorEastAsia"/>
                <w:b/>
                <w:sz w:val="24"/>
                <w:lang w:val="en-US" w:eastAsia="zh-CN"/>
              </w:rPr>
            </w:pPr>
            <w:r>
              <w:rPr>
                <w:rFonts w:hint="eastAsia" w:eastAsiaTheme="majorEastAsia"/>
                <w:b/>
                <w:sz w:val="24"/>
                <w:lang w:val="en-US" w:eastAsia="zh-CN"/>
              </w:rPr>
              <w:t>7.当前公司产品的具体需求来源于哪些行业？公司对于未来3年如何展望？</w:t>
            </w:r>
          </w:p>
          <w:p w14:paraId="34A4677D">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default" w:eastAsia="宋体" w:cs="Segoe UI"/>
                <w:i w:val="0"/>
                <w:iCs w:val="0"/>
                <w:caps w:val="0"/>
                <w:color w:val="0F1115"/>
                <w:spacing w:val="0"/>
                <w:sz w:val="24"/>
                <w:szCs w:val="24"/>
                <w:shd w:val="clear" w:fill="FFFFFF"/>
                <w:lang w:val="en-US" w:eastAsia="zh-CN"/>
              </w:rPr>
            </w:pPr>
            <w:r>
              <w:rPr>
                <w:rFonts w:hint="eastAsia"/>
                <w:sz w:val="24"/>
                <w:szCs w:val="24"/>
                <w:lang w:val="en-US" w:eastAsia="zh-CN"/>
              </w:rPr>
              <w:t>答：从公司2026年第三季度报告数据来看，当前公司产品需求主要集中于党政、金融、信息技术、运营商等重点行业，并逐步向医疗、交通、制造等具备数据驱动特征的潜在领域延伸。展望未来，公司相信随着产业成熟度的不断提升和应用场景的逐步深化，产品技术具备核心竞争力且具有良好持续经营能力的企业将获得更广阔的发展空间。</w:t>
            </w:r>
          </w:p>
        </w:tc>
      </w:tr>
      <w:tr w14:paraId="479D8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2219" w:type="dxa"/>
            <w:vAlign w:val="center"/>
          </w:tcPr>
          <w:p w14:paraId="7F5E35DD">
            <w:pPr>
              <w:spacing w:line="460" w:lineRule="exact"/>
              <w:jc w:val="center"/>
              <w:rPr>
                <w:b/>
                <w:bCs/>
                <w:iCs/>
                <w:sz w:val="24"/>
                <w:szCs w:val="24"/>
              </w:rPr>
            </w:pPr>
            <w:r>
              <w:rPr>
                <w:b/>
                <w:bCs/>
                <w:iCs/>
                <w:sz w:val="24"/>
                <w:szCs w:val="24"/>
              </w:rPr>
              <w:t>关于本次活动是否涉及应当披露重大信息的说明</w:t>
            </w:r>
          </w:p>
        </w:tc>
        <w:tc>
          <w:tcPr>
            <w:tcW w:w="6138" w:type="dxa"/>
          </w:tcPr>
          <w:p w14:paraId="2C0AD04A">
            <w:pPr>
              <w:spacing w:line="460" w:lineRule="exact"/>
              <w:rPr>
                <w:bCs/>
                <w:iCs/>
                <w:sz w:val="24"/>
                <w:szCs w:val="24"/>
              </w:rPr>
            </w:pPr>
            <w:r>
              <w:rPr>
                <w:sz w:val="24"/>
                <w:szCs w:val="24"/>
              </w:rPr>
              <w:t>公司严格按照《信息披露管理制度》等相关规定，保证信息披露的真实、准确、完整，没有出现未公开重大信息泄露等情况。</w:t>
            </w:r>
          </w:p>
        </w:tc>
      </w:tr>
      <w:tr w14:paraId="10586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19" w:type="dxa"/>
            <w:vAlign w:val="center"/>
          </w:tcPr>
          <w:p w14:paraId="55DB138E">
            <w:pPr>
              <w:spacing w:line="460" w:lineRule="exact"/>
              <w:jc w:val="center"/>
              <w:rPr>
                <w:b/>
                <w:bCs/>
                <w:iCs/>
                <w:sz w:val="24"/>
                <w:szCs w:val="24"/>
              </w:rPr>
            </w:pPr>
            <w:r>
              <w:rPr>
                <w:b/>
                <w:bCs/>
                <w:iCs/>
                <w:sz w:val="24"/>
                <w:szCs w:val="24"/>
              </w:rPr>
              <w:t>附件清单（如有）</w:t>
            </w:r>
          </w:p>
        </w:tc>
        <w:tc>
          <w:tcPr>
            <w:tcW w:w="6138" w:type="dxa"/>
            <w:vAlign w:val="center"/>
          </w:tcPr>
          <w:p w14:paraId="0FC4A74D">
            <w:pPr>
              <w:pStyle w:val="22"/>
              <w:spacing w:line="460" w:lineRule="exact"/>
              <w:jc w:val="both"/>
              <w:rPr>
                <w:rFonts w:ascii="Times New Roman" w:hAnsi="Times New Roman"/>
                <w:sz w:val="24"/>
                <w:szCs w:val="24"/>
                <w:lang w:eastAsia="zh-CN"/>
              </w:rPr>
            </w:pPr>
            <w:r>
              <w:rPr>
                <w:rFonts w:hint="eastAsia" w:ascii="Times New Roman" w:hAnsi="Times New Roman"/>
                <w:bCs/>
                <w:iCs/>
                <w:sz w:val="24"/>
                <w:szCs w:val="24"/>
                <w:lang w:eastAsia="zh-CN"/>
              </w:rPr>
              <w:t>无</w:t>
            </w:r>
          </w:p>
        </w:tc>
      </w:tr>
      <w:tr w14:paraId="3E564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19" w:type="dxa"/>
            <w:vAlign w:val="center"/>
          </w:tcPr>
          <w:p w14:paraId="432B82FB">
            <w:pPr>
              <w:spacing w:line="460" w:lineRule="exact"/>
              <w:jc w:val="center"/>
              <w:rPr>
                <w:b/>
                <w:bCs/>
                <w:iCs/>
                <w:sz w:val="24"/>
                <w:szCs w:val="24"/>
              </w:rPr>
            </w:pPr>
            <w:r>
              <w:rPr>
                <w:b/>
                <w:bCs/>
                <w:iCs/>
                <w:sz w:val="24"/>
                <w:szCs w:val="24"/>
              </w:rPr>
              <w:t>日期</w:t>
            </w:r>
          </w:p>
        </w:tc>
        <w:tc>
          <w:tcPr>
            <w:tcW w:w="6138" w:type="dxa"/>
            <w:vAlign w:val="center"/>
          </w:tcPr>
          <w:p w14:paraId="58E912CB">
            <w:pPr>
              <w:pStyle w:val="22"/>
              <w:spacing w:line="460" w:lineRule="exact"/>
              <w:jc w:val="both"/>
              <w:rPr>
                <w:rFonts w:ascii="Times New Roman" w:hAnsi="Times New Roman"/>
                <w:bCs/>
                <w:iCs/>
                <w:sz w:val="24"/>
                <w:szCs w:val="24"/>
                <w:lang w:eastAsia="zh-CN"/>
              </w:rPr>
            </w:pPr>
            <w:r>
              <w:rPr>
                <w:rFonts w:hint="eastAsia" w:ascii="Times New Roman" w:hAnsi="Times New Roman"/>
                <w:bCs/>
                <w:iCs/>
                <w:sz w:val="24"/>
                <w:szCs w:val="24"/>
                <w:lang w:eastAsia="zh-CN"/>
              </w:rPr>
              <w:t>2</w:t>
            </w:r>
            <w:r>
              <w:rPr>
                <w:rFonts w:ascii="Times New Roman" w:hAnsi="Times New Roman"/>
                <w:bCs/>
                <w:iCs/>
                <w:sz w:val="24"/>
                <w:szCs w:val="24"/>
                <w:lang w:eastAsia="zh-CN"/>
              </w:rPr>
              <w:t>02</w:t>
            </w:r>
            <w:r>
              <w:rPr>
                <w:rFonts w:hint="eastAsia" w:ascii="Times New Roman" w:hAnsi="Times New Roman"/>
                <w:bCs/>
                <w:iCs/>
                <w:sz w:val="24"/>
                <w:szCs w:val="24"/>
                <w:lang w:val="en-US" w:eastAsia="zh-CN"/>
              </w:rPr>
              <w:t>6</w:t>
            </w:r>
            <w:r>
              <w:rPr>
                <w:rFonts w:ascii="Times New Roman" w:hAnsi="Times New Roman"/>
                <w:bCs/>
                <w:iCs/>
                <w:sz w:val="24"/>
                <w:szCs w:val="24"/>
                <w:lang w:eastAsia="zh-CN"/>
              </w:rPr>
              <w:t>年</w:t>
            </w:r>
            <w:r>
              <w:rPr>
                <w:rFonts w:hint="eastAsia" w:ascii="Times New Roman" w:hAnsi="Times New Roman"/>
                <w:bCs/>
                <w:iCs/>
                <w:sz w:val="24"/>
                <w:szCs w:val="24"/>
                <w:lang w:val="en-US" w:eastAsia="zh-CN"/>
              </w:rPr>
              <w:t>11</w:t>
            </w:r>
            <w:r>
              <w:rPr>
                <w:rFonts w:ascii="Times New Roman" w:hAnsi="Times New Roman"/>
                <w:bCs/>
                <w:iCs/>
                <w:sz w:val="24"/>
                <w:szCs w:val="24"/>
                <w:lang w:eastAsia="zh-CN"/>
              </w:rPr>
              <w:t>月</w:t>
            </w:r>
            <w:r>
              <w:rPr>
                <w:rFonts w:hint="eastAsia" w:ascii="Times New Roman" w:hAnsi="Times New Roman"/>
                <w:bCs/>
                <w:iCs/>
                <w:sz w:val="24"/>
                <w:szCs w:val="24"/>
                <w:lang w:val="en-US" w:eastAsia="zh-CN"/>
              </w:rPr>
              <w:t>2</w:t>
            </w:r>
            <w:r>
              <w:rPr>
                <w:rFonts w:ascii="Times New Roman" w:hAnsi="Times New Roman"/>
                <w:bCs/>
                <w:iCs/>
                <w:sz w:val="24"/>
                <w:szCs w:val="24"/>
                <w:lang w:eastAsia="zh-CN"/>
              </w:rPr>
              <w:t>日</w:t>
            </w:r>
          </w:p>
        </w:tc>
      </w:tr>
    </w:tbl>
    <w:p w14:paraId="729674D5">
      <w:pPr>
        <w:spacing w:line="20" w:lineRule="exact"/>
        <w:rPr>
          <w:sz w:val="24"/>
          <w:szCs w:val="24"/>
        </w:rPr>
      </w:pPr>
    </w:p>
    <w:p w14:paraId="3567FB04">
      <w:pPr>
        <w:spacing w:line="20" w:lineRule="exact"/>
        <w:rPr>
          <w:sz w:val="24"/>
          <w:szCs w:val="24"/>
        </w:rPr>
      </w:pPr>
    </w:p>
    <w:p w14:paraId="216B03BC">
      <w:pPr>
        <w:spacing w:line="20" w:lineRule="exact"/>
        <w:rPr>
          <w:sz w:val="24"/>
          <w:szCs w:val="24"/>
        </w:rPr>
      </w:pPr>
    </w:p>
    <w:p w14:paraId="3AFD840E">
      <w:pPr>
        <w:spacing w:line="20" w:lineRule="exact"/>
        <w:rPr>
          <w:sz w:val="24"/>
          <w:szCs w:val="24"/>
        </w:rPr>
      </w:pPr>
    </w:p>
    <w:p w14:paraId="6C4A364F">
      <w:pPr>
        <w:spacing w:line="20" w:lineRule="exact"/>
        <w:rPr>
          <w:sz w:val="24"/>
          <w:szCs w:val="24"/>
        </w:rPr>
      </w:pPr>
    </w:p>
    <w:p w14:paraId="5E22348C">
      <w:pPr>
        <w:spacing w:line="20" w:lineRule="exact"/>
        <w:rPr>
          <w:sz w:val="24"/>
          <w:szCs w:val="24"/>
        </w:rPr>
      </w:pPr>
    </w:p>
    <w:p w14:paraId="73FFE5D6">
      <w:pPr>
        <w:spacing w:line="20" w:lineRule="exact"/>
        <w:rPr>
          <w:sz w:val="24"/>
          <w:szCs w:val="24"/>
        </w:rPr>
      </w:pPr>
    </w:p>
    <w:p w14:paraId="256DC89D">
      <w:pPr>
        <w:widowControl/>
        <w:jc w:val="left"/>
        <w:rPr>
          <w:sz w:val="24"/>
          <w:szCs w:val="24"/>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egoe UI Symbol">
    <w:panose1 w:val="020B0502040204020203"/>
    <w:charset w:val="00"/>
    <w:family w:val="swiss"/>
    <w:pitch w:val="default"/>
    <w:sig w:usb0="800001E3" w:usb1="1200FFEF" w:usb2="00040000" w:usb3="04000000" w:csb0="00000001" w:csb1="40000000"/>
  </w:font>
  <w:font w:name="Wingdings 2">
    <w:panose1 w:val="05020102010507070707"/>
    <w:charset w:val="02"/>
    <w:family w:val="roman"/>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RjYmQzNGM5MzM2ZDk1MTg0Yjc2NjM0ZGU1MGY3YzQifQ=="/>
  </w:docVars>
  <w:rsids>
    <w:rsidRoot w:val="00A3170D"/>
    <w:rsid w:val="000024BB"/>
    <w:rsid w:val="000044BB"/>
    <w:rsid w:val="00005621"/>
    <w:rsid w:val="00010521"/>
    <w:rsid w:val="0001258A"/>
    <w:rsid w:val="00021A3B"/>
    <w:rsid w:val="00033E03"/>
    <w:rsid w:val="000411C7"/>
    <w:rsid w:val="00044070"/>
    <w:rsid w:val="000475C2"/>
    <w:rsid w:val="00047C12"/>
    <w:rsid w:val="00050005"/>
    <w:rsid w:val="00050368"/>
    <w:rsid w:val="00053B49"/>
    <w:rsid w:val="00054368"/>
    <w:rsid w:val="00055605"/>
    <w:rsid w:val="00056263"/>
    <w:rsid w:val="00056FF5"/>
    <w:rsid w:val="00062896"/>
    <w:rsid w:val="00065C81"/>
    <w:rsid w:val="000661D9"/>
    <w:rsid w:val="0007148B"/>
    <w:rsid w:val="000761F2"/>
    <w:rsid w:val="00077A55"/>
    <w:rsid w:val="000804C3"/>
    <w:rsid w:val="0008513C"/>
    <w:rsid w:val="000857DF"/>
    <w:rsid w:val="000866E1"/>
    <w:rsid w:val="00093046"/>
    <w:rsid w:val="00096BCD"/>
    <w:rsid w:val="000A19AC"/>
    <w:rsid w:val="000A287E"/>
    <w:rsid w:val="000A7844"/>
    <w:rsid w:val="000B6AF6"/>
    <w:rsid w:val="000C5E87"/>
    <w:rsid w:val="000D6971"/>
    <w:rsid w:val="000E35F4"/>
    <w:rsid w:val="000F3E90"/>
    <w:rsid w:val="000F45C3"/>
    <w:rsid w:val="00104492"/>
    <w:rsid w:val="00105607"/>
    <w:rsid w:val="00105D10"/>
    <w:rsid w:val="001076E7"/>
    <w:rsid w:val="00113122"/>
    <w:rsid w:val="0011326E"/>
    <w:rsid w:val="00113DF7"/>
    <w:rsid w:val="0012666D"/>
    <w:rsid w:val="00131853"/>
    <w:rsid w:val="00141DC2"/>
    <w:rsid w:val="001429A6"/>
    <w:rsid w:val="00142C41"/>
    <w:rsid w:val="001453AE"/>
    <w:rsid w:val="00147810"/>
    <w:rsid w:val="00151913"/>
    <w:rsid w:val="001524BF"/>
    <w:rsid w:val="00156B16"/>
    <w:rsid w:val="00156FB7"/>
    <w:rsid w:val="00164097"/>
    <w:rsid w:val="00164CBD"/>
    <w:rsid w:val="00166552"/>
    <w:rsid w:val="00171D95"/>
    <w:rsid w:val="001849D2"/>
    <w:rsid w:val="001958CD"/>
    <w:rsid w:val="001A1687"/>
    <w:rsid w:val="001A1983"/>
    <w:rsid w:val="001A364D"/>
    <w:rsid w:val="001A6C29"/>
    <w:rsid w:val="001B323E"/>
    <w:rsid w:val="001B5AD7"/>
    <w:rsid w:val="001B66E1"/>
    <w:rsid w:val="001B7E76"/>
    <w:rsid w:val="001C0541"/>
    <w:rsid w:val="001C31DD"/>
    <w:rsid w:val="001C7ECB"/>
    <w:rsid w:val="001D22C2"/>
    <w:rsid w:val="001D3A7F"/>
    <w:rsid w:val="001D6F94"/>
    <w:rsid w:val="001E3A51"/>
    <w:rsid w:val="001E4499"/>
    <w:rsid w:val="001E563C"/>
    <w:rsid w:val="001E67BF"/>
    <w:rsid w:val="001E72B3"/>
    <w:rsid w:val="001F197F"/>
    <w:rsid w:val="00201FFE"/>
    <w:rsid w:val="002074C3"/>
    <w:rsid w:val="00207601"/>
    <w:rsid w:val="00215EBF"/>
    <w:rsid w:val="00221E94"/>
    <w:rsid w:val="00223701"/>
    <w:rsid w:val="0024512B"/>
    <w:rsid w:val="00246017"/>
    <w:rsid w:val="002468D1"/>
    <w:rsid w:val="00251015"/>
    <w:rsid w:val="00251D2A"/>
    <w:rsid w:val="0025223D"/>
    <w:rsid w:val="00255A27"/>
    <w:rsid w:val="00255A4A"/>
    <w:rsid w:val="0026498F"/>
    <w:rsid w:val="00277437"/>
    <w:rsid w:val="00285071"/>
    <w:rsid w:val="00285139"/>
    <w:rsid w:val="00286867"/>
    <w:rsid w:val="0029026D"/>
    <w:rsid w:val="002A14DE"/>
    <w:rsid w:val="002A1580"/>
    <w:rsid w:val="002A70D3"/>
    <w:rsid w:val="002B3613"/>
    <w:rsid w:val="002B50EC"/>
    <w:rsid w:val="002B7675"/>
    <w:rsid w:val="002C0278"/>
    <w:rsid w:val="002C3D7A"/>
    <w:rsid w:val="002C6A8E"/>
    <w:rsid w:val="002C6CA5"/>
    <w:rsid w:val="002D0058"/>
    <w:rsid w:val="002D082E"/>
    <w:rsid w:val="002D2CBC"/>
    <w:rsid w:val="002D5E85"/>
    <w:rsid w:val="002D6AC6"/>
    <w:rsid w:val="002E17BA"/>
    <w:rsid w:val="002E7D1A"/>
    <w:rsid w:val="00303B92"/>
    <w:rsid w:val="00303DF1"/>
    <w:rsid w:val="00305D01"/>
    <w:rsid w:val="00306E66"/>
    <w:rsid w:val="00310B8A"/>
    <w:rsid w:val="003131A9"/>
    <w:rsid w:val="00313EB3"/>
    <w:rsid w:val="00315D46"/>
    <w:rsid w:val="003224F0"/>
    <w:rsid w:val="00325D29"/>
    <w:rsid w:val="003307DF"/>
    <w:rsid w:val="00341F07"/>
    <w:rsid w:val="003444BC"/>
    <w:rsid w:val="00346FAB"/>
    <w:rsid w:val="00347C8D"/>
    <w:rsid w:val="00352503"/>
    <w:rsid w:val="0035479C"/>
    <w:rsid w:val="00373994"/>
    <w:rsid w:val="00377ACB"/>
    <w:rsid w:val="003837AB"/>
    <w:rsid w:val="00383AF0"/>
    <w:rsid w:val="00384AEC"/>
    <w:rsid w:val="00387452"/>
    <w:rsid w:val="0039227F"/>
    <w:rsid w:val="003A3AEC"/>
    <w:rsid w:val="003B780F"/>
    <w:rsid w:val="003C143E"/>
    <w:rsid w:val="003C5840"/>
    <w:rsid w:val="003C780B"/>
    <w:rsid w:val="003D1426"/>
    <w:rsid w:val="003D2569"/>
    <w:rsid w:val="003D2DA1"/>
    <w:rsid w:val="003E12D6"/>
    <w:rsid w:val="003E3025"/>
    <w:rsid w:val="003E48D0"/>
    <w:rsid w:val="003E4BBE"/>
    <w:rsid w:val="003F47FC"/>
    <w:rsid w:val="003F5DBB"/>
    <w:rsid w:val="003F6F70"/>
    <w:rsid w:val="003F7BFD"/>
    <w:rsid w:val="00401A35"/>
    <w:rsid w:val="00403B86"/>
    <w:rsid w:val="00404180"/>
    <w:rsid w:val="004041DC"/>
    <w:rsid w:val="00425198"/>
    <w:rsid w:val="0043039D"/>
    <w:rsid w:val="004329D8"/>
    <w:rsid w:val="00436B05"/>
    <w:rsid w:val="0044150F"/>
    <w:rsid w:val="00441944"/>
    <w:rsid w:val="0045062E"/>
    <w:rsid w:val="004525D8"/>
    <w:rsid w:val="00456AC1"/>
    <w:rsid w:val="0046107D"/>
    <w:rsid w:val="00463635"/>
    <w:rsid w:val="00463EF3"/>
    <w:rsid w:val="0046599C"/>
    <w:rsid w:val="00470602"/>
    <w:rsid w:val="004733C8"/>
    <w:rsid w:val="00476666"/>
    <w:rsid w:val="004767C7"/>
    <w:rsid w:val="00477866"/>
    <w:rsid w:val="0048101E"/>
    <w:rsid w:val="00481D1E"/>
    <w:rsid w:val="00483B2A"/>
    <w:rsid w:val="00491F8D"/>
    <w:rsid w:val="00495AB4"/>
    <w:rsid w:val="00497C49"/>
    <w:rsid w:val="004A0631"/>
    <w:rsid w:val="004A4AEF"/>
    <w:rsid w:val="004B7705"/>
    <w:rsid w:val="004C6B9F"/>
    <w:rsid w:val="004D0EAC"/>
    <w:rsid w:val="004D3B79"/>
    <w:rsid w:val="004E1EAF"/>
    <w:rsid w:val="004F2C4B"/>
    <w:rsid w:val="004F5870"/>
    <w:rsid w:val="0050192E"/>
    <w:rsid w:val="00504F2F"/>
    <w:rsid w:val="0050545C"/>
    <w:rsid w:val="005079C0"/>
    <w:rsid w:val="00510450"/>
    <w:rsid w:val="005120DC"/>
    <w:rsid w:val="005147B4"/>
    <w:rsid w:val="00515B41"/>
    <w:rsid w:val="005238CE"/>
    <w:rsid w:val="0052418C"/>
    <w:rsid w:val="0052498B"/>
    <w:rsid w:val="00526B8C"/>
    <w:rsid w:val="00533B12"/>
    <w:rsid w:val="00535256"/>
    <w:rsid w:val="005364DD"/>
    <w:rsid w:val="0054046E"/>
    <w:rsid w:val="00541C95"/>
    <w:rsid w:val="005465AE"/>
    <w:rsid w:val="00547372"/>
    <w:rsid w:val="0055134B"/>
    <w:rsid w:val="00552221"/>
    <w:rsid w:val="00552B37"/>
    <w:rsid w:val="005560E6"/>
    <w:rsid w:val="0055713A"/>
    <w:rsid w:val="00576737"/>
    <w:rsid w:val="00577738"/>
    <w:rsid w:val="00580F0D"/>
    <w:rsid w:val="005825E8"/>
    <w:rsid w:val="00592C3E"/>
    <w:rsid w:val="00592F85"/>
    <w:rsid w:val="005938A5"/>
    <w:rsid w:val="005A000C"/>
    <w:rsid w:val="005A0576"/>
    <w:rsid w:val="005A3F49"/>
    <w:rsid w:val="005A404A"/>
    <w:rsid w:val="005A4B83"/>
    <w:rsid w:val="005B0561"/>
    <w:rsid w:val="005B5751"/>
    <w:rsid w:val="005B5F16"/>
    <w:rsid w:val="005E03E9"/>
    <w:rsid w:val="005E18F1"/>
    <w:rsid w:val="005F4140"/>
    <w:rsid w:val="005F4CAA"/>
    <w:rsid w:val="005F6755"/>
    <w:rsid w:val="00601369"/>
    <w:rsid w:val="006016DB"/>
    <w:rsid w:val="00603280"/>
    <w:rsid w:val="00603B81"/>
    <w:rsid w:val="00604EFD"/>
    <w:rsid w:val="00611D5E"/>
    <w:rsid w:val="0061503F"/>
    <w:rsid w:val="00615EFD"/>
    <w:rsid w:val="00622F4F"/>
    <w:rsid w:val="0063325A"/>
    <w:rsid w:val="00640158"/>
    <w:rsid w:val="00640B5B"/>
    <w:rsid w:val="00647753"/>
    <w:rsid w:val="0065306C"/>
    <w:rsid w:val="00655D62"/>
    <w:rsid w:val="00657300"/>
    <w:rsid w:val="006656E7"/>
    <w:rsid w:val="00672C44"/>
    <w:rsid w:val="0067634A"/>
    <w:rsid w:val="00681BE3"/>
    <w:rsid w:val="00682C6C"/>
    <w:rsid w:val="00684C8B"/>
    <w:rsid w:val="00686B63"/>
    <w:rsid w:val="00687FDB"/>
    <w:rsid w:val="006A63A7"/>
    <w:rsid w:val="006B2354"/>
    <w:rsid w:val="006B3824"/>
    <w:rsid w:val="006B4312"/>
    <w:rsid w:val="006B6C28"/>
    <w:rsid w:val="006C25D6"/>
    <w:rsid w:val="006C466E"/>
    <w:rsid w:val="006C56F8"/>
    <w:rsid w:val="006C6097"/>
    <w:rsid w:val="006D79D6"/>
    <w:rsid w:val="006D7AF0"/>
    <w:rsid w:val="006E0BB1"/>
    <w:rsid w:val="006E3183"/>
    <w:rsid w:val="006F2745"/>
    <w:rsid w:val="006F5C8B"/>
    <w:rsid w:val="00700D77"/>
    <w:rsid w:val="00701ADE"/>
    <w:rsid w:val="0070301C"/>
    <w:rsid w:val="007059BD"/>
    <w:rsid w:val="00713BE9"/>
    <w:rsid w:val="007202DE"/>
    <w:rsid w:val="00720323"/>
    <w:rsid w:val="00721E1F"/>
    <w:rsid w:val="007220C0"/>
    <w:rsid w:val="00722BAF"/>
    <w:rsid w:val="007246D7"/>
    <w:rsid w:val="00727646"/>
    <w:rsid w:val="00735ACD"/>
    <w:rsid w:val="00736524"/>
    <w:rsid w:val="007370BE"/>
    <w:rsid w:val="0073785C"/>
    <w:rsid w:val="00741FF1"/>
    <w:rsid w:val="00744F8B"/>
    <w:rsid w:val="0076451F"/>
    <w:rsid w:val="00771A08"/>
    <w:rsid w:val="00775529"/>
    <w:rsid w:val="00777797"/>
    <w:rsid w:val="00777F09"/>
    <w:rsid w:val="00784EC6"/>
    <w:rsid w:val="00791093"/>
    <w:rsid w:val="00791FA4"/>
    <w:rsid w:val="007A6000"/>
    <w:rsid w:val="007A6208"/>
    <w:rsid w:val="007A6A53"/>
    <w:rsid w:val="007B2B80"/>
    <w:rsid w:val="007B2DBD"/>
    <w:rsid w:val="007B4F5B"/>
    <w:rsid w:val="007B712F"/>
    <w:rsid w:val="007C293D"/>
    <w:rsid w:val="007C4733"/>
    <w:rsid w:val="007C5C76"/>
    <w:rsid w:val="007C741A"/>
    <w:rsid w:val="007C7846"/>
    <w:rsid w:val="007D48AA"/>
    <w:rsid w:val="007D5AB1"/>
    <w:rsid w:val="007D61D0"/>
    <w:rsid w:val="007F1C80"/>
    <w:rsid w:val="00804E24"/>
    <w:rsid w:val="008058C0"/>
    <w:rsid w:val="00805A00"/>
    <w:rsid w:val="00806BBE"/>
    <w:rsid w:val="008157E7"/>
    <w:rsid w:val="008167F4"/>
    <w:rsid w:val="0082155C"/>
    <w:rsid w:val="00822F9C"/>
    <w:rsid w:val="00827A32"/>
    <w:rsid w:val="008370C0"/>
    <w:rsid w:val="00840180"/>
    <w:rsid w:val="0084093E"/>
    <w:rsid w:val="00842E40"/>
    <w:rsid w:val="0084640A"/>
    <w:rsid w:val="00846D0D"/>
    <w:rsid w:val="00850E79"/>
    <w:rsid w:val="00851ED2"/>
    <w:rsid w:val="00854015"/>
    <w:rsid w:val="00856C89"/>
    <w:rsid w:val="00870456"/>
    <w:rsid w:val="0087130F"/>
    <w:rsid w:val="008713BC"/>
    <w:rsid w:val="008768FF"/>
    <w:rsid w:val="00883E96"/>
    <w:rsid w:val="008872BB"/>
    <w:rsid w:val="00890034"/>
    <w:rsid w:val="008A5CF5"/>
    <w:rsid w:val="008B7ABD"/>
    <w:rsid w:val="008B7B5B"/>
    <w:rsid w:val="008C013A"/>
    <w:rsid w:val="008C5BE1"/>
    <w:rsid w:val="008D6222"/>
    <w:rsid w:val="008E76DE"/>
    <w:rsid w:val="008F2867"/>
    <w:rsid w:val="008F28A4"/>
    <w:rsid w:val="008F30FB"/>
    <w:rsid w:val="008F37C4"/>
    <w:rsid w:val="008F4F0A"/>
    <w:rsid w:val="008F6B37"/>
    <w:rsid w:val="0090450F"/>
    <w:rsid w:val="0090535C"/>
    <w:rsid w:val="00912F0C"/>
    <w:rsid w:val="00915934"/>
    <w:rsid w:val="009161D7"/>
    <w:rsid w:val="009303D0"/>
    <w:rsid w:val="0093635F"/>
    <w:rsid w:val="00941E73"/>
    <w:rsid w:val="009451C9"/>
    <w:rsid w:val="00947DF1"/>
    <w:rsid w:val="00953234"/>
    <w:rsid w:val="00956936"/>
    <w:rsid w:val="0095751E"/>
    <w:rsid w:val="00964BAF"/>
    <w:rsid w:val="00964D77"/>
    <w:rsid w:val="00964F9C"/>
    <w:rsid w:val="0096561A"/>
    <w:rsid w:val="00967FE0"/>
    <w:rsid w:val="00972743"/>
    <w:rsid w:val="00972BEC"/>
    <w:rsid w:val="0098137D"/>
    <w:rsid w:val="0098385B"/>
    <w:rsid w:val="009866B0"/>
    <w:rsid w:val="009915AC"/>
    <w:rsid w:val="009933B3"/>
    <w:rsid w:val="009A7E5E"/>
    <w:rsid w:val="009B0456"/>
    <w:rsid w:val="009B1A06"/>
    <w:rsid w:val="009B5C6E"/>
    <w:rsid w:val="009C2D17"/>
    <w:rsid w:val="009C51BD"/>
    <w:rsid w:val="009C65E5"/>
    <w:rsid w:val="009D090D"/>
    <w:rsid w:val="009D14F6"/>
    <w:rsid w:val="009D291C"/>
    <w:rsid w:val="009D3939"/>
    <w:rsid w:val="009D4879"/>
    <w:rsid w:val="009E05A6"/>
    <w:rsid w:val="009E07AA"/>
    <w:rsid w:val="009E0B3E"/>
    <w:rsid w:val="009E417B"/>
    <w:rsid w:val="009E523F"/>
    <w:rsid w:val="009F13D3"/>
    <w:rsid w:val="009F1BB3"/>
    <w:rsid w:val="009F3DB5"/>
    <w:rsid w:val="009F45F4"/>
    <w:rsid w:val="009F538C"/>
    <w:rsid w:val="00A04196"/>
    <w:rsid w:val="00A11E37"/>
    <w:rsid w:val="00A275F1"/>
    <w:rsid w:val="00A3170D"/>
    <w:rsid w:val="00A410D4"/>
    <w:rsid w:val="00A50E84"/>
    <w:rsid w:val="00A52198"/>
    <w:rsid w:val="00A56D97"/>
    <w:rsid w:val="00A6240E"/>
    <w:rsid w:val="00A673AD"/>
    <w:rsid w:val="00A72907"/>
    <w:rsid w:val="00A75DEC"/>
    <w:rsid w:val="00A907E0"/>
    <w:rsid w:val="00A92C45"/>
    <w:rsid w:val="00A96989"/>
    <w:rsid w:val="00AA1649"/>
    <w:rsid w:val="00AA165E"/>
    <w:rsid w:val="00AA2E0C"/>
    <w:rsid w:val="00AA689E"/>
    <w:rsid w:val="00AC1668"/>
    <w:rsid w:val="00AD0BF4"/>
    <w:rsid w:val="00AD4274"/>
    <w:rsid w:val="00AD74F8"/>
    <w:rsid w:val="00AE0A18"/>
    <w:rsid w:val="00AE1912"/>
    <w:rsid w:val="00AE5793"/>
    <w:rsid w:val="00AE736D"/>
    <w:rsid w:val="00AE75F4"/>
    <w:rsid w:val="00AF33A1"/>
    <w:rsid w:val="00AF390B"/>
    <w:rsid w:val="00AF5A2A"/>
    <w:rsid w:val="00AF7432"/>
    <w:rsid w:val="00B0063D"/>
    <w:rsid w:val="00B024B0"/>
    <w:rsid w:val="00B0453D"/>
    <w:rsid w:val="00B05901"/>
    <w:rsid w:val="00B06156"/>
    <w:rsid w:val="00B078DA"/>
    <w:rsid w:val="00B12559"/>
    <w:rsid w:val="00B20FC6"/>
    <w:rsid w:val="00B210F3"/>
    <w:rsid w:val="00B21268"/>
    <w:rsid w:val="00B25AC7"/>
    <w:rsid w:val="00B2758B"/>
    <w:rsid w:val="00B31078"/>
    <w:rsid w:val="00B3222D"/>
    <w:rsid w:val="00B35D81"/>
    <w:rsid w:val="00B37753"/>
    <w:rsid w:val="00B46F78"/>
    <w:rsid w:val="00B47DE3"/>
    <w:rsid w:val="00B50DC8"/>
    <w:rsid w:val="00B5145A"/>
    <w:rsid w:val="00B54B8D"/>
    <w:rsid w:val="00B614C8"/>
    <w:rsid w:val="00B64674"/>
    <w:rsid w:val="00B768B0"/>
    <w:rsid w:val="00B77EA7"/>
    <w:rsid w:val="00B819B7"/>
    <w:rsid w:val="00B81A4B"/>
    <w:rsid w:val="00B833C0"/>
    <w:rsid w:val="00B85E2B"/>
    <w:rsid w:val="00B86D5B"/>
    <w:rsid w:val="00B877C1"/>
    <w:rsid w:val="00B93D95"/>
    <w:rsid w:val="00B964C6"/>
    <w:rsid w:val="00BB4F5C"/>
    <w:rsid w:val="00BB6C15"/>
    <w:rsid w:val="00BC03F0"/>
    <w:rsid w:val="00BC167E"/>
    <w:rsid w:val="00BC4050"/>
    <w:rsid w:val="00BC4647"/>
    <w:rsid w:val="00BC4A02"/>
    <w:rsid w:val="00BC7345"/>
    <w:rsid w:val="00BD3449"/>
    <w:rsid w:val="00BE124F"/>
    <w:rsid w:val="00BE7298"/>
    <w:rsid w:val="00BF49DF"/>
    <w:rsid w:val="00BF5919"/>
    <w:rsid w:val="00C022E7"/>
    <w:rsid w:val="00C023A5"/>
    <w:rsid w:val="00C0373E"/>
    <w:rsid w:val="00C05263"/>
    <w:rsid w:val="00C059EF"/>
    <w:rsid w:val="00C065C9"/>
    <w:rsid w:val="00C07CA1"/>
    <w:rsid w:val="00C1573C"/>
    <w:rsid w:val="00C17CB2"/>
    <w:rsid w:val="00C201E6"/>
    <w:rsid w:val="00C24E6D"/>
    <w:rsid w:val="00C25C48"/>
    <w:rsid w:val="00C275B6"/>
    <w:rsid w:val="00C3060F"/>
    <w:rsid w:val="00C31634"/>
    <w:rsid w:val="00C34FFA"/>
    <w:rsid w:val="00C37048"/>
    <w:rsid w:val="00C42A3A"/>
    <w:rsid w:val="00C42F00"/>
    <w:rsid w:val="00C512A8"/>
    <w:rsid w:val="00C54C23"/>
    <w:rsid w:val="00C601E8"/>
    <w:rsid w:val="00C616D6"/>
    <w:rsid w:val="00C64FA4"/>
    <w:rsid w:val="00C72BF3"/>
    <w:rsid w:val="00C73D9C"/>
    <w:rsid w:val="00C80950"/>
    <w:rsid w:val="00C823B2"/>
    <w:rsid w:val="00C87544"/>
    <w:rsid w:val="00C95E2F"/>
    <w:rsid w:val="00C969C7"/>
    <w:rsid w:val="00CA1BE0"/>
    <w:rsid w:val="00CA52DE"/>
    <w:rsid w:val="00CB02C9"/>
    <w:rsid w:val="00CB62BD"/>
    <w:rsid w:val="00CC340F"/>
    <w:rsid w:val="00CC4402"/>
    <w:rsid w:val="00CC5FED"/>
    <w:rsid w:val="00CC70AE"/>
    <w:rsid w:val="00CD1D21"/>
    <w:rsid w:val="00CD7317"/>
    <w:rsid w:val="00CD7571"/>
    <w:rsid w:val="00CE0BB2"/>
    <w:rsid w:val="00CE6D1D"/>
    <w:rsid w:val="00CE7F82"/>
    <w:rsid w:val="00CF58EB"/>
    <w:rsid w:val="00CF598A"/>
    <w:rsid w:val="00CF5B8D"/>
    <w:rsid w:val="00D001DA"/>
    <w:rsid w:val="00D008A5"/>
    <w:rsid w:val="00D016FB"/>
    <w:rsid w:val="00D07CEE"/>
    <w:rsid w:val="00D108A5"/>
    <w:rsid w:val="00D1163C"/>
    <w:rsid w:val="00D14BF4"/>
    <w:rsid w:val="00D15080"/>
    <w:rsid w:val="00D210CE"/>
    <w:rsid w:val="00D27733"/>
    <w:rsid w:val="00D27FFC"/>
    <w:rsid w:val="00D30D46"/>
    <w:rsid w:val="00D31E5C"/>
    <w:rsid w:val="00D32535"/>
    <w:rsid w:val="00D4404C"/>
    <w:rsid w:val="00D45ADE"/>
    <w:rsid w:val="00D51DD3"/>
    <w:rsid w:val="00D5222C"/>
    <w:rsid w:val="00D525C5"/>
    <w:rsid w:val="00D5663D"/>
    <w:rsid w:val="00D56668"/>
    <w:rsid w:val="00D5716B"/>
    <w:rsid w:val="00D62D55"/>
    <w:rsid w:val="00D660C0"/>
    <w:rsid w:val="00D7313C"/>
    <w:rsid w:val="00D74B60"/>
    <w:rsid w:val="00D769E2"/>
    <w:rsid w:val="00D9188D"/>
    <w:rsid w:val="00D944C8"/>
    <w:rsid w:val="00DA2F0A"/>
    <w:rsid w:val="00DA596C"/>
    <w:rsid w:val="00DB1F83"/>
    <w:rsid w:val="00DC1C1E"/>
    <w:rsid w:val="00DC3560"/>
    <w:rsid w:val="00DC6BA4"/>
    <w:rsid w:val="00DD6A3E"/>
    <w:rsid w:val="00DD6D10"/>
    <w:rsid w:val="00DD6EC3"/>
    <w:rsid w:val="00DE1820"/>
    <w:rsid w:val="00DE3353"/>
    <w:rsid w:val="00DE43F2"/>
    <w:rsid w:val="00DF03C2"/>
    <w:rsid w:val="00DF3463"/>
    <w:rsid w:val="00DF5F9D"/>
    <w:rsid w:val="00DF6821"/>
    <w:rsid w:val="00DF79FB"/>
    <w:rsid w:val="00E00037"/>
    <w:rsid w:val="00E0224C"/>
    <w:rsid w:val="00E03FCE"/>
    <w:rsid w:val="00E05E1C"/>
    <w:rsid w:val="00E06E6F"/>
    <w:rsid w:val="00E12794"/>
    <w:rsid w:val="00E15B05"/>
    <w:rsid w:val="00E17AF1"/>
    <w:rsid w:val="00E3152A"/>
    <w:rsid w:val="00E3244D"/>
    <w:rsid w:val="00E340E2"/>
    <w:rsid w:val="00E476B4"/>
    <w:rsid w:val="00E50B44"/>
    <w:rsid w:val="00E53E5A"/>
    <w:rsid w:val="00E55A8B"/>
    <w:rsid w:val="00E56EAC"/>
    <w:rsid w:val="00E665B1"/>
    <w:rsid w:val="00E67A54"/>
    <w:rsid w:val="00E77256"/>
    <w:rsid w:val="00E80FBD"/>
    <w:rsid w:val="00E83BCE"/>
    <w:rsid w:val="00E92C41"/>
    <w:rsid w:val="00E92C6E"/>
    <w:rsid w:val="00E92C9F"/>
    <w:rsid w:val="00E9384C"/>
    <w:rsid w:val="00EA0BFD"/>
    <w:rsid w:val="00EA1BD8"/>
    <w:rsid w:val="00EA3FDE"/>
    <w:rsid w:val="00EB5160"/>
    <w:rsid w:val="00EB5D6D"/>
    <w:rsid w:val="00EB661E"/>
    <w:rsid w:val="00EC2B62"/>
    <w:rsid w:val="00EC2F76"/>
    <w:rsid w:val="00EC4476"/>
    <w:rsid w:val="00ED08FF"/>
    <w:rsid w:val="00ED22A3"/>
    <w:rsid w:val="00ED56A4"/>
    <w:rsid w:val="00EE315C"/>
    <w:rsid w:val="00EE4852"/>
    <w:rsid w:val="00EE755D"/>
    <w:rsid w:val="00EF0573"/>
    <w:rsid w:val="00EF0E47"/>
    <w:rsid w:val="00EF1FE2"/>
    <w:rsid w:val="00EF704F"/>
    <w:rsid w:val="00EF7AED"/>
    <w:rsid w:val="00F00100"/>
    <w:rsid w:val="00F00D89"/>
    <w:rsid w:val="00F06620"/>
    <w:rsid w:val="00F07FE2"/>
    <w:rsid w:val="00F146DF"/>
    <w:rsid w:val="00F17AB7"/>
    <w:rsid w:val="00F31848"/>
    <w:rsid w:val="00F33A97"/>
    <w:rsid w:val="00F348BE"/>
    <w:rsid w:val="00F3548B"/>
    <w:rsid w:val="00F364D1"/>
    <w:rsid w:val="00F50D5E"/>
    <w:rsid w:val="00F514BB"/>
    <w:rsid w:val="00F523A6"/>
    <w:rsid w:val="00F535C3"/>
    <w:rsid w:val="00F56CF5"/>
    <w:rsid w:val="00F663C3"/>
    <w:rsid w:val="00F66803"/>
    <w:rsid w:val="00F675DA"/>
    <w:rsid w:val="00F761A1"/>
    <w:rsid w:val="00F824D3"/>
    <w:rsid w:val="00F8495F"/>
    <w:rsid w:val="00F869B8"/>
    <w:rsid w:val="00F95DC1"/>
    <w:rsid w:val="00F96F84"/>
    <w:rsid w:val="00FA4453"/>
    <w:rsid w:val="00FB20FE"/>
    <w:rsid w:val="00FB2FD6"/>
    <w:rsid w:val="00FB34A7"/>
    <w:rsid w:val="00FC307D"/>
    <w:rsid w:val="00FD1AC8"/>
    <w:rsid w:val="00FD706D"/>
    <w:rsid w:val="00FD7BA7"/>
    <w:rsid w:val="00FE0CF8"/>
    <w:rsid w:val="00FE2F30"/>
    <w:rsid w:val="00FE39BD"/>
    <w:rsid w:val="00FE502B"/>
    <w:rsid w:val="00FF478A"/>
    <w:rsid w:val="016A2128"/>
    <w:rsid w:val="029E00FC"/>
    <w:rsid w:val="02D70480"/>
    <w:rsid w:val="02F0687C"/>
    <w:rsid w:val="02F14FBC"/>
    <w:rsid w:val="03B2469C"/>
    <w:rsid w:val="042A0CA0"/>
    <w:rsid w:val="04785EAF"/>
    <w:rsid w:val="04793419"/>
    <w:rsid w:val="04E96525"/>
    <w:rsid w:val="050B51ED"/>
    <w:rsid w:val="06742525"/>
    <w:rsid w:val="06D62676"/>
    <w:rsid w:val="078B5222"/>
    <w:rsid w:val="07DA0B42"/>
    <w:rsid w:val="07DF2382"/>
    <w:rsid w:val="08B50556"/>
    <w:rsid w:val="09923F2A"/>
    <w:rsid w:val="099F58A6"/>
    <w:rsid w:val="0A2234D4"/>
    <w:rsid w:val="0A31650A"/>
    <w:rsid w:val="0A623A94"/>
    <w:rsid w:val="0B8D747A"/>
    <w:rsid w:val="0BCC774B"/>
    <w:rsid w:val="0C230DF6"/>
    <w:rsid w:val="0C2374C2"/>
    <w:rsid w:val="0C2800DB"/>
    <w:rsid w:val="0C3D5A58"/>
    <w:rsid w:val="0E476CA5"/>
    <w:rsid w:val="0E7E3486"/>
    <w:rsid w:val="0E807E3A"/>
    <w:rsid w:val="0E9500E6"/>
    <w:rsid w:val="0F3D4553"/>
    <w:rsid w:val="0F651C5B"/>
    <w:rsid w:val="10FF0186"/>
    <w:rsid w:val="11BB169F"/>
    <w:rsid w:val="11CC15E8"/>
    <w:rsid w:val="12F34F74"/>
    <w:rsid w:val="13117193"/>
    <w:rsid w:val="1356689A"/>
    <w:rsid w:val="15026B67"/>
    <w:rsid w:val="151659C8"/>
    <w:rsid w:val="15C11E76"/>
    <w:rsid w:val="162931FE"/>
    <w:rsid w:val="173F12FA"/>
    <w:rsid w:val="17D96A05"/>
    <w:rsid w:val="18E4181A"/>
    <w:rsid w:val="19D96B89"/>
    <w:rsid w:val="19F73D5C"/>
    <w:rsid w:val="1ABE6EC5"/>
    <w:rsid w:val="1ADF413A"/>
    <w:rsid w:val="1B9D071E"/>
    <w:rsid w:val="1BA84FDC"/>
    <w:rsid w:val="1BD03052"/>
    <w:rsid w:val="1BE726CF"/>
    <w:rsid w:val="1C501814"/>
    <w:rsid w:val="1C821221"/>
    <w:rsid w:val="1CC478C9"/>
    <w:rsid w:val="1D312BE6"/>
    <w:rsid w:val="1D6B4655"/>
    <w:rsid w:val="1D997ECC"/>
    <w:rsid w:val="1DCA0339"/>
    <w:rsid w:val="1E5B37F0"/>
    <w:rsid w:val="1E857F71"/>
    <w:rsid w:val="1EA43964"/>
    <w:rsid w:val="1F0B38B9"/>
    <w:rsid w:val="1F5D7A3B"/>
    <w:rsid w:val="1F647304"/>
    <w:rsid w:val="1F6822E4"/>
    <w:rsid w:val="200E7190"/>
    <w:rsid w:val="21BB518A"/>
    <w:rsid w:val="22312721"/>
    <w:rsid w:val="225A0333"/>
    <w:rsid w:val="22700620"/>
    <w:rsid w:val="22D00436"/>
    <w:rsid w:val="23E07FFD"/>
    <w:rsid w:val="241035B6"/>
    <w:rsid w:val="24144B7C"/>
    <w:rsid w:val="24361832"/>
    <w:rsid w:val="248C7065"/>
    <w:rsid w:val="24F7674C"/>
    <w:rsid w:val="25733851"/>
    <w:rsid w:val="25B6299A"/>
    <w:rsid w:val="25E453BE"/>
    <w:rsid w:val="2613129A"/>
    <w:rsid w:val="262670C1"/>
    <w:rsid w:val="26741A6F"/>
    <w:rsid w:val="2760140F"/>
    <w:rsid w:val="2822129F"/>
    <w:rsid w:val="2A110261"/>
    <w:rsid w:val="2A986410"/>
    <w:rsid w:val="2B0634D9"/>
    <w:rsid w:val="2B143B20"/>
    <w:rsid w:val="2B9056CA"/>
    <w:rsid w:val="2BF75ED5"/>
    <w:rsid w:val="2BFA46E3"/>
    <w:rsid w:val="2E167A29"/>
    <w:rsid w:val="2E6E5EBA"/>
    <w:rsid w:val="2F41228A"/>
    <w:rsid w:val="2F673CF2"/>
    <w:rsid w:val="30350239"/>
    <w:rsid w:val="3054695C"/>
    <w:rsid w:val="306A1A2D"/>
    <w:rsid w:val="30BD1D4A"/>
    <w:rsid w:val="313B156A"/>
    <w:rsid w:val="31C102B1"/>
    <w:rsid w:val="32034EF7"/>
    <w:rsid w:val="32210257"/>
    <w:rsid w:val="34042771"/>
    <w:rsid w:val="34155C2D"/>
    <w:rsid w:val="34311614"/>
    <w:rsid w:val="346A5CF0"/>
    <w:rsid w:val="349B3E66"/>
    <w:rsid w:val="34F365E5"/>
    <w:rsid w:val="359702F7"/>
    <w:rsid w:val="35D6274C"/>
    <w:rsid w:val="35E44BE1"/>
    <w:rsid w:val="366B2408"/>
    <w:rsid w:val="368C0A48"/>
    <w:rsid w:val="36A55CFB"/>
    <w:rsid w:val="36EF544F"/>
    <w:rsid w:val="37856035"/>
    <w:rsid w:val="37A07713"/>
    <w:rsid w:val="37B06CE3"/>
    <w:rsid w:val="37F91FA8"/>
    <w:rsid w:val="3A5F3324"/>
    <w:rsid w:val="3AA31506"/>
    <w:rsid w:val="3B0A3745"/>
    <w:rsid w:val="3B27392F"/>
    <w:rsid w:val="3C0C6B87"/>
    <w:rsid w:val="3C0D3179"/>
    <w:rsid w:val="3C5000BD"/>
    <w:rsid w:val="3C5D7CBE"/>
    <w:rsid w:val="3DA739E5"/>
    <w:rsid w:val="3DD50947"/>
    <w:rsid w:val="3DE254F5"/>
    <w:rsid w:val="3EB407D8"/>
    <w:rsid w:val="3EBF7F62"/>
    <w:rsid w:val="3EFB607D"/>
    <w:rsid w:val="3F022566"/>
    <w:rsid w:val="3F047743"/>
    <w:rsid w:val="401806FD"/>
    <w:rsid w:val="409F41D0"/>
    <w:rsid w:val="40AE2A0E"/>
    <w:rsid w:val="41C17B42"/>
    <w:rsid w:val="42823C43"/>
    <w:rsid w:val="43740377"/>
    <w:rsid w:val="441F0061"/>
    <w:rsid w:val="44906A00"/>
    <w:rsid w:val="44B21CE6"/>
    <w:rsid w:val="44FD4A00"/>
    <w:rsid w:val="452A6797"/>
    <w:rsid w:val="45B63B66"/>
    <w:rsid w:val="45E6452E"/>
    <w:rsid w:val="461D5C00"/>
    <w:rsid w:val="466F50E6"/>
    <w:rsid w:val="4849243F"/>
    <w:rsid w:val="48DF402C"/>
    <w:rsid w:val="49AF4D54"/>
    <w:rsid w:val="49B0521A"/>
    <w:rsid w:val="49E9505B"/>
    <w:rsid w:val="4D246373"/>
    <w:rsid w:val="4D83229D"/>
    <w:rsid w:val="4D8324CA"/>
    <w:rsid w:val="4DD7244C"/>
    <w:rsid w:val="4E5A1A7E"/>
    <w:rsid w:val="4E8567CB"/>
    <w:rsid w:val="4EC76F1B"/>
    <w:rsid w:val="500A5F00"/>
    <w:rsid w:val="518717C9"/>
    <w:rsid w:val="51D72AFD"/>
    <w:rsid w:val="51D86411"/>
    <w:rsid w:val="51E24943"/>
    <w:rsid w:val="52233A5B"/>
    <w:rsid w:val="554D70A2"/>
    <w:rsid w:val="56A41172"/>
    <w:rsid w:val="56A84E2A"/>
    <w:rsid w:val="58871702"/>
    <w:rsid w:val="58B33F35"/>
    <w:rsid w:val="58DE132A"/>
    <w:rsid w:val="59362F17"/>
    <w:rsid w:val="59834AC9"/>
    <w:rsid w:val="5AD325D0"/>
    <w:rsid w:val="5AF055CD"/>
    <w:rsid w:val="5B4A2162"/>
    <w:rsid w:val="5C361105"/>
    <w:rsid w:val="5D027239"/>
    <w:rsid w:val="5D281115"/>
    <w:rsid w:val="5D4A130C"/>
    <w:rsid w:val="5D4B6E32"/>
    <w:rsid w:val="5DDF7B22"/>
    <w:rsid w:val="5EB37FD7"/>
    <w:rsid w:val="5F511756"/>
    <w:rsid w:val="5FA33B39"/>
    <w:rsid w:val="607A3FCC"/>
    <w:rsid w:val="60B033A3"/>
    <w:rsid w:val="612F6C20"/>
    <w:rsid w:val="6274486A"/>
    <w:rsid w:val="62AF7CCB"/>
    <w:rsid w:val="63375412"/>
    <w:rsid w:val="636E292F"/>
    <w:rsid w:val="63F7386F"/>
    <w:rsid w:val="64EF3B8F"/>
    <w:rsid w:val="650A1380"/>
    <w:rsid w:val="657C2DDE"/>
    <w:rsid w:val="659078BD"/>
    <w:rsid w:val="65C069C3"/>
    <w:rsid w:val="65CB5AD5"/>
    <w:rsid w:val="67A557D8"/>
    <w:rsid w:val="67C017B0"/>
    <w:rsid w:val="68180E35"/>
    <w:rsid w:val="6839778E"/>
    <w:rsid w:val="68E855F1"/>
    <w:rsid w:val="68EB5E1B"/>
    <w:rsid w:val="697119CE"/>
    <w:rsid w:val="6A067156"/>
    <w:rsid w:val="6A5B734B"/>
    <w:rsid w:val="6B53042A"/>
    <w:rsid w:val="6C4F6842"/>
    <w:rsid w:val="6CAB1D34"/>
    <w:rsid w:val="6E313F73"/>
    <w:rsid w:val="6E87341B"/>
    <w:rsid w:val="6EFA740C"/>
    <w:rsid w:val="6F1921A3"/>
    <w:rsid w:val="6F40247A"/>
    <w:rsid w:val="6FC15FB8"/>
    <w:rsid w:val="700355A0"/>
    <w:rsid w:val="71563B04"/>
    <w:rsid w:val="73807E37"/>
    <w:rsid w:val="74813462"/>
    <w:rsid w:val="74E94603"/>
    <w:rsid w:val="751809A1"/>
    <w:rsid w:val="766758F0"/>
    <w:rsid w:val="76863A58"/>
    <w:rsid w:val="77E3782D"/>
    <w:rsid w:val="7869166A"/>
    <w:rsid w:val="78992B1D"/>
    <w:rsid w:val="7A5A2903"/>
    <w:rsid w:val="7A745908"/>
    <w:rsid w:val="7AA95F54"/>
    <w:rsid w:val="7B206CDA"/>
    <w:rsid w:val="7B6C55D5"/>
    <w:rsid w:val="7B7F5DFF"/>
    <w:rsid w:val="7BC43B2B"/>
    <w:rsid w:val="7C883B46"/>
    <w:rsid w:val="7CCB2063"/>
    <w:rsid w:val="7CD2765F"/>
    <w:rsid w:val="7CD7634B"/>
    <w:rsid w:val="7D1B20B5"/>
    <w:rsid w:val="7DB76FD2"/>
    <w:rsid w:val="7DFA2446"/>
    <w:rsid w:val="7E1F77F3"/>
    <w:rsid w:val="7FA355A5"/>
    <w:rsid w:val="7FCE382A"/>
    <w:rsid w:val="7FE023EF"/>
    <w:rsid w:val="F68544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link w:val="15"/>
    <w:qFormat/>
    <w:uiPriority w:val="9"/>
    <w:pPr>
      <w:keepNext/>
      <w:keepLines/>
      <w:spacing w:before="260" w:after="260" w:line="416" w:lineRule="auto"/>
      <w:outlineLvl w:val="1"/>
    </w:pPr>
    <w:rPr>
      <w:rFonts w:ascii="Cambria" w:hAnsi="Cambria"/>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6"/>
    <w:unhideWhenUsed/>
    <w:qFormat/>
    <w:uiPriority w:val="99"/>
    <w:pPr>
      <w:jc w:val="left"/>
    </w:pPr>
  </w:style>
  <w:style w:type="paragraph" w:styleId="4">
    <w:name w:val="Balloon Text"/>
    <w:basedOn w:val="1"/>
    <w:link w:val="17"/>
    <w:unhideWhenUsed/>
    <w:qFormat/>
    <w:uiPriority w:val="99"/>
    <w:rPr>
      <w:sz w:val="18"/>
      <w:szCs w:val="18"/>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link w:val="20"/>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8">
    <w:name w:val="Normal (Web)"/>
    <w:basedOn w:val="1"/>
    <w:unhideWhenUsed/>
    <w:uiPriority w:val="99"/>
    <w:pPr>
      <w:spacing w:before="100" w:beforeAutospacing="1" w:after="100" w:afterAutospacing="1"/>
      <w:ind w:left="0" w:right="0"/>
      <w:jc w:val="left"/>
    </w:pPr>
    <w:rPr>
      <w:kern w:val="0"/>
      <w:sz w:val="24"/>
      <w:lang w:val="en-US" w:eastAsia="zh-CN" w:bidi="ar"/>
    </w:rPr>
  </w:style>
  <w:style w:type="paragraph" w:styleId="9">
    <w:name w:val="annotation subject"/>
    <w:basedOn w:val="3"/>
    <w:next w:val="3"/>
    <w:link w:val="21"/>
    <w:unhideWhenUsed/>
    <w:qFormat/>
    <w:uiPriority w:val="99"/>
    <w:rPr>
      <w:b/>
      <w:bCs/>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unhideWhenUsed/>
    <w:qFormat/>
    <w:uiPriority w:val="99"/>
    <w:rPr>
      <w:color w:val="0000FF"/>
      <w:u w:val="single"/>
    </w:rPr>
  </w:style>
  <w:style w:type="character" w:styleId="14">
    <w:name w:val="annotation reference"/>
    <w:unhideWhenUsed/>
    <w:qFormat/>
    <w:uiPriority w:val="99"/>
    <w:rPr>
      <w:sz w:val="21"/>
      <w:szCs w:val="21"/>
    </w:rPr>
  </w:style>
  <w:style w:type="character" w:customStyle="1" w:styleId="15">
    <w:name w:val="标题 2 Char"/>
    <w:link w:val="2"/>
    <w:qFormat/>
    <w:uiPriority w:val="9"/>
    <w:rPr>
      <w:rFonts w:ascii="Cambria" w:hAnsi="Cambria" w:eastAsia="宋体" w:cs="Times New Roman"/>
      <w:b/>
      <w:bCs/>
      <w:sz w:val="32"/>
      <w:szCs w:val="32"/>
    </w:rPr>
  </w:style>
  <w:style w:type="character" w:customStyle="1" w:styleId="16">
    <w:name w:val="批注文字 Char"/>
    <w:link w:val="3"/>
    <w:semiHidden/>
    <w:qFormat/>
    <w:uiPriority w:val="99"/>
    <w:rPr>
      <w:rFonts w:ascii="Times New Roman" w:hAnsi="Times New Roman"/>
      <w:kern w:val="2"/>
      <w:sz w:val="21"/>
    </w:rPr>
  </w:style>
  <w:style w:type="character" w:customStyle="1" w:styleId="17">
    <w:name w:val="批注框文本 Char"/>
    <w:link w:val="4"/>
    <w:semiHidden/>
    <w:qFormat/>
    <w:uiPriority w:val="99"/>
    <w:rPr>
      <w:rFonts w:ascii="Times New Roman" w:hAnsi="Times New Roman"/>
      <w:kern w:val="2"/>
      <w:sz w:val="18"/>
      <w:szCs w:val="18"/>
    </w:rPr>
  </w:style>
  <w:style w:type="character" w:customStyle="1" w:styleId="18">
    <w:name w:val="页脚 Char"/>
    <w:link w:val="5"/>
    <w:qFormat/>
    <w:uiPriority w:val="99"/>
    <w:rPr>
      <w:sz w:val="18"/>
      <w:szCs w:val="18"/>
    </w:rPr>
  </w:style>
  <w:style w:type="character" w:customStyle="1" w:styleId="19">
    <w:name w:val="页眉 Char"/>
    <w:link w:val="6"/>
    <w:qFormat/>
    <w:uiPriority w:val="99"/>
    <w:rPr>
      <w:sz w:val="18"/>
      <w:szCs w:val="18"/>
    </w:rPr>
  </w:style>
  <w:style w:type="character" w:customStyle="1" w:styleId="20">
    <w:name w:val="HTML 预设格式 Char"/>
    <w:link w:val="7"/>
    <w:semiHidden/>
    <w:qFormat/>
    <w:uiPriority w:val="99"/>
    <w:rPr>
      <w:rFonts w:ascii="宋体" w:hAnsi="宋体" w:cs="宋体"/>
      <w:sz w:val="24"/>
      <w:szCs w:val="24"/>
    </w:rPr>
  </w:style>
  <w:style w:type="character" w:customStyle="1" w:styleId="21">
    <w:name w:val="批注主题 Char"/>
    <w:link w:val="9"/>
    <w:semiHidden/>
    <w:qFormat/>
    <w:uiPriority w:val="99"/>
    <w:rPr>
      <w:rFonts w:ascii="Times New Roman" w:hAnsi="Times New Roman"/>
      <w:b/>
      <w:bCs/>
      <w:kern w:val="2"/>
      <w:sz w:val="21"/>
    </w:rPr>
  </w:style>
  <w:style w:type="paragraph" w:customStyle="1" w:styleId="22">
    <w:name w:val="Table Paragraph"/>
    <w:basedOn w:val="1"/>
    <w:qFormat/>
    <w:uiPriority w:val="1"/>
    <w:pPr>
      <w:jc w:val="left"/>
    </w:pPr>
    <w:rPr>
      <w:rFonts w:ascii="Calibri" w:hAnsi="Calibri"/>
      <w:kern w:val="0"/>
      <w:sz w:val="22"/>
      <w:szCs w:val="22"/>
      <w:lang w:eastAsia="en-US"/>
    </w:rPr>
  </w:style>
  <w:style w:type="paragraph" w:styleId="23">
    <w:name w:val="List Paragraph"/>
    <w:basedOn w:val="1"/>
    <w:qFormat/>
    <w:uiPriority w:val="34"/>
    <w:pPr>
      <w:ind w:firstLine="420" w:firstLineChars="200"/>
    </w:pPr>
    <w:rPr>
      <w:rFonts w:ascii="Calibri" w:hAnsi="Calibri"/>
      <w:szCs w:val="22"/>
    </w:rPr>
  </w:style>
  <w:style w:type="paragraph" w:customStyle="1" w:styleId="24">
    <w:name w:val="_Style 22"/>
    <w:unhideWhenUsed/>
    <w:qFormat/>
    <w:uiPriority w:val="99"/>
    <w:rPr>
      <w:rFonts w:ascii="Times New Roman" w:hAnsi="Times New Roman" w:eastAsia="宋体" w:cs="Times New Roman"/>
      <w:kern w:val="2"/>
      <w:sz w:val="21"/>
      <w:lang w:val="en-US" w:eastAsia="zh-CN" w:bidi="ar-SA"/>
    </w:rPr>
  </w:style>
  <w:style w:type="paragraph" w:customStyle="1" w:styleId="25">
    <w:name w:val="Revision"/>
    <w:hidden/>
    <w:semiHidden/>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9697591e-9e03-4e9a-82e6-9ba8e9c952ca</errorID>
      <errorWord>对于</errorWord>
      <group>L1_Word</group>
      <groupName>字词问题</groupName>
      <ability>L2_Typo</ability>
      <abilityName>字词错误</abilityName>
      <candidateList>
        <item>对</item>
      </candidateList>
      <explain/>
      <paraID>649198CF</paraID>
      <start>6</start>
      <end>8</end>
      <status>unmodified</status>
      <modifiedWord/>
      <trackRevisions>false</trackRevisions>
    </reviewItem>
    <reviewItem>
      <errorID>d85d5d03-235c-4155-ac66-f628b330cce3</errorID>
      <errorWord>，</errorWord>
      <group>L1_Word</group>
      <groupName>字词问题</groupName>
      <ability>L2_Typo</ability>
      <abilityName>字词错误</abilityName>
      <candidateList>
        <item>，在</item>
      </candidateList>
      <explain/>
      <paraID>6D970B4B</paraID>
      <start>207</start>
      <end>208</end>
      <status>unmodified</status>
      <modifiedWord/>
      <trackRevisions>false</trackRevisions>
    </reviewItem>
    <reviewItem>
      <errorID>1193511d-bd7d-424b-8f9f-ff669422d0e8</errorID>
      <errorWord>力</errorWord>
      <group>L1_Word</group>
      <groupName>字词问题</groupName>
      <ability>L2_Typo</ability>
      <abilityName>字词错误</abilityName>
      <candidateList>
        <item>力为</item>
      </candidateList>
      <explain/>
      <paraID>6D970B4B</paraID>
      <start>226</start>
      <end>227</end>
      <status>unmodified</status>
      <modifiedWord/>
      <trackRevisions>false</trackRevisions>
    </reviewItem>
    <reviewItem>
      <errorID>56ee7d48-ae57-4f98-8f50-13a5e60e6243</errorID>
      <errorWord>层</errorWord>
      <group>L1_Word</group>
      <groupName>字词问题</groupName>
      <ability>L2_Typo</ability>
      <abilityName>字词错误</abilityName>
      <candidateList>
        <item>等</item>
      </candidateList>
      <explain/>
      <paraID>22AE96C6</paraID>
      <start>66</start>
      <end>67</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48209928-d411-46d8-9a2e-6beba86e75b2}">
  <ds:schemaRefs/>
</ds:datastoreItem>
</file>

<file path=customXml/itemProps2.xml><?xml version="1.0" encoding="utf-8"?>
<ds:datastoreItem xmlns:ds="http://schemas.openxmlformats.org/officeDocument/2006/customXml" ds:itemID="{F1C54FE4-4082-439E-AC9C-237803808159}">
  <ds:schemaRefs/>
</ds:datastoreItem>
</file>

<file path=docProps/app.xml><?xml version="1.0" encoding="utf-8"?>
<Properties xmlns="http://schemas.openxmlformats.org/officeDocument/2006/extended-properties" xmlns:vt="http://schemas.openxmlformats.org/officeDocument/2006/docPropsVTypes">
  <Template>Normal</Template>
  <Pages>5</Pages>
  <Words>2555</Words>
  <Characters>2626</Characters>
  <Lines>21</Lines>
  <Paragraphs>6</Paragraphs>
  <TotalTime>72</TotalTime>
  <ScaleCrop>false</ScaleCrop>
  <LinksUpToDate>false</LinksUpToDate>
  <CharactersWithSpaces>2706</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2025-12-25T17:45:00Z</dcterms:created>
  <dc:creator>Administrator</dc:creator>
  <cp:lastModifiedBy>Wendy Bu</cp:lastModifiedBy>
  <cp:lastPrinted>2026-09-18T06:55:00Z</cp:lastPrinted>
  <dcterms:modified xsi:type="dcterms:W3CDTF">2026-11-02T09:27:50Z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D50C35228D094B2EB9FF2C77960B4DD9_13</vt:lpwstr>
  </property>
  <property fmtid="{D5CDD505-2E9C-101B-9397-08002B2CF9AE}" pid="4" name="KSOTemplateDocerSaveRecord">
    <vt:lpwstr>eyJoZGlkIjoiZWY3MjNjM2IwZGM5OTAzNzRkMjM0YmYwMjJjM2MwMjUiLCJ1c2VySWQiOiI2NDYyODQ3NjYifQ==</vt:lpwstr>
  </property>
</Properties>
</file>