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5FCB70">
      <w:pPr>
        <w:spacing w:line="360" w:lineRule="auto"/>
        <w:rPr>
          <w:rFonts w:ascii="楷体" w:hAnsi="楷体" w:eastAsia="楷体"/>
          <w:sz w:val="24"/>
          <w:szCs w:val="24"/>
        </w:rPr>
      </w:pPr>
      <w:r>
        <w:rPr>
          <w:rFonts w:hint="eastAsia" w:ascii="楷体" w:hAnsi="楷体" w:eastAsia="楷体"/>
          <w:sz w:val="24"/>
          <w:szCs w:val="24"/>
        </w:rPr>
        <w:t>证券代码：6</w:t>
      </w:r>
      <w:r>
        <w:rPr>
          <w:rFonts w:ascii="楷体" w:hAnsi="楷体" w:eastAsia="楷体"/>
          <w:sz w:val="24"/>
          <w:szCs w:val="24"/>
        </w:rPr>
        <w:t xml:space="preserve">88269                                   </w:t>
      </w:r>
      <w:r>
        <w:rPr>
          <w:rFonts w:hint="eastAsia" w:ascii="楷体" w:hAnsi="楷体" w:eastAsia="楷体"/>
          <w:sz w:val="24"/>
          <w:szCs w:val="24"/>
        </w:rPr>
        <w:t>证券简称：凯立新材</w:t>
      </w:r>
    </w:p>
    <w:p w14:paraId="1C0C73F6">
      <w:pPr>
        <w:spacing w:line="360" w:lineRule="auto"/>
        <w:jc w:val="center"/>
        <w:rPr>
          <w:rFonts w:ascii="楷体" w:hAnsi="楷体" w:eastAsia="楷体" w:cs="宋体"/>
          <w:b/>
          <w:bCs/>
          <w:sz w:val="24"/>
          <w:szCs w:val="24"/>
        </w:rPr>
      </w:pPr>
    </w:p>
    <w:p w14:paraId="4EFFF3FD">
      <w:pPr>
        <w:spacing w:line="360" w:lineRule="auto"/>
        <w:jc w:val="center"/>
        <w:rPr>
          <w:rFonts w:hint="eastAsia" w:ascii="楷体" w:hAnsi="楷体" w:eastAsia="楷体" w:cs="宋体"/>
          <w:b/>
          <w:bCs/>
          <w:sz w:val="24"/>
          <w:szCs w:val="24"/>
          <w:lang w:val="en-US" w:eastAsia="zh-CN"/>
        </w:rPr>
      </w:pPr>
      <w:r>
        <w:rPr>
          <w:rFonts w:hint="eastAsia" w:ascii="楷体" w:hAnsi="楷体" w:eastAsia="楷体" w:cs="宋体"/>
          <w:b/>
          <w:bCs/>
          <w:sz w:val="24"/>
          <w:szCs w:val="24"/>
        </w:rPr>
        <w:t>西安凯立新材料</w:t>
      </w:r>
      <w:r>
        <w:rPr>
          <w:rFonts w:hint="eastAsia" w:ascii="楷体" w:hAnsi="楷体" w:eastAsia="楷体" w:cs="宋体"/>
          <w:b/>
          <w:bCs/>
          <w:sz w:val="24"/>
          <w:szCs w:val="24"/>
          <w:lang w:val="en-US" w:eastAsia="zh-CN"/>
        </w:rPr>
        <w:t>股份有限公司</w:t>
      </w:r>
    </w:p>
    <w:p w14:paraId="24C969E7">
      <w:pPr>
        <w:spacing w:line="360" w:lineRule="auto"/>
        <w:jc w:val="center"/>
        <w:rPr>
          <w:rFonts w:ascii="楷体" w:hAnsi="楷体" w:eastAsia="楷体" w:cs="宋体"/>
          <w:b/>
          <w:sz w:val="24"/>
          <w:szCs w:val="24"/>
        </w:rPr>
      </w:pPr>
      <w:r>
        <w:rPr>
          <w:rFonts w:hint="eastAsia" w:ascii="楷体" w:hAnsi="楷体" w:eastAsia="楷体" w:cs="宋体"/>
          <w:b/>
          <w:bCs/>
          <w:sz w:val="24"/>
          <w:szCs w:val="24"/>
        </w:rPr>
        <w:t>投资者关系活动记录表</w:t>
      </w:r>
    </w:p>
    <w:p w14:paraId="5DF08BF9">
      <w:pPr>
        <w:spacing w:before="51" w:after="32" w:line="360" w:lineRule="auto"/>
        <w:ind w:right="1739"/>
        <w:jc w:val="right"/>
        <w:rPr>
          <w:rFonts w:ascii="楷体" w:hAnsi="楷体" w:eastAsia="楷体" w:cs="宋体"/>
          <w:sz w:val="21"/>
          <w:szCs w:val="21"/>
        </w:rPr>
      </w:pPr>
    </w:p>
    <w:tbl>
      <w:tblPr>
        <w:tblStyle w:val="9"/>
        <w:tblW w:w="106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8"/>
        <w:gridCol w:w="1083"/>
        <w:gridCol w:w="3093"/>
        <w:gridCol w:w="1407"/>
        <w:gridCol w:w="3396"/>
      </w:tblGrid>
      <w:tr w14:paraId="2D22D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1" w:hRule="atLeast"/>
          <w:jc w:val="center"/>
        </w:trPr>
        <w:tc>
          <w:tcPr>
            <w:tcW w:w="1648" w:type="dxa"/>
            <w:vAlign w:val="center"/>
          </w:tcPr>
          <w:p w14:paraId="7C9C33AF">
            <w:pPr>
              <w:pStyle w:val="16"/>
              <w:spacing w:before="1" w:line="360" w:lineRule="auto"/>
              <w:rPr>
                <w:rFonts w:ascii="楷体" w:hAnsi="楷体" w:eastAsia="楷体" w:cs="楷体"/>
                <w:sz w:val="21"/>
                <w:szCs w:val="21"/>
              </w:rPr>
            </w:pPr>
            <w:r>
              <w:rPr>
                <w:rFonts w:hint="eastAsia" w:ascii="楷体" w:hAnsi="楷体" w:eastAsia="楷体" w:cs="楷体"/>
                <w:sz w:val="21"/>
                <w:szCs w:val="21"/>
              </w:rPr>
              <w:t>投资者关系活动类别</w:t>
            </w:r>
          </w:p>
        </w:tc>
        <w:tc>
          <w:tcPr>
            <w:tcW w:w="8979" w:type="dxa"/>
            <w:gridSpan w:val="4"/>
            <w:vAlign w:val="center"/>
          </w:tcPr>
          <w:p w14:paraId="0F77AE0C">
            <w:pPr>
              <w:pStyle w:val="16"/>
              <w:spacing w:before="7" w:line="360" w:lineRule="auto"/>
              <w:rPr>
                <w:rFonts w:ascii="楷体" w:hAnsi="楷体" w:eastAsia="楷体" w:cs="楷体"/>
                <w:sz w:val="21"/>
                <w:szCs w:val="21"/>
              </w:rPr>
            </w:pPr>
          </w:p>
          <w:p w14:paraId="7D5CC45E">
            <w:pPr>
              <w:pStyle w:val="16"/>
              <w:tabs>
                <w:tab w:val="left" w:pos="2418"/>
              </w:tabs>
              <w:spacing w:before="1" w:line="360" w:lineRule="auto"/>
              <w:ind w:left="107"/>
              <w:jc w:val="center"/>
              <w:rPr>
                <w:rFonts w:ascii="楷体" w:hAnsi="楷体" w:eastAsia="楷体" w:cs="楷体"/>
                <w:sz w:val="21"/>
                <w:szCs w:val="21"/>
              </w:rPr>
            </w:pPr>
            <w:r>
              <w:rPr>
                <w:rFonts w:hint="eastAsia" w:ascii="楷体" w:hAnsi="楷体" w:eastAsia="楷体" w:cs="楷体"/>
                <w:sz w:val="21"/>
                <w:szCs w:val="21"/>
              </w:rPr>
              <w:t>□特</w:t>
            </w:r>
            <w:r>
              <w:rPr>
                <w:rFonts w:hint="eastAsia" w:ascii="楷体" w:hAnsi="楷体" w:eastAsia="楷体" w:cs="楷体"/>
                <w:spacing w:val="-3"/>
                <w:sz w:val="21"/>
                <w:szCs w:val="21"/>
              </w:rPr>
              <w:t>定</w:t>
            </w:r>
            <w:r>
              <w:rPr>
                <w:rFonts w:hint="eastAsia" w:ascii="楷体" w:hAnsi="楷体" w:eastAsia="楷体" w:cs="楷体"/>
                <w:sz w:val="21"/>
                <w:szCs w:val="21"/>
              </w:rPr>
              <w:t>对</w:t>
            </w:r>
            <w:r>
              <w:rPr>
                <w:rFonts w:hint="eastAsia" w:ascii="楷体" w:hAnsi="楷体" w:eastAsia="楷体" w:cs="楷体"/>
                <w:spacing w:val="-3"/>
                <w:sz w:val="21"/>
                <w:szCs w:val="21"/>
              </w:rPr>
              <w:t>象</w:t>
            </w:r>
            <w:r>
              <w:rPr>
                <w:rFonts w:hint="eastAsia" w:ascii="楷体" w:hAnsi="楷体" w:eastAsia="楷体" w:cs="楷体"/>
                <w:sz w:val="21"/>
                <w:szCs w:val="21"/>
              </w:rPr>
              <w:t>调研</w:t>
            </w:r>
            <w:r>
              <w:rPr>
                <w:rFonts w:hint="eastAsia" w:ascii="楷体" w:hAnsi="楷体" w:eastAsia="楷体" w:cs="楷体"/>
                <w:sz w:val="21"/>
                <w:szCs w:val="21"/>
              </w:rPr>
              <w:tab/>
            </w:r>
            <w:r>
              <w:rPr>
                <w:rFonts w:hint="eastAsia" w:ascii="楷体" w:hAnsi="楷体" w:eastAsia="楷体" w:cs="楷体"/>
                <w:sz w:val="21"/>
                <w:szCs w:val="21"/>
              </w:rPr>
              <w:t>□分</w:t>
            </w:r>
            <w:r>
              <w:rPr>
                <w:rFonts w:hint="eastAsia" w:ascii="楷体" w:hAnsi="楷体" w:eastAsia="楷体" w:cs="楷体"/>
                <w:spacing w:val="-3"/>
                <w:sz w:val="21"/>
                <w:szCs w:val="21"/>
              </w:rPr>
              <w:t>析</w:t>
            </w:r>
            <w:r>
              <w:rPr>
                <w:rFonts w:hint="eastAsia" w:ascii="楷体" w:hAnsi="楷体" w:eastAsia="楷体" w:cs="楷体"/>
                <w:sz w:val="21"/>
                <w:szCs w:val="21"/>
              </w:rPr>
              <w:t>师</w:t>
            </w:r>
            <w:r>
              <w:rPr>
                <w:rFonts w:hint="eastAsia" w:ascii="楷体" w:hAnsi="楷体" w:eastAsia="楷体" w:cs="楷体"/>
                <w:spacing w:val="-3"/>
                <w:sz w:val="21"/>
                <w:szCs w:val="21"/>
              </w:rPr>
              <w:t>会</w:t>
            </w:r>
            <w:r>
              <w:rPr>
                <w:rFonts w:hint="eastAsia" w:ascii="楷体" w:hAnsi="楷体" w:eastAsia="楷体" w:cs="楷体"/>
                <w:sz w:val="21"/>
                <w:szCs w:val="21"/>
              </w:rPr>
              <w:t>议</w:t>
            </w:r>
          </w:p>
          <w:p w14:paraId="6AE64B53">
            <w:pPr>
              <w:pStyle w:val="16"/>
              <w:spacing w:before="11" w:line="360" w:lineRule="auto"/>
              <w:jc w:val="center"/>
              <w:rPr>
                <w:rFonts w:ascii="楷体" w:hAnsi="楷体" w:eastAsia="楷体" w:cs="楷体"/>
                <w:sz w:val="21"/>
                <w:szCs w:val="21"/>
              </w:rPr>
            </w:pPr>
          </w:p>
          <w:p w14:paraId="1FE48EB0">
            <w:pPr>
              <w:pStyle w:val="16"/>
              <w:tabs>
                <w:tab w:val="left" w:pos="2418"/>
              </w:tabs>
              <w:spacing w:line="360" w:lineRule="auto"/>
              <w:ind w:left="107"/>
              <w:jc w:val="center"/>
              <w:rPr>
                <w:rFonts w:ascii="楷体" w:hAnsi="楷体" w:eastAsia="楷体" w:cs="楷体"/>
                <w:sz w:val="21"/>
                <w:szCs w:val="21"/>
              </w:rPr>
            </w:pPr>
            <w:r>
              <w:rPr>
                <w:rFonts w:hint="eastAsia" w:ascii="楷体" w:hAnsi="楷体" w:eastAsia="楷体" w:cs="楷体"/>
                <w:sz w:val="21"/>
                <w:szCs w:val="21"/>
              </w:rPr>
              <w:t>□媒</w:t>
            </w:r>
            <w:r>
              <w:rPr>
                <w:rFonts w:hint="eastAsia" w:ascii="楷体" w:hAnsi="楷体" w:eastAsia="楷体" w:cs="楷体"/>
                <w:spacing w:val="-3"/>
                <w:sz w:val="21"/>
                <w:szCs w:val="21"/>
              </w:rPr>
              <w:t>体</w:t>
            </w:r>
            <w:r>
              <w:rPr>
                <w:rFonts w:hint="eastAsia" w:ascii="楷体" w:hAnsi="楷体" w:eastAsia="楷体" w:cs="楷体"/>
                <w:sz w:val="21"/>
                <w:szCs w:val="21"/>
              </w:rPr>
              <w:t>采访</w:t>
            </w:r>
            <w:r>
              <w:rPr>
                <w:rFonts w:hint="eastAsia" w:ascii="楷体" w:hAnsi="楷体" w:eastAsia="楷体" w:cs="楷体"/>
                <w:sz w:val="21"/>
                <w:szCs w:val="21"/>
              </w:rPr>
              <w:tab/>
            </w:r>
            <w:r>
              <w:rPr>
                <w:rFonts w:hint="eastAsia" w:ascii="楷体" w:hAnsi="楷体" w:eastAsia="楷体" w:cs="楷体"/>
                <w:sz w:val="21"/>
                <w:szCs w:val="21"/>
              </w:rPr>
              <w:t>□业</w:t>
            </w:r>
            <w:r>
              <w:rPr>
                <w:rFonts w:hint="eastAsia" w:ascii="楷体" w:hAnsi="楷体" w:eastAsia="楷体" w:cs="楷体"/>
                <w:spacing w:val="-3"/>
                <w:sz w:val="21"/>
                <w:szCs w:val="21"/>
              </w:rPr>
              <w:t>绩</w:t>
            </w:r>
            <w:r>
              <w:rPr>
                <w:rFonts w:hint="eastAsia" w:ascii="楷体" w:hAnsi="楷体" w:eastAsia="楷体" w:cs="楷体"/>
                <w:sz w:val="21"/>
                <w:szCs w:val="21"/>
              </w:rPr>
              <w:t>说</w:t>
            </w:r>
            <w:r>
              <w:rPr>
                <w:rFonts w:hint="eastAsia" w:ascii="楷体" w:hAnsi="楷体" w:eastAsia="楷体" w:cs="楷体"/>
                <w:spacing w:val="-3"/>
                <w:sz w:val="21"/>
                <w:szCs w:val="21"/>
              </w:rPr>
              <w:t>明</w:t>
            </w:r>
            <w:r>
              <w:rPr>
                <w:rFonts w:hint="eastAsia" w:ascii="楷体" w:hAnsi="楷体" w:eastAsia="楷体" w:cs="楷体"/>
                <w:sz w:val="21"/>
                <w:szCs w:val="21"/>
              </w:rPr>
              <w:t>会</w:t>
            </w:r>
          </w:p>
          <w:p w14:paraId="1E42C032">
            <w:pPr>
              <w:pStyle w:val="16"/>
              <w:spacing w:before="8" w:line="360" w:lineRule="auto"/>
              <w:jc w:val="center"/>
              <w:rPr>
                <w:rFonts w:ascii="楷体" w:hAnsi="楷体" w:eastAsia="楷体" w:cs="楷体"/>
                <w:sz w:val="21"/>
                <w:szCs w:val="21"/>
              </w:rPr>
            </w:pPr>
          </w:p>
          <w:p w14:paraId="01D3F1DE">
            <w:pPr>
              <w:pStyle w:val="16"/>
              <w:tabs>
                <w:tab w:val="left" w:pos="2418"/>
              </w:tabs>
              <w:spacing w:line="360" w:lineRule="auto"/>
              <w:ind w:left="107"/>
              <w:jc w:val="center"/>
              <w:rPr>
                <w:rFonts w:ascii="楷体" w:hAnsi="楷体" w:eastAsia="楷体" w:cs="楷体"/>
                <w:sz w:val="21"/>
                <w:szCs w:val="21"/>
              </w:rPr>
            </w:pPr>
            <w:r>
              <w:rPr>
                <w:rFonts w:hint="eastAsia" w:ascii="楷体" w:hAnsi="楷体" w:eastAsia="楷体" w:cs="楷体"/>
                <w:sz w:val="21"/>
                <w:szCs w:val="21"/>
              </w:rPr>
              <w:t>□新</w:t>
            </w:r>
            <w:r>
              <w:rPr>
                <w:rFonts w:hint="eastAsia" w:ascii="楷体" w:hAnsi="楷体" w:eastAsia="楷体" w:cs="楷体"/>
                <w:spacing w:val="-3"/>
                <w:sz w:val="21"/>
                <w:szCs w:val="21"/>
              </w:rPr>
              <w:t>闻</w:t>
            </w:r>
            <w:r>
              <w:rPr>
                <w:rFonts w:hint="eastAsia" w:ascii="楷体" w:hAnsi="楷体" w:eastAsia="楷体" w:cs="楷体"/>
                <w:sz w:val="21"/>
                <w:szCs w:val="21"/>
              </w:rPr>
              <w:t>发</w:t>
            </w:r>
            <w:r>
              <w:rPr>
                <w:rFonts w:hint="eastAsia" w:ascii="楷体" w:hAnsi="楷体" w:eastAsia="楷体" w:cs="楷体"/>
                <w:spacing w:val="-3"/>
                <w:sz w:val="21"/>
                <w:szCs w:val="21"/>
              </w:rPr>
              <w:t>布</w:t>
            </w:r>
            <w:r>
              <w:rPr>
                <w:rFonts w:hint="eastAsia" w:ascii="楷体" w:hAnsi="楷体" w:eastAsia="楷体" w:cs="楷体"/>
                <w:sz w:val="21"/>
                <w:szCs w:val="21"/>
              </w:rPr>
              <w:t>会</w:t>
            </w:r>
            <w:r>
              <w:rPr>
                <w:rFonts w:hint="eastAsia" w:ascii="楷体" w:hAnsi="楷体" w:eastAsia="楷体" w:cs="楷体"/>
                <w:sz w:val="21"/>
                <w:szCs w:val="21"/>
              </w:rPr>
              <w:tab/>
            </w:r>
            <w:r>
              <w:rPr>
                <w:rFonts w:hint="eastAsia" w:ascii="楷体" w:hAnsi="楷体" w:eastAsia="楷体" w:cs="楷体"/>
                <w:sz w:val="21"/>
                <w:szCs w:val="21"/>
              </w:rPr>
              <w:t>□路</w:t>
            </w:r>
            <w:r>
              <w:rPr>
                <w:rFonts w:hint="eastAsia" w:ascii="楷体" w:hAnsi="楷体" w:eastAsia="楷体" w:cs="楷体"/>
                <w:spacing w:val="-3"/>
                <w:sz w:val="21"/>
                <w:szCs w:val="21"/>
              </w:rPr>
              <w:t>演</w:t>
            </w:r>
            <w:r>
              <w:rPr>
                <w:rFonts w:hint="eastAsia" w:ascii="楷体" w:hAnsi="楷体" w:eastAsia="楷体" w:cs="楷体"/>
                <w:sz w:val="21"/>
                <w:szCs w:val="21"/>
              </w:rPr>
              <w:t>活动</w:t>
            </w:r>
          </w:p>
          <w:p w14:paraId="3AF291DD">
            <w:pPr>
              <w:pStyle w:val="16"/>
              <w:spacing w:before="8" w:line="360" w:lineRule="auto"/>
              <w:jc w:val="center"/>
              <w:rPr>
                <w:rFonts w:ascii="楷体" w:hAnsi="楷体" w:eastAsia="楷体" w:cs="楷体"/>
                <w:sz w:val="21"/>
                <w:szCs w:val="21"/>
              </w:rPr>
            </w:pPr>
          </w:p>
          <w:p w14:paraId="06D29851">
            <w:pPr>
              <w:pStyle w:val="16"/>
              <w:spacing w:line="360" w:lineRule="auto"/>
              <w:ind w:left="107"/>
              <w:jc w:val="center"/>
              <w:rPr>
                <w:rFonts w:ascii="楷体" w:hAnsi="楷体" w:eastAsia="楷体" w:cs="楷体"/>
                <w:sz w:val="21"/>
                <w:szCs w:val="21"/>
              </w:rPr>
            </w:pPr>
            <w:r>
              <w:rPr>
                <w:rFonts w:hint="eastAsia" w:ascii="楷体" w:hAnsi="楷体" w:eastAsia="楷体" w:cs="楷体"/>
                <w:sz w:val="21"/>
                <w:szCs w:val="21"/>
              </w:rPr>
              <w:t>□现场参观</w:t>
            </w:r>
          </w:p>
          <w:p w14:paraId="582A1B6A">
            <w:pPr>
              <w:pStyle w:val="16"/>
              <w:spacing w:before="11" w:line="360" w:lineRule="auto"/>
              <w:jc w:val="center"/>
              <w:rPr>
                <w:rFonts w:ascii="楷体" w:hAnsi="楷体" w:eastAsia="楷体" w:cs="楷体"/>
                <w:sz w:val="21"/>
                <w:szCs w:val="21"/>
              </w:rPr>
            </w:pPr>
          </w:p>
          <w:p w14:paraId="626A8FFE">
            <w:pPr>
              <w:pStyle w:val="16"/>
              <w:spacing w:line="360" w:lineRule="auto"/>
              <w:ind w:left="107"/>
              <w:jc w:val="center"/>
              <w:rPr>
                <w:rFonts w:ascii="楷体" w:hAnsi="楷体" w:eastAsia="楷体" w:cs="楷体"/>
                <w:sz w:val="21"/>
                <w:szCs w:val="21"/>
              </w:rPr>
            </w:pPr>
            <w:r>
              <w:rPr>
                <w:rFonts w:hint="eastAsia" w:ascii="楷体" w:hAnsi="楷体" w:eastAsia="楷体" w:cs="楷体"/>
                <w:sz w:val="21"/>
                <w:szCs w:val="21"/>
              </w:rPr>
              <w:sym w:font="Wingdings 2" w:char="F052"/>
            </w:r>
            <w:r>
              <w:rPr>
                <w:rFonts w:hint="eastAsia" w:ascii="楷体" w:hAnsi="楷体" w:eastAsia="楷体" w:cs="楷体"/>
                <w:sz w:val="21"/>
                <w:szCs w:val="21"/>
              </w:rPr>
              <w:t>其他（电话交流会）</w:t>
            </w:r>
          </w:p>
        </w:tc>
      </w:tr>
      <w:tr w14:paraId="68F9F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restart"/>
            <w:vAlign w:val="center"/>
          </w:tcPr>
          <w:p w14:paraId="2DD14FFA">
            <w:pPr>
              <w:pStyle w:val="16"/>
              <w:spacing w:line="360" w:lineRule="auto"/>
              <w:ind w:left="107" w:right="96"/>
              <w:rPr>
                <w:rFonts w:ascii="楷体" w:hAnsi="楷体" w:eastAsia="楷体" w:cs="楷体"/>
                <w:sz w:val="21"/>
                <w:szCs w:val="21"/>
              </w:rPr>
            </w:pPr>
            <w:r>
              <w:rPr>
                <w:rFonts w:hint="eastAsia" w:ascii="楷体" w:hAnsi="楷体" w:eastAsia="楷体" w:cs="楷体"/>
                <w:sz w:val="21"/>
                <w:szCs w:val="21"/>
              </w:rPr>
              <w:t>参与单位名称及人员姓名</w:t>
            </w:r>
          </w:p>
        </w:tc>
        <w:tc>
          <w:tcPr>
            <w:tcW w:w="1083" w:type="dxa"/>
            <w:vAlign w:val="center"/>
          </w:tcPr>
          <w:p w14:paraId="51F5E8E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rPr>
              <w:t>人员</w:t>
            </w:r>
          </w:p>
        </w:tc>
        <w:tc>
          <w:tcPr>
            <w:tcW w:w="3093" w:type="dxa"/>
            <w:vAlign w:val="center"/>
          </w:tcPr>
          <w:p w14:paraId="61F50A3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rPr>
              <w:t>机构名称</w:t>
            </w:r>
          </w:p>
        </w:tc>
        <w:tc>
          <w:tcPr>
            <w:tcW w:w="1407" w:type="dxa"/>
            <w:vAlign w:val="center"/>
          </w:tcPr>
          <w:p w14:paraId="1096869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rPr>
              <w:t>人员</w:t>
            </w:r>
          </w:p>
        </w:tc>
        <w:tc>
          <w:tcPr>
            <w:tcW w:w="3396" w:type="dxa"/>
            <w:vAlign w:val="center"/>
          </w:tcPr>
          <w:p w14:paraId="79B67D8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rPr>
              <w:t>机构名称</w:t>
            </w:r>
          </w:p>
        </w:tc>
      </w:tr>
      <w:tr w14:paraId="609CF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2581C332">
            <w:pPr>
              <w:pStyle w:val="16"/>
              <w:spacing w:line="360" w:lineRule="auto"/>
              <w:ind w:left="107" w:right="96"/>
              <w:rPr>
                <w:rFonts w:ascii="楷体" w:hAnsi="楷体" w:eastAsia="楷体" w:cs="楷体"/>
                <w:sz w:val="21"/>
                <w:szCs w:val="21"/>
              </w:rPr>
            </w:pPr>
          </w:p>
        </w:tc>
        <w:tc>
          <w:tcPr>
            <w:tcW w:w="1083" w:type="dxa"/>
            <w:vAlign w:val="center"/>
          </w:tcPr>
          <w:p w14:paraId="4A9823D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郭建奇</w:t>
            </w:r>
          </w:p>
        </w:tc>
        <w:tc>
          <w:tcPr>
            <w:tcW w:w="3093" w:type="dxa"/>
            <w:vAlign w:val="center"/>
          </w:tcPr>
          <w:p w14:paraId="28655327">
            <w:pPr>
              <w:pStyle w:val="16"/>
              <w:spacing w:line="360" w:lineRule="auto"/>
              <w:ind w:left="107" w:right="96"/>
              <w:jc w:val="center"/>
              <w:rPr>
                <w:rFonts w:ascii="楷体" w:hAnsi="楷体" w:eastAsia="楷体" w:cs="楷体"/>
                <w:color w:val="000000"/>
                <w:sz w:val="21"/>
                <w:szCs w:val="21"/>
              </w:rPr>
            </w:pPr>
            <w:r>
              <w:rPr>
                <w:rFonts w:hint="eastAsia" w:ascii="楷体" w:hAnsi="楷体" w:eastAsia="楷体" w:cs="楷体"/>
                <w:color w:val="000000"/>
                <w:sz w:val="21"/>
                <w:szCs w:val="21"/>
                <w:lang w:val="en-US"/>
              </w:rPr>
              <w:t>天风证券</w:t>
            </w:r>
          </w:p>
        </w:tc>
        <w:tc>
          <w:tcPr>
            <w:tcW w:w="1407" w:type="dxa"/>
            <w:vAlign w:val="center"/>
          </w:tcPr>
          <w:p w14:paraId="55727B0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李绍程</w:t>
            </w:r>
          </w:p>
        </w:tc>
        <w:tc>
          <w:tcPr>
            <w:tcW w:w="3396" w:type="dxa"/>
            <w:vAlign w:val="center"/>
          </w:tcPr>
          <w:p w14:paraId="493111C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申万宏源</w:t>
            </w:r>
          </w:p>
        </w:tc>
      </w:tr>
      <w:tr w14:paraId="005FF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22903E95">
            <w:pPr>
              <w:pStyle w:val="16"/>
              <w:spacing w:line="360" w:lineRule="auto"/>
              <w:ind w:left="107" w:right="96"/>
              <w:rPr>
                <w:rFonts w:ascii="楷体" w:hAnsi="楷体" w:eastAsia="楷体" w:cs="楷体"/>
                <w:sz w:val="21"/>
                <w:szCs w:val="21"/>
              </w:rPr>
            </w:pPr>
          </w:p>
        </w:tc>
        <w:tc>
          <w:tcPr>
            <w:tcW w:w="1083" w:type="dxa"/>
            <w:vAlign w:val="center"/>
          </w:tcPr>
          <w:p w14:paraId="5DC2037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彭丹雪</w:t>
            </w:r>
          </w:p>
        </w:tc>
        <w:tc>
          <w:tcPr>
            <w:tcW w:w="3093" w:type="dxa"/>
            <w:vAlign w:val="center"/>
          </w:tcPr>
          <w:p w14:paraId="0E28D71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太平资产</w:t>
            </w:r>
          </w:p>
        </w:tc>
        <w:tc>
          <w:tcPr>
            <w:tcW w:w="1407" w:type="dxa"/>
            <w:vAlign w:val="center"/>
          </w:tcPr>
          <w:p w14:paraId="33E58C0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蒯小龙</w:t>
            </w:r>
          </w:p>
        </w:tc>
        <w:tc>
          <w:tcPr>
            <w:tcW w:w="3396" w:type="dxa"/>
            <w:vAlign w:val="center"/>
          </w:tcPr>
          <w:p w14:paraId="2EBC8DD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上海玖鹏资产</w:t>
            </w:r>
          </w:p>
        </w:tc>
      </w:tr>
      <w:tr w14:paraId="62D59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3E431BCA">
            <w:pPr>
              <w:pStyle w:val="16"/>
              <w:spacing w:line="360" w:lineRule="auto"/>
              <w:ind w:left="107" w:right="96"/>
              <w:rPr>
                <w:rFonts w:ascii="楷体" w:hAnsi="楷体" w:eastAsia="楷体" w:cs="楷体"/>
                <w:sz w:val="21"/>
                <w:szCs w:val="21"/>
              </w:rPr>
            </w:pPr>
          </w:p>
        </w:tc>
        <w:tc>
          <w:tcPr>
            <w:tcW w:w="1083" w:type="dxa"/>
            <w:vAlign w:val="center"/>
          </w:tcPr>
          <w:p w14:paraId="4436160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潘云姗</w:t>
            </w:r>
          </w:p>
        </w:tc>
        <w:tc>
          <w:tcPr>
            <w:tcW w:w="3093" w:type="dxa"/>
            <w:vAlign w:val="center"/>
          </w:tcPr>
          <w:p w14:paraId="29C19142">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广东恒健投资</w:t>
            </w:r>
          </w:p>
        </w:tc>
        <w:tc>
          <w:tcPr>
            <w:tcW w:w="1407" w:type="dxa"/>
            <w:vAlign w:val="center"/>
          </w:tcPr>
          <w:p w14:paraId="35B30DF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白照坤</w:t>
            </w:r>
          </w:p>
        </w:tc>
        <w:tc>
          <w:tcPr>
            <w:tcW w:w="3396" w:type="dxa"/>
            <w:vAlign w:val="center"/>
          </w:tcPr>
          <w:p w14:paraId="700FBC6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银华基金</w:t>
            </w:r>
          </w:p>
        </w:tc>
      </w:tr>
      <w:tr w14:paraId="30295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E433514">
            <w:pPr>
              <w:pStyle w:val="16"/>
              <w:spacing w:line="360" w:lineRule="auto"/>
              <w:ind w:left="107" w:right="96"/>
              <w:rPr>
                <w:rFonts w:ascii="楷体" w:hAnsi="楷体" w:eastAsia="楷体" w:cs="楷体"/>
                <w:sz w:val="21"/>
                <w:szCs w:val="21"/>
              </w:rPr>
            </w:pPr>
          </w:p>
        </w:tc>
        <w:tc>
          <w:tcPr>
            <w:tcW w:w="1083" w:type="dxa"/>
            <w:vAlign w:val="center"/>
          </w:tcPr>
          <w:p w14:paraId="00B29B1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缪逸冰</w:t>
            </w:r>
          </w:p>
        </w:tc>
        <w:tc>
          <w:tcPr>
            <w:tcW w:w="3093" w:type="dxa"/>
            <w:vAlign w:val="center"/>
          </w:tcPr>
          <w:p w14:paraId="7A4AEA1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融通基金</w:t>
            </w:r>
          </w:p>
        </w:tc>
        <w:tc>
          <w:tcPr>
            <w:tcW w:w="1407" w:type="dxa"/>
            <w:vAlign w:val="center"/>
          </w:tcPr>
          <w:p w14:paraId="33CE834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Liu Zhuo Yu</w:t>
            </w:r>
          </w:p>
        </w:tc>
        <w:tc>
          <w:tcPr>
            <w:tcW w:w="3396" w:type="dxa"/>
            <w:vAlign w:val="center"/>
          </w:tcPr>
          <w:p w14:paraId="7029BAC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韩国投资信托运用</w:t>
            </w:r>
          </w:p>
        </w:tc>
      </w:tr>
      <w:tr w14:paraId="0F217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BC0318F">
            <w:pPr>
              <w:pStyle w:val="16"/>
              <w:spacing w:line="360" w:lineRule="auto"/>
              <w:ind w:left="107" w:right="96"/>
              <w:rPr>
                <w:rFonts w:ascii="楷体" w:hAnsi="楷体" w:eastAsia="楷体" w:cs="楷体"/>
                <w:sz w:val="21"/>
                <w:szCs w:val="21"/>
              </w:rPr>
            </w:pPr>
          </w:p>
        </w:tc>
        <w:tc>
          <w:tcPr>
            <w:tcW w:w="1083" w:type="dxa"/>
            <w:vAlign w:val="center"/>
          </w:tcPr>
          <w:p w14:paraId="2EA45F9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袁帅</w:t>
            </w:r>
          </w:p>
        </w:tc>
        <w:tc>
          <w:tcPr>
            <w:tcW w:w="3093" w:type="dxa"/>
            <w:vAlign w:val="center"/>
          </w:tcPr>
          <w:p w14:paraId="02566A5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平安养老保险</w:t>
            </w:r>
          </w:p>
        </w:tc>
        <w:tc>
          <w:tcPr>
            <w:tcW w:w="1407" w:type="dxa"/>
            <w:vAlign w:val="center"/>
          </w:tcPr>
          <w:p w14:paraId="6183A53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刘毅</w:t>
            </w:r>
          </w:p>
        </w:tc>
        <w:tc>
          <w:tcPr>
            <w:tcW w:w="3396" w:type="dxa"/>
            <w:vAlign w:val="center"/>
          </w:tcPr>
          <w:p w14:paraId="52F9BAB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开源证券</w:t>
            </w:r>
          </w:p>
        </w:tc>
      </w:tr>
      <w:tr w14:paraId="50015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096BB0C6">
            <w:pPr>
              <w:pStyle w:val="16"/>
              <w:spacing w:line="360" w:lineRule="auto"/>
              <w:ind w:left="107" w:right="96"/>
              <w:rPr>
                <w:rFonts w:ascii="楷体" w:hAnsi="楷体" w:eastAsia="楷体" w:cs="楷体"/>
                <w:sz w:val="21"/>
                <w:szCs w:val="21"/>
              </w:rPr>
            </w:pPr>
          </w:p>
        </w:tc>
        <w:tc>
          <w:tcPr>
            <w:tcW w:w="1083" w:type="dxa"/>
            <w:vAlign w:val="center"/>
          </w:tcPr>
          <w:p w14:paraId="5146F60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金松</w:t>
            </w:r>
          </w:p>
        </w:tc>
        <w:tc>
          <w:tcPr>
            <w:tcW w:w="3093" w:type="dxa"/>
            <w:vAlign w:val="center"/>
          </w:tcPr>
          <w:p w14:paraId="7CCDAD3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鹏华基金</w:t>
            </w:r>
          </w:p>
        </w:tc>
        <w:tc>
          <w:tcPr>
            <w:tcW w:w="1407" w:type="dxa"/>
            <w:vAlign w:val="center"/>
          </w:tcPr>
          <w:p w14:paraId="23C9509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杜玙</w:t>
            </w:r>
          </w:p>
        </w:tc>
        <w:tc>
          <w:tcPr>
            <w:tcW w:w="3396" w:type="dxa"/>
            <w:vAlign w:val="center"/>
          </w:tcPr>
          <w:p w14:paraId="38CB563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天风证券</w:t>
            </w:r>
          </w:p>
        </w:tc>
      </w:tr>
      <w:tr w14:paraId="51EF2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1F7AA50">
            <w:pPr>
              <w:pStyle w:val="16"/>
              <w:spacing w:line="360" w:lineRule="auto"/>
              <w:ind w:left="107" w:right="96"/>
              <w:rPr>
                <w:rFonts w:ascii="楷体" w:hAnsi="楷体" w:eastAsia="楷体" w:cs="楷体"/>
                <w:sz w:val="21"/>
                <w:szCs w:val="21"/>
              </w:rPr>
            </w:pPr>
          </w:p>
        </w:tc>
        <w:tc>
          <w:tcPr>
            <w:tcW w:w="1083" w:type="dxa"/>
            <w:shd w:val="clear" w:color="auto" w:fill="auto"/>
            <w:vAlign w:val="center"/>
          </w:tcPr>
          <w:p w14:paraId="16B662F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马金龙</w:t>
            </w:r>
          </w:p>
        </w:tc>
        <w:tc>
          <w:tcPr>
            <w:tcW w:w="3093" w:type="dxa"/>
            <w:shd w:val="clear" w:color="auto" w:fill="auto"/>
            <w:vAlign w:val="center"/>
          </w:tcPr>
          <w:p w14:paraId="61EBBBF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上海胤胜资产</w:t>
            </w:r>
          </w:p>
        </w:tc>
        <w:tc>
          <w:tcPr>
            <w:tcW w:w="1407" w:type="dxa"/>
            <w:vAlign w:val="center"/>
          </w:tcPr>
          <w:p w14:paraId="68AD25F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陈烁</w:t>
            </w:r>
          </w:p>
        </w:tc>
        <w:tc>
          <w:tcPr>
            <w:tcW w:w="3396" w:type="dxa"/>
            <w:vAlign w:val="center"/>
          </w:tcPr>
          <w:p w14:paraId="268D645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信达澳亚基金</w:t>
            </w:r>
          </w:p>
        </w:tc>
      </w:tr>
      <w:tr w14:paraId="320A3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E74FE52">
            <w:pPr>
              <w:pStyle w:val="16"/>
              <w:spacing w:line="360" w:lineRule="auto"/>
              <w:ind w:left="107" w:right="96"/>
              <w:rPr>
                <w:rFonts w:ascii="楷体" w:hAnsi="楷体" w:eastAsia="楷体" w:cs="楷体"/>
                <w:sz w:val="21"/>
                <w:szCs w:val="21"/>
              </w:rPr>
            </w:pPr>
          </w:p>
        </w:tc>
        <w:tc>
          <w:tcPr>
            <w:tcW w:w="1083" w:type="dxa"/>
            <w:vAlign w:val="center"/>
          </w:tcPr>
          <w:p w14:paraId="02A5B4D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陆远兮</w:t>
            </w:r>
          </w:p>
        </w:tc>
        <w:tc>
          <w:tcPr>
            <w:tcW w:w="3093" w:type="dxa"/>
            <w:vAlign w:val="center"/>
          </w:tcPr>
          <w:p w14:paraId="7FA766C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工银安盛资产</w:t>
            </w:r>
          </w:p>
        </w:tc>
        <w:tc>
          <w:tcPr>
            <w:tcW w:w="1407" w:type="dxa"/>
            <w:vAlign w:val="center"/>
          </w:tcPr>
          <w:p w14:paraId="52D8F8B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许思敏</w:t>
            </w:r>
          </w:p>
        </w:tc>
        <w:tc>
          <w:tcPr>
            <w:tcW w:w="3396" w:type="dxa"/>
            <w:vAlign w:val="center"/>
          </w:tcPr>
          <w:p w14:paraId="3720355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申万菱信基金</w:t>
            </w:r>
          </w:p>
        </w:tc>
      </w:tr>
      <w:tr w14:paraId="7027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6712C55">
            <w:pPr>
              <w:pStyle w:val="16"/>
              <w:spacing w:line="360" w:lineRule="auto"/>
              <w:ind w:left="107" w:right="96"/>
              <w:rPr>
                <w:rFonts w:ascii="楷体" w:hAnsi="楷体" w:eastAsia="楷体" w:cs="楷体"/>
                <w:sz w:val="21"/>
                <w:szCs w:val="21"/>
              </w:rPr>
            </w:pPr>
          </w:p>
        </w:tc>
        <w:tc>
          <w:tcPr>
            <w:tcW w:w="1083" w:type="dxa"/>
            <w:vAlign w:val="center"/>
          </w:tcPr>
          <w:p w14:paraId="76F1F33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戴晨阳</w:t>
            </w:r>
          </w:p>
        </w:tc>
        <w:tc>
          <w:tcPr>
            <w:tcW w:w="3093" w:type="dxa"/>
            <w:vAlign w:val="center"/>
          </w:tcPr>
          <w:p w14:paraId="23CC691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浦银安盛基金</w:t>
            </w:r>
          </w:p>
        </w:tc>
        <w:tc>
          <w:tcPr>
            <w:tcW w:w="1407" w:type="dxa"/>
            <w:vAlign w:val="center"/>
          </w:tcPr>
          <w:p w14:paraId="121A112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周燕</w:t>
            </w:r>
          </w:p>
        </w:tc>
        <w:tc>
          <w:tcPr>
            <w:tcW w:w="3396" w:type="dxa"/>
            <w:vAlign w:val="center"/>
          </w:tcPr>
          <w:p w14:paraId="6FB9D3E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南华基金</w:t>
            </w:r>
          </w:p>
        </w:tc>
      </w:tr>
      <w:tr w14:paraId="02E8B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CE203DD">
            <w:pPr>
              <w:pStyle w:val="16"/>
              <w:spacing w:line="360" w:lineRule="auto"/>
              <w:ind w:left="107" w:right="96"/>
              <w:rPr>
                <w:rFonts w:ascii="楷体" w:hAnsi="楷体" w:eastAsia="楷体" w:cs="楷体"/>
                <w:sz w:val="21"/>
                <w:szCs w:val="21"/>
              </w:rPr>
            </w:pPr>
          </w:p>
        </w:tc>
        <w:tc>
          <w:tcPr>
            <w:tcW w:w="1083" w:type="dxa"/>
            <w:vAlign w:val="center"/>
          </w:tcPr>
          <w:p w14:paraId="79D58F0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张磊</w:t>
            </w:r>
          </w:p>
        </w:tc>
        <w:tc>
          <w:tcPr>
            <w:tcW w:w="3093" w:type="dxa"/>
            <w:vAlign w:val="center"/>
          </w:tcPr>
          <w:p w14:paraId="092DBF4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南方基金</w:t>
            </w:r>
          </w:p>
        </w:tc>
        <w:tc>
          <w:tcPr>
            <w:tcW w:w="1407" w:type="dxa"/>
            <w:vAlign w:val="center"/>
          </w:tcPr>
          <w:p w14:paraId="3AAA381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陆方</w:t>
            </w:r>
          </w:p>
        </w:tc>
        <w:tc>
          <w:tcPr>
            <w:tcW w:w="3396" w:type="dxa"/>
            <w:vAlign w:val="center"/>
          </w:tcPr>
          <w:p w14:paraId="581EBFB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上海国际信托</w:t>
            </w:r>
          </w:p>
        </w:tc>
      </w:tr>
      <w:tr w14:paraId="04BA7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6C422C33">
            <w:pPr>
              <w:pStyle w:val="16"/>
              <w:spacing w:line="360" w:lineRule="auto"/>
              <w:ind w:left="107" w:right="96"/>
              <w:rPr>
                <w:rFonts w:ascii="楷体" w:hAnsi="楷体" w:eastAsia="楷体" w:cs="楷体"/>
                <w:sz w:val="21"/>
                <w:szCs w:val="21"/>
              </w:rPr>
            </w:pPr>
          </w:p>
        </w:tc>
        <w:tc>
          <w:tcPr>
            <w:tcW w:w="1083" w:type="dxa"/>
            <w:vAlign w:val="center"/>
          </w:tcPr>
          <w:p w14:paraId="622BAC5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韩霄</w:t>
            </w:r>
          </w:p>
        </w:tc>
        <w:tc>
          <w:tcPr>
            <w:tcW w:w="3093" w:type="dxa"/>
            <w:vAlign w:val="center"/>
          </w:tcPr>
          <w:p w14:paraId="59FDD852">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华夏基金</w:t>
            </w:r>
          </w:p>
        </w:tc>
        <w:tc>
          <w:tcPr>
            <w:tcW w:w="1407" w:type="dxa"/>
            <w:vAlign w:val="center"/>
          </w:tcPr>
          <w:p w14:paraId="04A56D6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陈姗姗</w:t>
            </w:r>
          </w:p>
        </w:tc>
        <w:tc>
          <w:tcPr>
            <w:tcW w:w="3396" w:type="dxa"/>
            <w:vAlign w:val="center"/>
          </w:tcPr>
          <w:p w14:paraId="1549B4A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浙商证券股份</w:t>
            </w:r>
          </w:p>
        </w:tc>
      </w:tr>
      <w:tr w14:paraId="3134B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 w:hRule="atLeast"/>
          <w:jc w:val="center"/>
        </w:trPr>
        <w:tc>
          <w:tcPr>
            <w:tcW w:w="1648" w:type="dxa"/>
            <w:vMerge w:val="continue"/>
            <w:vAlign w:val="center"/>
          </w:tcPr>
          <w:p w14:paraId="68589992">
            <w:pPr>
              <w:pStyle w:val="16"/>
              <w:spacing w:line="360" w:lineRule="auto"/>
              <w:ind w:left="107" w:right="96"/>
              <w:rPr>
                <w:rFonts w:ascii="楷体" w:hAnsi="楷体" w:eastAsia="楷体" w:cs="楷体"/>
                <w:sz w:val="21"/>
                <w:szCs w:val="21"/>
              </w:rPr>
            </w:pPr>
          </w:p>
        </w:tc>
        <w:tc>
          <w:tcPr>
            <w:tcW w:w="1083" w:type="dxa"/>
            <w:vAlign w:val="center"/>
          </w:tcPr>
          <w:p w14:paraId="448A16E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毛文博</w:t>
            </w:r>
          </w:p>
        </w:tc>
        <w:tc>
          <w:tcPr>
            <w:tcW w:w="3093" w:type="dxa"/>
            <w:vAlign w:val="center"/>
          </w:tcPr>
          <w:p w14:paraId="3A9346D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华宝基金</w:t>
            </w:r>
          </w:p>
        </w:tc>
        <w:tc>
          <w:tcPr>
            <w:tcW w:w="1407" w:type="dxa"/>
            <w:vAlign w:val="center"/>
          </w:tcPr>
          <w:p w14:paraId="740E217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刘平</w:t>
            </w:r>
          </w:p>
        </w:tc>
        <w:tc>
          <w:tcPr>
            <w:tcW w:w="3396" w:type="dxa"/>
            <w:vAlign w:val="center"/>
          </w:tcPr>
          <w:p w14:paraId="7FB5F07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上海汐泰投资</w:t>
            </w:r>
          </w:p>
        </w:tc>
      </w:tr>
      <w:tr w14:paraId="7473A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30BCDAC2">
            <w:pPr>
              <w:pStyle w:val="16"/>
              <w:spacing w:line="360" w:lineRule="auto"/>
              <w:ind w:left="107" w:right="96"/>
              <w:rPr>
                <w:rFonts w:ascii="楷体" w:hAnsi="楷体" w:eastAsia="楷体" w:cs="楷体"/>
                <w:sz w:val="21"/>
                <w:szCs w:val="21"/>
              </w:rPr>
            </w:pPr>
          </w:p>
        </w:tc>
        <w:tc>
          <w:tcPr>
            <w:tcW w:w="1083" w:type="dxa"/>
            <w:vAlign w:val="center"/>
          </w:tcPr>
          <w:p w14:paraId="6074EC5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夏俊</w:t>
            </w:r>
          </w:p>
        </w:tc>
        <w:tc>
          <w:tcPr>
            <w:tcW w:w="3093" w:type="dxa"/>
            <w:vAlign w:val="center"/>
          </w:tcPr>
          <w:p w14:paraId="0102875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杭州弈宸私募基金</w:t>
            </w:r>
          </w:p>
        </w:tc>
        <w:tc>
          <w:tcPr>
            <w:tcW w:w="1407" w:type="dxa"/>
            <w:vAlign w:val="center"/>
          </w:tcPr>
          <w:p w14:paraId="1DB189F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于嘉馨</w:t>
            </w:r>
          </w:p>
        </w:tc>
        <w:tc>
          <w:tcPr>
            <w:tcW w:w="3396" w:type="dxa"/>
            <w:vAlign w:val="center"/>
          </w:tcPr>
          <w:p w14:paraId="0ACB6E5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银河基金</w:t>
            </w:r>
          </w:p>
        </w:tc>
      </w:tr>
      <w:tr w14:paraId="0CCA7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9FEF277">
            <w:pPr>
              <w:pStyle w:val="16"/>
              <w:spacing w:line="360" w:lineRule="auto"/>
              <w:ind w:left="107" w:right="96"/>
              <w:rPr>
                <w:rFonts w:ascii="楷体" w:hAnsi="楷体" w:eastAsia="楷体" w:cs="楷体"/>
                <w:sz w:val="21"/>
                <w:szCs w:val="21"/>
              </w:rPr>
            </w:pPr>
          </w:p>
        </w:tc>
        <w:tc>
          <w:tcPr>
            <w:tcW w:w="1083" w:type="dxa"/>
            <w:vAlign w:val="center"/>
          </w:tcPr>
          <w:p w14:paraId="3FE8255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张明烨</w:t>
            </w:r>
          </w:p>
        </w:tc>
        <w:tc>
          <w:tcPr>
            <w:tcW w:w="3093" w:type="dxa"/>
            <w:vAlign w:val="center"/>
          </w:tcPr>
          <w:p w14:paraId="0184607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信达澳亚基金</w:t>
            </w:r>
          </w:p>
        </w:tc>
        <w:tc>
          <w:tcPr>
            <w:tcW w:w="1407" w:type="dxa"/>
            <w:vAlign w:val="center"/>
          </w:tcPr>
          <w:p w14:paraId="1513DB0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杨明</w:t>
            </w:r>
          </w:p>
        </w:tc>
        <w:tc>
          <w:tcPr>
            <w:tcW w:w="3396" w:type="dxa"/>
            <w:vAlign w:val="center"/>
          </w:tcPr>
          <w:p w14:paraId="75A1D70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华安基金</w:t>
            </w:r>
          </w:p>
        </w:tc>
      </w:tr>
      <w:tr w14:paraId="24432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64C36F77">
            <w:pPr>
              <w:pStyle w:val="16"/>
              <w:spacing w:line="360" w:lineRule="auto"/>
              <w:ind w:left="107" w:right="96"/>
              <w:rPr>
                <w:rFonts w:ascii="楷体" w:hAnsi="楷体" w:eastAsia="楷体" w:cs="楷体"/>
                <w:sz w:val="21"/>
                <w:szCs w:val="21"/>
              </w:rPr>
            </w:pPr>
          </w:p>
        </w:tc>
        <w:tc>
          <w:tcPr>
            <w:tcW w:w="1083" w:type="dxa"/>
            <w:vAlign w:val="center"/>
          </w:tcPr>
          <w:p w14:paraId="2B32F35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刘更</w:t>
            </w:r>
          </w:p>
        </w:tc>
        <w:tc>
          <w:tcPr>
            <w:tcW w:w="3093" w:type="dxa"/>
            <w:vAlign w:val="center"/>
          </w:tcPr>
          <w:p w14:paraId="506D27C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厦门顺为有道投资</w:t>
            </w:r>
          </w:p>
        </w:tc>
        <w:tc>
          <w:tcPr>
            <w:tcW w:w="1407" w:type="dxa"/>
            <w:vAlign w:val="center"/>
          </w:tcPr>
          <w:p w14:paraId="328BE89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李晶玥</w:t>
            </w:r>
          </w:p>
        </w:tc>
        <w:tc>
          <w:tcPr>
            <w:tcW w:w="3396" w:type="dxa"/>
            <w:vAlign w:val="center"/>
          </w:tcPr>
          <w:p w14:paraId="3C9A440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东方证券股份</w:t>
            </w:r>
          </w:p>
        </w:tc>
      </w:tr>
      <w:tr w14:paraId="39A45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2D40DAA">
            <w:pPr>
              <w:pStyle w:val="16"/>
              <w:spacing w:line="360" w:lineRule="auto"/>
              <w:ind w:left="107" w:right="96"/>
              <w:rPr>
                <w:rFonts w:ascii="楷体" w:hAnsi="楷体" w:eastAsia="楷体" w:cs="楷体"/>
                <w:sz w:val="21"/>
                <w:szCs w:val="21"/>
              </w:rPr>
            </w:pPr>
          </w:p>
        </w:tc>
        <w:tc>
          <w:tcPr>
            <w:tcW w:w="1083" w:type="dxa"/>
            <w:vAlign w:val="center"/>
          </w:tcPr>
          <w:p w14:paraId="5DB6DF0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蔡仁飞</w:t>
            </w:r>
          </w:p>
        </w:tc>
        <w:tc>
          <w:tcPr>
            <w:tcW w:w="3093" w:type="dxa"/>
            <w:vAlign w:val="center"/>
          </w:tcPr>
          <w:p w14:paraId="5206AAD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上海兆天投资</w:t>
            </w:r>
          </w:p>
        </w:tc>
        <w:tc>
          <w:tcPr>
            <w:tcW w:w="1407" w:type="dxa"/>
            <w:vAlign w:val="center"/>
          </w:tcPr>
          <w:p w14:paraId="3C8FD6B2">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王黛丝</w:t>
            </w:r>
          </w:p>
        </w:tc>
        <w:tc>
          <w:tcPr>
            <w:tcW w:w="3396" w:type="dxa"/>
            <w:vAlign w:val="center"/>
          </w:tcPr>
          <w:p w14:paraId="460317D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巨杉(上海)资产</w:t>
            </w:r>
          </w:p>
        </w:tc>
      </w:tr>
      <w:tr w14:paraId="23E36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0491B3AD">
            <w:pPr>
              <w:pStyle w:val="16"/>
              <w:spacing w:line="360" w:lineRule="auto"/>
              <w:ind w:left="107" w:right="96"/>
              <w:rPr>
                <w:rFonts w:ascii="楷体" w:hAnsi="楷体" w:eastAsia="楷体" w:cs="楷体"/>
                <w:sz w:val="21"/>
                <w:szCs w:val="21"/>
              </w:rPr>
            </w:pPr>
          </w:p>
        </w:tc>
        <w:tc>
          <w:tcPr>
            <w:tcW w:w="1083" w:type="dxa"/>
            <w:vAlign w:val="center"/>
          </w:tcPr>
          <w:p w14:paraId="0D10844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帅瑞韬</w:t>
            </w:r>
          </w:p>
        </w:tc>
        <w:tc>
          <w:tcPr>
            <w:tcW w:w="3093" w:type="dxa"/>
            <w:vAlign w:val="center"/>
          </w:tcPr>
          <w:p w14:paraId="4AE6D14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德邦基金</w:t>
            </w:r>
          </w:p>
        </w:tc>
        <w:tc>
          <w:tcPr>
            <w:tcW w:w="1407" w:type="dxa"/>
            <w:vAlign w:val="center"/>
          </w:tcPr>
          <w:p w14:paraId="4FC49CA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刘璐丹</w:t>
            </w:r>
          </w:p>
        </w:tc>
        <w:tc>
          <w:tcPr>
            <w:tcW w:w="3396" w:type="dxa"/>
            <w:vAlign w:val="center"/>
          </w:tcPr>
          <w:p w14:paraId="46217B52">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兴业证券股份</w:t>
            </w:r>
          </w:p>
        </w:tc>
      </w:tr>
      <w:tr w14:paraId="79354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9887646">
            <w:pPr>
              <w:pStyle w:val="16"/>
              <w:spacing w:line="360" w:lineRule="auto"/>
              <w:ind w:left="107" w:right="96"/>
              <w:rPr>
                <w:rFonts w:ascii="楷体" w:hAnsi="楷体" w:eastAsia="楷体" w:cs="楷体"/>
                <w:sz w:val="21"/>
                <w:szCs w:val="21"/>
              </w:rPr>
            </w:pPr>
          </w:p>
        </w:tc>
        <w:tc>
          <w:tcPr>
            <w:tcW w:w="1083" w:type="dxa"/>
            <w:vAlign w:val="center"/>
          </w:tcPr>
          <w:p w14:paraId="329F4FA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薛余来</w:t>
            </w:r>
          </w:p>
        </w:tc>
        <w:tc>
          <w:tcPr>
            <w:tcW w:w="3093" w:type="dxa"/>
            <w:vAlign w:val="center"/>
          </w:tcPr>
          <w:p w14:paraId="09965A2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天风证券</w:t>
            </w:r>
          </w:p>
        </w:tc>
        <w:tc>
          <w:tcPr>
            <w:tcW w:w="1407" w:type="dxa"/>
            <w:vAlign w:val="center"/>
          </w:tcPr>
          <w:p w14:paraId="0B3254C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孙磊</w:t>
            </w:r>
          </w:p>
        </w:tc>
        <w:tc>
          <w:tcPr>
            <w:tcW w:w="3396" w:type="dxa"/>
            <w:vAlign w:val="center"/>
          </w:tcPr>
          <w:p w14:paraId="25420362">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红思客资产管理</w:t>
            </w:r>
          </w:p>
        </w:tc>
      </w:tr>
      <w:tr w14:paraId="0F990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672F8053">
            <w:pPr>
              <w:pStyle w:val="16"/>
              <w:spacing w:line="360" w:lineRule="auto"/>
              <w:ind w:left="107" w:right="96"/>
              <w:rPr>
                <w:rFonts w:ascii="楷体" w:hAnsi="楷体" w:eastAsia="楷体" w:cs="楷体"/>
                <w:sz w:val="21"/>
                <w:szCs w:val="21"/>
              </w:rPr>
            </w:pPr>
          </w:p>
        </w:tc>
        <w:tc>
          <w:tcPr>
            <w:tcW w:w="1083" w:type="dxa"/>
            <w:vAlign w:val="center"/>
          </w:tcPr>
          <w:p w14:paraId="1E59575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张响东</w:t>
            </w:r>
          </w:p>
        </w:tc>
        <w:tc>
          <w:tcPr>
            <w:tcW w:w="3093" w:type="dxa"/>
            <w:vAlign w:val="center"/>
          </w:tcPr>
          <w:p w14:paraId="2A3054B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中银基金</w:t>
            </w:r>
          </w:p>
        </w:tc>
        <w:tc>
          <w:tcPr>
            <w:tcW w:w="1407" w:type="dxa"/>
            <w:vAlign w:val="center"/>
          </w:tcPr>
          <w:p w14:paraId="1105483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梁振霆</w:t>
            </w:r>
          </w:p>
        </w:tc>
        <w:tc>
          <w:tcPr>
            <w:tcW w:w="3396" w:type="dxa"/>
            <w:vAlign w:val="center"/>
          </w:tcPr>
          <w:p w14:paraId="1354657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中国国际金融股份</w:t>
            </w:r>
          </w:p>
        </w:tc>
      </w:tr>
      <w:tr w14:paraId="2A0A7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686AF25">
            <w:pPr>
              <w:pStyle w:val="16"/>
              <w:spacing w:line="360" w:lineRule="auto"/>
              <w:ind w:left="107" w:right="96"/>
              <w:rPr>
                <w:rFonts w:ascii="楷体" w:hAnsi="楷体" w:eastAsia="楷体" w:cs="楷体"/>
                <w:sz w:val="21"/>
                <w:szCs w:val="21"/>
              </w:rPr>
            </w:pPr>
          </w:p>
        </w:tc>
        <w:tc>
          <w:tcPr>
            <w:tcW w:w="1083" w:type="dxa"/>
            <w:vAlign w:val="center"/>
          </w:tcPr>
          <w:p w14:paraId="3518096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田元泉</w:t>
            </w:r>
          </w:p>
        </w:tc>
        <w:tc>
          <w:tcPr>
            <w:tcW w:w="3093" w:type="dxa"/>
            <w:vAlign w:val="center"/>
          </w:tcPr>
          <w:p w14:paraId="67191ED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建信基金管理</w:t>
            </w:r>
          </w:p>
        </w:tc>
        <w:tc>
          <w:tcPr>
            <w:tcW w:w="1407" w:type="dxa"/>
            <w:vAlign w:val="center"/>
          </w:tcPr>
          <w:p w14:paraId="316DC8E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徐志谋</w:t>
            </w:r>
          </w:p>
        </w:tc>
        <w:tc>
          <w:tcPr>
            <w:tcW w:w="3396" w:type="dxa"/>
            <w:vAlign w:val="center"/>
          </w:tcPr>
          <w:p w14:paraId="6500AC1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瑞达基金</w:t>
            </w:r>
          </w:p>
        </w:tc>
      </w:tr>
      <w:tr w14:paraId="26207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9E031B1">
            <w:pPr>
              <w:pStyle w:val="16"/>
              <w:spacing w:line="360" w:lineRule="auto"/>
              <w:ind w:left="107" w:right="96"/>
              <w:rPr>
                <w:rFonts w:ascii="楷体" w:hAnsi="楷体" w:eastAsia="楷体" w:cs="楷体"/>
                <w:sz w:val="21"/>
                <w:szCs w:val="21"/>
              </w:rPr>
            </w:pPr>
          </w:p>
        </w:tc>
        <w:tc>
          <w:tcPr>
            <w:tcW w:w="1083" w:type="dxa"/>
            <w:vAlign w:val="center"/>
          </w:tcPr>
          <w:p w14:paraId="79E386B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都逸敏</w:t>
            </w:r>
          </w:p>
        </w:tc>
        <w:tc>
          <w:tcPr>
            <w:tcW w:w="3093" w:type="dxa"/>
            <w:vAlign w:val="center"/>
          </w:tcPr>
          <w:p w14:paraId="3D3CE9F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南方基金</w:t>
            </w:r>
          </w:p>
        </w:tc>
        <w:tc>
          <w:tcPr>
            <w:tcW w:w="1407" w:type="dxa"/>
            <w:vAlign w:val="center"/>
          </w:tcPr>
          <w:p w14:paraId="1787913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刘勇</w:t>
            </w:r>
          </w:p>
        </w:tc>
        <w:tc>
          <w:tcPr>
            <w:tcW w:w="3396" w:type="dxa"/>
            <w:vAlign w:val="center"/>
          </w:tcPr>
          <w:p w14:paraId="48B1356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光大证券股份（自营）</w:t>
            </w:r>
          </w:p>
        </w:tc>
      </w:tr>
      <w:tr w14:paraId="4E05A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CE7E71E">
            <w:pPr>
              <w:pStyle w:val="16"/>
              <w:spacing w:line="360" w:lineRule="auto"/>
              <w:ind w:left="107" w:right="96"/>
              <w:rPr>
                <w:rFonts w:ascii="楷体" w:hAnsi="楷体" w:eastAsia="楷体" w:cs="楷体"/>
                <w:sz w:val="21"/>
                <w:szCs w:val="21"/>
              </w:rPr>
            </w:pPr>
          </w:p>
        </w:tc>
        <w:tc>
          <w:tcPr>
            <w:tcW w:w="1083" w:type="dxa"/>
            <w:vAlign w:val="center"/>
          </w:tcPr>
          <w:p w14:paraId="07F6B19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赵蓬</w:t>
            </w:r>
          </w:p>
        </w:tc>
        <w:tc>
          <w:tcPr>
            <w:tcW w:w="3093" w:type="dxa"/>
            <w:vAlign w:val="center"/>
          </w:tcPr>
          <w:p w14:paraId="4091F7E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大成基金</w:t>
            </w:r>
          </w:p>
        </w:tc>
        <w:tc>
          <w:tcPr>
            <w:tcW w:w="1407" w:type="dxa"/>
            <w:vAlign w:val="center"/>
          </w:tcPr>
          <w:p w14:paraId="1A998E6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陈冠雄</w:t>
            </w:r>
          </w:p>
        </w:tc>
        <w:tc>
          <w:tcPr>
            <w:tcW w:w="3396" w:type="dxa"/>
            <w:vAlign w:val="center"/>
          </w:tcPr>
          <w:p w14:paraId="50CD16B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中银国际证券股份</w:t>
            </w:r>
          </w:p>
        </w:tc>
      </w:tr>
      <w:tr w14:paraId="50CED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6FC4846">
            <w:pPr>
              <w:pStyle w:val="16"/>
              <w:spacing w:line="360" w:lineRule="auto"/>
              <w:ind w:left="107" w:right="96"/>
              <w:rPr>
                <w:rFonts w:ascii="楷体" w:hAnsi="楷体" w:eastAsia="楷体" w:cs="楷体"/>
                <w:sz w:val="21"/>
                <w:szCs w:val="21"/>
              </w:rPr>
            </w:pPr>
          </w:p>
        </w:tc>
        <w:tc>
          <w:tcPr>
            <w:tcW w:w="1083" w:type="dxa"/>
            <w:vAlign w:val="center"/>
          </w:tcPr>
          <w:p w14:paraId="252C8A4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郭嘉</w:t>
            </w:r>
          </w:p>
        </w:tc>
        <w:tc>
          <w:tcPr>
            <w:tcW w:w="3093" w:type="dxa"/>
            <w:vAlign w:val="center"/>
          </w:tcPr>
          <w:p w14:paraId="2645097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海南神采私募基金</w:t>
            </w:r>
          </w:p>
        </w:tc>
        <w:tc>
          <w:tcPr>
            <w:tcW w:w="1407" w:type="dxa"/>
            <w:vAlign w:val="center"/>
          </w:tcPr>
          <w:p w14:paraId="14F118A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王莎</w:t>
            </w:r>
          </w:p>
        </w:tc>
        <w:tc>
          <w:tcPr>
            <w:tcW w:w="3396" w:type="dxa"/>
            <w:vAlign w:val="center"/>
          </w:tcPr>
          <w:p w14:paraId="48CC199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华夏理财</w:t>
            </w:r>
          </w:p>
        </w:tc>
      </w:tr>
      <w:tr w14:paraId="2FCC9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0F187766">
            <w:pPr>
              <w:pStyle w:val="16"/>
              <w:spacing w:line="360" w:lineRule="auto"/>
              <w:ind w:left="107" w:right="96"/>
              <w:rPr>
                <w:rFonts w:ascii="楷体" w:hAnsi="楷体" w:eastAsia="楷体" w:cs="楷体"/>
                <w:sz w:val="21"/>
                <w:szCs w:val="21"/>
              </w:rPr>
            </w:pPr>
          </w:p>
        </w:tc>
        <w:tc>
          <w:tcPr>
            <w:tcW w:w="1083" w:type="dxa"/>
            <w:vAlign w:val="center"/>
          </w:tcPr>
          <w:p w14:paraId="28D8C10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陈林海</w:t>
            </w:r>
          </w:p>
        </w:tc>
        <w:tc>
          <w:tcPr>
            <w:tcW w:w="3093" w:type="dxa"/>
            <w:vAlign w:val="center"/>
          </w:tcPr>
          <w:p w14:paraId="46A99CB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海富通基金</w:t>
            </w:r>
          </w:p>
        </w:tc>
        <w:tc>
          <w:tcPr>
            <w:tcW w:w="1407" w:type="dxa"/>
            <w:vAlign w:val="center"/>
          </w:tcPr>
          <w:p w14:paraId="38A3C54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程驰</w:t>
            </w:r>
          </w:p>
        </w:tc>
        <w:tc>
          <w:tcPr>
            <w:tcW w:w="3396" w:type="dxa"/>
            <w:vAlign w:val="center"/>
          </w:tcPr>
          <w:p w14:paraId="074633D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招银理财</w:t>
            </w:r>
          </w:p>
        </w:tc>
      </w:tr>
      <w:tr w14:paraId="46617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3523D19">
            <w:pPr>
              <w:pStyle w:val="16"/>
              <w:spacing w:line="360" w:lineRule="auto"/>
              <w:ind w:left="107" w:right="96"/>
              <w:rPr>
                <w:rFonts w:ascii="楷体" w:hAnsi="楷体" w:eastAsia="楷体" w:cs="楷体"/>
                <w:sz w:val="21"/>
                <w:szCs w:val="21"/>
              </w:rPr>
            </w:pPr>
          </w:p>
        </w:tc>
        <w:tc>
          <w:tcPr>
            <w:tcW w:w="1083" w:type="dxa"/>
            <w:vAlign w:val="center"/>
          </w:tcPr>
          <w:p w14:paraId="6447ADC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吕品洁</w:t>
            </w:r>
          </w:p>
        </w:tc>
        <w:tc>
          <w:tcPr>
            <w:tcW w:w="3093" w:type="dxa"/>
            <w:vAlign w:val="center"/>
          </w:tcPr>
          <w:p w14:paraId="731A67D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中国人寿养老保险股份</w:t>
            </w:r>
          </w:p>
        </w:tc>
        <w:tc>
          <w:tcPr>
            <w:tcW w:w="1407" w:type="dxa"/>
            <w:vAlign w:val="center"/>
          </w:tcPr>
          <w:p w14:paraId="1A609F3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樊益静</w:t>
            </w:r>
          </w:p>
        </w:tc>
        <w:tc>
          <w:tcPr>
            <w:tcW w:w="3396" w:type="dxa"/>
            <w:vAlign w:val="center"/>
          </w:tcPr>
          <w:p w14:paraId="17F0A07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华鑫证券</w:t>
            </w:r>
          </w:p>
        </w:tc>
      </w:tr>
      <w:tr w14:paraId="36098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63DA311">
            <w:pPr>
              <w:pStyle w:val="16"/>
              <w:spacing w:line="360" w:lineRule="auto"/>
              <w:ind w:left="107" w:right="96"/>
              <w:rPr>
                <w:rFonts w:ascii="楷体" w:hAnsi="楷体" w:eastAsia="楷体" w:cs="楷体"/>
                <w:sz w:val="21"/>
                <w:szCs w:val="21"/>
              </w:rPr>
            </w:pPr>
          </w:p>
        </w:tc>
        <w:tc>
          <w:tcPr>
            <w:tcW w:w="1083" w:type="dxa"/>
            <w:vAlign w:val="center"/>
          </w:tcPr>
          <w:p w14:paraId="74722172">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傅奕翔</w:t>
            </w:r>
          </w:p>
        </w:tc>
        <w:tc>
          <w:tcPr>
            <w:tcW w:w="3093" w:type="dxa"/>
            <w:vAlign w:val="center"/>
          </w:tcPr>
          <w:p w14:paraId="3762514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上海东方证券资产</w:t>
            </w:r>
          </w:p>
        </w:tc>
        <w:tc>
          <w:tcPr>
            <w:tcW w:w="1407" w:type="dxa"/>
            <w:vAlign w:val="center"/>
          </w:tcPr>
          <w:p w14:paraId="34618E2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张倩</w:t>
            </w:r>
          </w:p>
        </w:tc>
        <w:tc>
          <w:tcPr>
            <w:tcW w:w="3396" w:type="dxa"/>
            <w:vAlign w:val="center"/>
          </w:tcPr>
          <w:p w14:paraId="2D4CA8E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高林资本</w:t>
            </w:r>
          </w:p>
        </w:tc>
      </w:tr>
      <w:tr w14:paraId="25097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D491532">
            <w:pPr>
              <w:pStyle w:val="16"/>
              <w:spacing w:line="360" w:lineRule="auto"/>
              <w:ind w:left="107" w:right="96"/>
              <w:rPr>
                <w:rFonts w:ascii="楷体" w:hAnsi="楷体" w:eastAsia="楷体" w:cs="楷体"/>
                <w:sz w:val="21"/>
                <w:szCs w:val="21"/>
              </w:rPr>
            </w:pPr>
          </w:p>
        </w:tc>
        <w:tc>
          <w:tcPr>
            <w:tcW w:w="1083" w:type="dxa"/>
            <w:vAlign w:val="center"/>
          </w:tcPr>
          <w:p w14:paraId="6F305A9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张小郭</w:t>
            </w:r>
          </w:p>
        </w:tc>
        <w:tc>
          <w:tcPr>
            <w:tcW w:w="3093" w:type="dxa"/>
            <w:vAlign w:val="center"/>
          </w:tcPr>
          <w:p w14:paraId="15AC238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创金合信基金</w:t>
            </w:r>
          </w:p>
        </w:tc>
        <w:tc>
          <w:tcPr>
            <w:tcW w:w="1407" w:type="dxa"/>
            <w:vAlign w:val="center"/>
          </w:tcPr>
          <w:p w14:paraId="47110CB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洪少猛</w:t>
            </w:r>
          </w:p>
        </w:tc>
        <w:tc>
          <w:tcPr>
            <w:tcW w:w="3396" w:type="dxa"/>
            <w:vAlign w:val="center"/>
          </w:tcPr>
          <w:p w14:paraId="0F5070F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苏州景千投资</w:t>
            </w:r>
          </w:p>
        </w:tc>
      </w:tr>
      <w:tr w14:paraId="4882D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31E0B08A">
            <w:pPr>
              <w:pStyle w:val="16"/>
              <w:spacing w:line="360" w:lineRule="auto"/>
              <w:ind w:left="107" w:right="96"/>
              <w:rPr>
                <w:rFonts w:ascii="楷体" w:hAnsi="楷体" w:eastAsia="楷体" w:cs="楷体"/>
                <w:sz w:val="21"/>
                <w:szCs w:val="21"/>
              </w:rPr>
            </w:pPr>
          </w:p>
        </w:tc>
        <w:tc>
          <w:tcPr>
            <w:tcW w:w="1083" w:type="dxa"/>
            <w:vAlign w:val="center"/>
          </w:tcPr>
          <w:p w14:paraId="5F0C7DD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陈峰</w:t>
            </w:r>
          </w:p>
        </w:tc>
        <w:tc>
          <w:tcPr>
            <w:tcW w:w="3093" w:type="dxa"/>
            <w:vAlign w:val="center"/>
          </w:tcPr>
          <w:p w14:paraId="46F04E2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世纪证券</w:t>
            </w:r>
          </w:p>
        </w:tc>
        <w:tc>
          <w:tcPr>
            <w:tcW w:w="1407" w:type="dxa"/>
            <w:vAlign w:val="center"/>
          </w:tcPr>
          <w:p w14:paraId="1DDE50B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边鑫</w:t>
            </w:r>
          </w:p>
        </w:tc>
        <w:tc>
          <w:tcPr>
            <w:tcW w:w="3396" w:type="dxa"/>
            <w:vAlign w:val="center"/>
          </w:tcPr>
          <w:p w14:paraId="6862AC6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安联保险资产</w:t>
            </w:r>
          </w:p>
        </w:tc>
      </w:tr>
      <w:tr w14:paraId="569D8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D5AAE13">
            <w:pPr>
              <w:pStyle w:val="16"/>
              <w:spacing w:line="360" w:lineRule="auto"/>
              <w:ind w:left="107" w:right="96"/>
              <w:rPr>
                <w:rFonts w:ascii="楷体" w:hAnsi="楷体" w:eastAsia="楷体" w:cs="楷体"/>
                <w:sz w:val="21"/>
                <w:szCs w:val="21"/>
              </w:rPr>
            </w:pPr>
          </w:p>
        </w:tc>
        <w:tc>
          <w:tcPr>
            <w:tcW w:w="1083" w:type="dxa"/>
            <w:vAlign w:val="center"/>
          </w:tcPr>
          <w:p w14:paraId="154FCAB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肖意生</w:t>
            </w:r>
          </w:p>
        </w:tc>
        <w:tc>
          <w:tcPr>
            <w:tcW w:w="3093" w:type="dxa"/>
            <w:vAlign w:val="center"/>
          </w:tcPr>
          <w:p w14:paraId="1425FAD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世纪证券</w:t>
            </w:r>
          </w:p>
        </w:tc>
        <w:tc>
          <w:tcPr>
            <w:tcW w:w="1407" w:type="dxa"/>
            <w:vAlign w:val="center"/>
          </w:tcPr>
          <w:p w14:paraId="05951E9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张伟光</w:t>
            </w:r>
          </w:p>
        </w:tc>
        <w:tc>
          <w:tcPr>
            <w:tcW w:w="3396" w:type="dxa"/>
            <w:vAlign w:val="center"/>
          </w:tcPr>
          <w:p w14:paraId="4B8BD91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上海知曜私募基金</w:t>
            </w:r>
          </w:p>
        </w:tc>
      </w:tr>
      <w:tr w14:paraId="58A99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6A604DC">
            <w:pPr>
              <w:pStyle w:val="16"/>
              <w:spacing w:line="360" w:lineRule="auto"/>
              <w:ind w:left="107" w:right="96"/>
              <w:rPr>
                <w:rFonts w:ascii="楷体" w:hAnsi="楷体" w:eastAsia="楷体" w:cs="楷体"/>
                <w:sz w:val="21"/>
                <w:szCs w:val="21"/>
              </w:rPr>
            </w:pPr>
          </w:p>
        </w:tc>
        <w:tc>
          <w:tcPr>
            <w:tcW w:w="1083" w:type="dxa"/>
            <w:vAlign w:val="center"/>
          </w:tcPr>
          <w:p w14:paraId="0AC06EF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文康</w:t>
            </w:r>
          </w:p>
        </w:tc>
        <w:tc>
          <w:tcPr>
            <w:tcW w:w="3093" w:type="dxa"/>
            <w:vAlign w:val="center"/>
          </w:tcPr>
          <w:p w14:paraId="286AA9D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华安基金</w:t>
            </w:r>
          </w:p>
        </w:tc>
        <w:tc>
          <w:tcPr>
            <w:tcW w:w="1407" w:type="dxa"/>
            <w:vAlign w:val="center"/>
          </w:tcPr>
          <w:p w14:paraId="6F3D1A2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石浩</w:t>
            </w:r>
          </w:p>
        </w:tc>
        <w:tc>
          <w:tcPr>
            <w:tcW w:w="3396" w:type="dxa"/>
            <w:vAlign w:val="center"/>
          </w:tcPr>
          <w:p w14:paraId="0300814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上海歌汝私募基金</w:t>
            </w:r>
          </w:p>
        </w:tc>
      </w:tr>
      <w:tr w14:paraId="7F7DF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3B3244A9">
            <w:pPr>
              <w:pStyle w:val="16"/>
              <w:spacing w:line="360" w:lineRule="auto"/>
              <w:ind w:left="107" w:right="96"/>
              <w:rPr>
                <w:rFonts w:ascii="楷体" w:hAnsi="楷体" w:eastAsia="楷体" w:cs="楷体"/>
                <w:sz w:val="21"/>
                <w:szCs w:val="21"/>
              </w:rPr>
            </w:pPr>
          </w:p>
        </w:tc>
        <w:tc>
          <w:tcPr>
            <w:tcW w:w="1083" w:type="dxa"/>
            <w:vAlign w:val="center"/>
          </w:tcPr>
          <w:p w14:paraId="7A99027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李楠竹</w:t>
            </w:r>
          </w:p>
        </w:tc>
        <w:tc>
          <w:tcPr>
            <w:tcW w:w="3093" w:type="dxa"/>
            <w:vAlign w:val="center"/>
          </w:tcPr>
          <w:p w14:paraId="143D600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兴证全球基金</w:t>
            </w:r>
          </w:p>
        </w:tc>
        <w:tc>
          <w:tcPr>
            <w:tcW w:w="1407" w:type="dxa"/>
            <w:vAlign w:val="center"/>
          </w:tcPr>
          <w:p w14:paraId="2289EE0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黄秋实</w:t>
            </w:r>
          </w:p>
        </w:tc>
        <w:tc>
          <w:tcPr>
            <w:tcW w:w="3396" w:type="dxa"/>
            <w:vAlign w:val="center"/>
          </w:tcPr>
          <w:p w14:paraId="65BD9F9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北京国有资本运营</w:t>
            </w:r>
          </w:p>
        </w:tc>
      </w:tr>
      <w:tr w14:paraId="3FCD1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FC4D7DF">
            <w:pPr>
              <w:pStyle w:val="16"/>
              <w:spacing w:line="360" w:lineRule="auto"/>
              <w:ind w:left="107" w:right="96"/>
              <w:rPr>
                <w:rFonts w:ascii="楷体" w:hAnsi="楷体" w:eastAsia="楷体" w:cs="楷体"/>
                <w:sz w:val="21"/>
                <w:szCs w:val="21"/>
              </w:rPr>
            </w:pPr>
          </w:p>
        </w:tc>
        <w:tc>
          <w:tcPr>
            <w:tcW w:w="1083" w:type="dxa"/>
            <w:vAlign w:val="center"/>
          </w:tcPr>
          <w:p w14:paraId="0BC87CA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武磊</w:t>
            </w:r>
          </w:p>
        </w:tc>
        <w:tc>
          <w:tcPr>
            <w:tcW w:w="3093" w:type="dxa"/>
            <w:vAlign w:val="center"/>
          </w:tcPr>
          <w:p w14:paraId="087860C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富国基金</w:t>
            </w:r>
          </w:p>
        </w:tc>
        <w:tc>
          <w:tcPr>
            <w:tcW w:w="1407" w:type="dxa"/>
            <w:vAlign w:val="center"/>
          </w:tcPr>
          <w:p w14:paraId="1DFEF53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陈俊哲</w:t>
            </w:r>
          </w:p>
        </w:tc>
        <w:tc>
          <w:tcPr>
            <w:tcW w:w="3396" w:type="dxa"/>
            <w:vAlign w:val="center"/>
          </w:tcPr>
          <w:p w14:paraId="5F3C7CE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兴业证券股份</w:t>
            </w:r>
          </w:p>
        </w:tc>
      </w:tr>
      <w:tr w14:paraId="57424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0443940">
            <w:pPr>
              <w:pStyle w:val="16"/>
              <w:spacing w:line="360" w:lineRule="auto"/>
              <w:ind w:left="107" w:right="96"/>
              <w:rPr>
                <w:rFonts w:ascii="楷体" w:hAnsi="楷体" w:eastAsia="楷体" w:cs="楷体"/>
                <w:sz w:val="21"/>
                <w:szCs w:val="21"/>
              </w:rPr>
            </w:pPr>
          </w:p>
        </w:tc>
        <w:tc>
          <w:tcPr>
            <w:tcW w:w="1083" w:type="dxa"/>
            <w:vAlign w:val="center"/>
          </w:tcPr>
          <w:p w14:paraId="68F805F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藕文</w:t>
            </w:r>
          </w:p>
        </w:tc>
        <w:tc>
          <w:tcPr>
            <w:tcW w:w="3093" w:type="dxa"/>
            <w:vAlign w:val="center"/>
          </w:tcPr>
          <w:p w14:paraId="042D356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信银理财</w:t>
            </w:r>
          </w:p>
        </w:tc>
        <w:tc>
          <w:tcPr>
            <w:tcW w:w="1407" w:type="dxa"/>
            <w:vAlign w:val="center"/>
          </w:tcPr>
          <w:p w14:paraId="5C745BE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姜泽甜</w:t>
            </w:r>
          </w:p>
        </w:tc>
        <w:tc>
          <w:tcPr>
            <w:tcW w:w="3396" w:type="dxa"/>
            <w:vAlign w:val="center"/>
          </w:tcPr>
          <w:p w14:paraId="613BB90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中哲能源化工</w:t>
            </w:r>
          </w:p>
        </w:tc>
      </w:tr>
      <w:tr w14:paraId="37425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9683426">
            <w:pPr>
              <w:pStyle w:val="16"/>
              <w:spacing w:line="360" w:lineRule="auto"/>
              <w:ind w:left="107" w:right="96"/>
              <w:rPr>
                <w:rFonts w:ascii="楷体" w:hAnsi="楷体" w:eastAsia="楷体" w:cs="楷体"/>
                <w:sz w:val="21"/>
                <w:szCs w:val="21"/>
              </w:rPr>
            </w:pPr>
          </w:p>
        </w:tc>
        <w:tc>
          <w:tcPr>
            <w:tcW w:w="1083" w:type="dxa"/>
            <w:vAlign w:val="center"/>
          </w:tcPr>
          <w:p w14:paraId="771CD05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王卓立</w:t>
            </w:r>
          </w:p>
        </w:tc>
        <w:tc>
          <w:tcPr>
            <w:tcW w:w="3093" w:type="dxa"/>
            <w:vAlign w:val="center"/>
          </w:tcPr>
          <w:p w14:paraId="2006F7F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富国基金</w:t>
            </w:r>
          </w:p>
        </w:tc>
        <w:tc>
          <w:tcPr>
            <w:tcW w:w="1407" w:type="dxa"/>
            <w:vAlign w:val="center"/>
          </w:tcPr>
          <w:p w14:paraId="4EE0262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刘艾珠</w:t>
            </w:r>
          </w:p>
        </w:tc>
        <w:tc>
          <w:tcPr>
            <w:tcW w:w="3396" w:type="dxa"/>
            <w:vAlign w:val="center"/>
          </w:tcPr>
          <w:p w14:paraId="1933542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杭银理财</w:t>
            </w:r>
          </w:p>
        </w:tc>
      </w:tr>
      <w:tr w14:paraId="03621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60B0DCE">
            <w:pPr>
              <w:pStyle w:val="16"/>
              <w:spacing w:line="360" w:lineRule="auto"/>
              <w:ind w:left="107" w:right="96"/>
              <w:rPr>
                <w:rFonts w:ascii="楷体" w:hAnsi="楷体" w:eastAsia="楷体" w:cs="楷体"/>
                <w:sz w:val="21"/>
                <w:szCs w:val="21"/>
              </w:rPr>
            </w:pPr>
          </w:p>
        </w:tc>
        <w:tc>
          <w:tcPr>
            <w:tcW w:w="1083" w:type="dxa"/>
            <w:vAlign w:val="center"/>
          </w:tcPr>
          <w:p w14:paraId="51579AF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周小波</w:t>
            </w:r>
          </w:p>
        </w:tc>
        <w:tc>
          <w:tcPr>
            <w:tcW w:w="3093" w:type="dxa"/>
            <w:vAlign w:val="center"/>
          </w:tcPr>
          <w:p w14:paraId="7B98B00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海富通基金</w:t>
            </w:r>
          </w:p>
        </w:tc>
        <w:tc>
          <w:tcPr>
            <w:tcW w:w="1407" w:type="dxa"/>
            <w:vAlign w:val="center"/>
          </w:tcPr>
          <w:p w14:paraId="0FA0B23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闫伟</w:t>
            </w:r>
          </w:p>
        </w:tc>
        <w:tc>
          <w:tcPr>
            <w:tcW w:w="3396" w:type="dxa"/>
            <w:vAlign w:val="center"/>
          </w:tcPr>
          <w:p w14:paraId="7D1F6A9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富国基金</w:t>
            </w:r>
          </w:p>
        </w:tc>
      </w:tr>
      <w:tr w14:paraId="64E5E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33AECBFD">
            <w:pPr>
              <w:pStyle w:val="16"/>
              <w:spacing w:line="360" w:lineRule="auto"/>
              <w:ind w:left="107" w:right="96"/>
              <w:rPr>
                <w:rFonts w:ascii="楷体" w:hAnsi="楷体" w:eastAsia="楷体" w:cs="楷体"/>
                <w:sz w:val="21"/>
                <w:szCs w:val="21"/>
              </w:rPr>
            </w:pPr>
          </w:p>
        </w:tc>
        <w:tc>
          <w:tcPr>
            <w:tcW w:w="1083" w:type="dxa"/>
            <w:vAlign w:val="center"/>
          </w:tcPr>
          <w:p w14:paraId="52B277F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焦阳</w:t>
            </w:r>
          </w:p>
        </w:tc>
        <w:tc>
          <w:tcPr>
            <w:tcW w:w="3093" w:type="dxa"/>
            <w:vAlign w:val="center"/>
          </w:tcPr>
          <w:p w14:paraId="77A7F1E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国联基金</w:t>
            </w:r>
          </w:p>
        </w:tc>
        <w:tc>
          <w:tcPr>
            <w:tcW w:w="1407" w:type="dxa"/>
            <w:vAlign w:val="center"/>
          </w:tcPr>
          <w:p w14:paraId="42F4EA1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戴泽斌</w:t>
            </w:r>
          </w:p>
        </w:tc>
        <w:tc>
          <w:tcPr>
            <w:tcW w:w="3396" w:type="dxa"/>
            <w:vAlign w:val="center"/>
          </w:tcPr>
          <w:p w14:paraId="522E6CB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富国基金</w:t>
            </w:r>
          </w:p>
        </w:tc>
      </w:tr>
      <w:tr w14:paraId="76E84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6B73A8EB">
            <w:pPr>
              <w:pStyle w:val="16"/>
              <w:spacing w:line="360" w:lineRule="auto"/>
              <w:ind w:left="107" w:right="96"/>
              <w:rPr>
                <w:rFonts w:ascii="楷体" w:hAnsi="楷体" w:eastAsia="楷体" w:cs="楷体"/>
                <w:sz w:val="21"/>
                <w:szCs w:val="21"/>
              </w:rPr>
            </w:pPr>
          </w:p>
        </w:tc>
        <w:tc>
          <w:tcPr>
            <w:tcW w:w="1083" w:type="dxa"/>
            <w:vAlign w:val="center"/>
          </w:tcPr>
          <w:p w14:paraId="0DF016C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郭书捷</w:t>
            </w:r>
          </w:p>
        </w:tc>
        <w:tc>
          <w:tcPr>
            <w:tcW w:w="3093" w:type="dxa"/>
            <w:vAlign w:val="center"/>
          </w:tcPr>
          <w:p w14:paraId="7ADEB0B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江苏瑞华资产</w:t>
            </w:r>
          </w:p>
        </w:tc>
        <w:tc>
          <w:tcPr>
            <w:tcW w:w="1407" w:type="dxa"/>
            <w:vAlign w:val="center"/>
          </w:tcPr>
          <w:p w14:paraId="0691899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陈浩</w:t>
            </w:r>
          </w:p>
        </w:tc>
        <w:tc>
          <w:tcPr>
            <w:tcW w:w="3396" w:type="dxa"/>
            <w:vAlign w:val="center"/>
          </w:tcPr>
          <w:p w14:paraId="18AF03F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江苏瑞华投资</w:t>
            </w:r>
          </w:p>
        </w:tc>
      </w:tr>
      <w:tr w14:paraId="6F657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D8B9183">
            <w:pPr>
              <w:pStyle w:val="16"/>
              <w:spacing w:line="360" w:lineRule="auto"/>
              <w:ind w:left="107" w:right="96"/>
              <w:rPr>
                <w:rFonts w:ascii="楷体" w:hAnsi="楷体" w:eastAsia="楷体" w:cs="楷体"/>
                <w:sz w:val="21"/>
                <w:szCs w:val="21"/>
              </w:rPr>
            </w:pPr>
          </w:p>
        </w:tc>
        <w:tc>
          <w:tcPr>
            <w:tcW w:w="1083" w:type="dxa"/>
            <w:vAlign w:val="center"/>
          </w:tcPr>
          <w:p w14:paraId="223832A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孙鹏程</w:t>
            </w:r>
          </w:p>
        </w:tc>
        <w:tc>
          <w:tcPr>
            <w:tcW w:w="3093" w:type="dxa"/>
            <w:vAlign w:val="center"/>
          </w:tcPr>
          <w:p w14:paraId="0E5D16C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信达澳亚基金</w:t>
            </w:r>
          </w:p>
        </w:tc>
        <w:tc>
          <w:tcPr>
            <w:tcW w:w="1407" w:type="dxa"/>
            <w:vAlign w:val="center"/>
          </w:tcPr>
          <w:p w14:paraId="00AB3DD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林元增</w:t>
            </w:r>
          </w:p>
        </w:tc>
        <w:tc>
          <w:tcPr>
            <w:tcW w:w="3396" w:type="dxa"/>
            <w:vAlign w:val="center"/>
          </w:tcPr>
          <w:p w14:paraId="3325A15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江苏瑞华投资</w:t>
            </w:r>
          </w:p>
        </w:tc>
      </w:tr>
      <w:tr w14:paraId="4204F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EAB026F">
            <w:pPr>
              <w:pStyle w:val="16"/>
              <w:spacing w:line="360" w:lineRule="auto"/>
              <w:ind w:left="107" w:right="96"/>
              <w:rPr>
                <w:rFonts w:ascii="楷体" w:hAnsi="楷体" w:eastAsia="楷体" w:cs="楷体"/>
                <w:sz w:val="21"/>
                <w:szCs w:val="21"/>
              </w:rPr>
            </w:pPr>
          </w:p>
        </w:tc>
        <w:tc>
          <w:tcPr>
            <w:tcW w:w="1083" w:type="dxa"/>
            <w:vAlign w:val="center"/>
          </w:tcPr>
          <w:p w14:paraId="27ACA64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王艳</w:t>
            </w:r>
          </w:p>
        </w:tc>
        <w:tc>
          <w:tcPr>
            <w:tcW w:w="3093" w:type="dxa"/>
            <w:vAlign w:val="center"/>
          </w:tcPr>
          <w:p w14:paraId="42275FA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西部证券股份</w:t>
            </w:r>
          </w:p>
        </w:tc>
        <w:tc>
          <w:tcPr>
            <w:tcW w:w="1407" w:type="dxa"/>
            <w:vAlign w:val="center"/>
          </w:tcPr>
          <w:p w14:paraId="1CE116E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应超</w:t>
            </w:r>
          </w:p>
        </w:tc>
        <w:tc>
          <w:tcPr>
            <w:tcW w:w="3396" w:type="dxa"/>
            <w:vAlign w:val="center"/>
          </w:tcPr>
          <w:p w14:paraId="2FD9383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光大证券资产</w:t>
            </w:r>
          </w:p>
        </w:tc>
      </w:tr>
      <w:tr w14:paraId="14A5D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0E99DBF">
            <w:pPr>
              <w:pStyle w:val="16"/>
              <w:spacing w:line="360" w:lineRule="auto"/>
              <w:ind w:left="107" w:right="96"/>
              <w:rPr>
                <w:rFonts w:ascii="楷体" w:hAnsi="楷体" w:eastAsia="楷体" w:cs="楷体"/>
                <w:sz w:val="21"/>
                <w:szCs w:val="21"/>
              </w:rPr>
            </w:pPr>
          </w:p>
        </w:tc>
        <w:tc>
          <w:tcPr>
            <w:tcW w:w="1083" w:type="dxa"/>
            <w:vAlign w:val="center"/>
          </w:tcPr>
          <w:p w14:paraId="3B1782D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张汇韬</w:t>
            </w:r>
          </w:p>
        </w:tc>
        <w:tc>
          <w:tcPr>
            <w:tcW w:w="3093" w:type="dxa"/>
            <w:vAlign w:val="center"/>
          </w:tcPr>
          <w:p w14:paraId="4AB3DD6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上海高毅资产管理合伙企业</w:t>
            </w:r>
          </w:p>
        </w:tc>
        <w:tc>
          <w:tcPr>
            <w:tcW w:w="1407" w:type="dxa"/>
            <w:vAlign w:val="center"/>
          </w:tcPr>
          <w:p w14:paraId="3A07E93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李勇</w:t>
            </w:r>
          </w:p>
        </w:tc>
        <w:tc>
          <w:tcPr>
            <w:tcW w:w="3396" w:type="dxa"/>
            <w:vAlign w:val="center"/>
          </w:tcPr>
          <w:p w14:paraId="5062BF0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润晖投资</w:t>
            </w:r>
          </w:p>
        </w:tc>
      </w:tr>
      <w:tr w14:paraId="36659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5D34153D">
            <w:pPr>
              <w:pStyle w:val="16"/>
              <w:spacing w:line="360" w:lineRule="auto"/>
              <w:ind w:left="107" w:right="96"/>
              <w:rPr>
                <w:rFonts w:ascii="楷体" w:hAnsi="楷体" w:eastAsia="楷体" w:cs="楷体"/>
                <w:sz w:val="21"/>
                <w:szCs w:val="21"/>
              </w:rPr>
            </w:pPr>
          </w:p>
        </w:tc>
        <w:tc>
          <w:tcPr>
            <w:tcW w:w="1083" w:type="dxa"/>
            <w:vAlign w:val="center"/>
          </w:tcPr>
          <w:p w14:paraId="3E3F8EA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岳子曈</w:t>
            </w:r>
          </w:p>
        </w:tc>
        <w:tc>
          <w:tcPr>
            <w:tcW w:w="3093" w:type="dxa"/>
            <w:vAlign w:val="center"/>
          </w:tcPr>
          <w:p w14:paraId="51975ED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光大保德信基金</w:t>
            </w:r>
          </w:p>
        </w:tc>
        <w:tc>
          <w:tcPr>
            <w:tcW w:w="1407" w:type="dxa"/>
            <w:vAlign w:val="center"/>
          </w:tcPr>
          <w:p w14:paraId="3ADA69D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盛瑞武</w:t>
            </w:r>
          </w:p>
        </w:tc>
        <w:tc>
          <w:tcPr>
            <w:tcW w:w="3396" w:type="dxa"/>
            <w:vAlign w:val="center"/>
          </w:tcPr>
          <w:p w14:paraId="249185B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汇添富基金</w:t>
            </w:r>
          </w:p>
        </w:tc>
      </w:tr>
      <w:tr w14:paraId="0DAC7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2C82762">
            <w:pPr>
              <w:pStyle w:val="16"/>
              <w:spacing w:line="360" w:lineRule="auto"/>
              <w:ind w:left="107" w:right="96"/>
              <w:rPr>
                <w:rFonts w:ascii="楷体" w:hAnsi="楷体" w:eastAsia="楷体" w:cs="楷体"/>
                <w:sz w:val="21"/>
                <w:szCs w:val="21"/>
              </w:rPr>
            </w:pPr>
          </w:p>
        </w:tc>
        <w:tc>
          <w:tcPr>
            <w:tcW w:w="1083" w:type="dxa"/>
            <w:vAlign w:val="center"/>
          </w:tcPr>
          <w:p w14:paraId="1D03632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朱施乐</w:t>
            </w:r>
          </w:p>
        </w:tc>
        <w:tc>
          <w:tcPr>
            <w:tcW w:w="3093" w:type="dxa"/>
            <w:vAlign w:val="center"/>
          </w:tcPr>
          <w:p w14:paraId="4A9A572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长安基金</w:t>
            </w:r>
          </w:p>
        </w:tc>
        <w:tc>
          <w:tcPr>
            <w:tcW w:w="1407" w:type="dxa"/>
            <w:vAlign w:val="center"/>
          </w:tcPr>
          <w:p w14:paraId="0F4C311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杨骏骋</w:t>
            </w:r>
          </w:p>
        </w:tc>
        <w:tc>
          <w:tcPr>
            <w:tcW w:w="3396" w:type="dxa"/>
            <w:vAlign w:val="center"/>
          </w:tcPr>
          <w:p w14:paraId="4A1176D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嘉实基金</w:t>
            </w:r>
          </w:p>
        </w:tc>
      </w:tr>
      <w:tr w14:paraId="2CBF5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0BA4461C">
            <w:pPr>
              <w:pStyle w:val="16"/>
              <w:spacing w:line="360" w:lineRule="auto"/>
              <w:ind w:left="107" w:right="96"/>
              <w:rPr>
                <w:rFonts w:ascii="楷体" w:hAnsi="楷体" w:eastAsia="楷体" w:cs="楷体"/>
                <w:sz w:val="21"/>
                <w:szCs w:val="21"/>
              </w:rPr>
            </w:pPr>
          </w:p>
        </w:tc>
        <w:tc>
          <w:tcPr>
            <w:tcW w:w="1083" w:type="dxa"/>
            <w:vAlign w:val="center"/>
          </w:tcPr>
          <w:p w14:paraId="2281214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沈玉梁</w:t>
            </w:r>
          </w:p>
        </w:tc>
        <w:tc>
          <w:tcPr>
            <w:tcW w:w="3093" w:type="dxa"/>
            <w:vAlign w:val="center"/>
          </w:tcPr>
          <w:p w14:paraId="72235E3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嘉实基金</w:t>
            </w:r>
          </w:p>
        </w:tc>
        <w:tc>
          <w:tcPr>
            <w:tcW w:w="1407" w:type="dxa"/>
            <w:vAlign w:val="center"/>
          </w:tcPr>
          <w:p w14:paraId="083097B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王清瑶</w:t>
            </w:r>
          </w:p>
        </w:tc>
        <w:tc>
          <w:tcPr>
            <w:tcW w:w="3396" w:type="dxa"/>
            <w:vAlign w:val="center"/>
          </w:tcPr>
          <w:p w14:paraId="55C391F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浙江银万私募基金</w:t>
            </w:r>
          </w:p>
        </w:tc>
      </w:tr>
      <w:tr w14:paraId="4200E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3635BC56">
            <w:pPr>
              <w:pStyle w:val="16"/>
              <w:spacing w:line="360" w:lineRule="auto"/>
              <w:ind w:left="107" w:right="96"/>
              <w:rPr>
                <w:rFonts w:ascii="楷体" w:hAnsi="楷体" w:eastAsia="楷体" w:cs="楷体"/>
                <w:sz w:val="21"/>
                <w:szCs w:val="21"/>
              </w:rPr>
            </w:pPr>
          </w:p>
        </w:tc>
        <w:tc>
          <w:tcPr>
            <w:tcW w:w="1083" w:type="dxa"/>
            <w:vAlign w:val="center"/>
          </w:tcPr>
          <w:p w14:paraId="00B41B8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李澳</w:t>
            </w:r>
          </w:p>
        </w:tc>
        <w:tc>
          <w:tcPr>
            <w:tcW w:w="3093" w:type="dxa"/>
            <w:vAlign w:val="center"/>
          </w:tcPr>
          <w:p w14:paraId="41FD6CA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长城基金</w:t>
            </w:r>
          </w:p>
        </w:tc>
        <w:tc>
          <w:tcPr>
            <w:tcW w:w="1407" w:type="dxa"/>
            <w:vAlign w:val="center"/>
          </w:tcPr>
          <w:p w14:paraId="5769949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戴雨彤</w:t>
            </w:r>
          </w:p>
        </w:tc>
        <w:tc>
          <w:tcPr>
            <w:tcW w:w="3396" w:type="dxa"/>
            <w:vAlign w:val="center"/>
          </w:tcPr>
          <w:p w14:paraId="555D00A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西部证券股份</w:t>
            </w:r>
          </w:p>
        </w:tc>
      </w:tr>
      <w:tr w14:paraId="02ED8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247433E4">
            <w:pPr>
              <w:pStyle w:val="16"/>
              <w:spacing w:line="360" w:lineRule="auto"/>
              <w:ind w:left="107" w:right="96"/>
              <w:rPr>
                <w:rFonts w:ascii="楷体" w:hAnsi="楷体" w:eastAsia="楷体" w:cs="楷体"/>
                <w:sz w:val="21"/>
                <w:szCs w:val="21"/>
              </w:rPr>
            </w:pPr>
          </w:p>
        </w:tc>
        <w:tc>
          <w:tcPr>
            <w:tcW w:w="1083" w:type="dxa"/>
            <w:vAlign w:val="center"/>
          </w:tcPr>
          <w:p w14:paraId="09A49FE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缪东航</w:t>
            </w:r>
          </w:p>
        </w:tc>
        <w:tc>
          <w:tcPr>
            <w:tcW w:w="3093" w:type="dxa"/>
            <w:vAlign w:val="center"/>
          </w:tcPr>
          <w:p w14:paraId="7F5457B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摩根士丹利基金管理（中国）</w:t>
            </w:r>
          </w:p>
        </w:tc>
        <w:tc>
          <w:tcPr>
            <w:tcW w:w="1407" w:type="dxa"/>
            <w:vAlign w:val="center"/>
          </w:tcPr>
          <w:p w14:paraId="1C76FDD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朱梦颉</w:t>
            </w:r>
          </w:p>
        </w:tc>
        <w:tc>
          <w:tcPr>
            <w:tcW w:w="3396" w:type="dxa"/>
            <w:vAlign w:val="center"/>
          </w:tcPr>
          <w:p w14:paraId="670508B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浦银理财</w:t>
            </w:r>
          </w:p>
        </w:tc>
      </w:tr>
      <w:tr w14:paraId="7140A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0ECB323E">
            <w:pPr>
              <w:pStyle w:val="16"/>
              <w:spacing w:line="360" w:lineRule="auto"/>
              <w:ind w:left="107" w:right="96"/>
              <w:rPr>
                <w:rFonts w:ascii="楷体" w:hAnsi="楷体" w:eastAsia="楷体" w:cs="楷体"/>
                <w:sz w:val="21"/>
                <w:szCs w:val="21"/>
              </w:rPr>
            </w:pPr>
          </w:p>
        </w:tc>
        <w:tc>
          <w:tcPr>
            <w:tcW w:w="1083" w:type="dxa"/>
            <w:vAlign w:val="center"/>
          </w:tcPr>
          <w:p w14:paraId="154FC90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杨明韬</w:t>
            </w:r>
          </w:p>
        </w:tc>
        <w:tc>
          <w:tcPr>
            <w:tcW w:w="3093" w:type="dxa"/>
            <w:vAlign w:val="center"/>
          </w:tcPr>
          <w:p w14:paraId="46C28FD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海南果实私募基金</w:t>
            </w:r>
          </w:p>
        </w:tc>
        <w:tc>
          <w:tcPr>
            <w:tcW w:w="1407" w:type="dxa"/>
            <w:vAlign w:val="center"/>
          </w:tcPr>
          <w:p w14:paraId="225ACC2C">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汪自兵</w:t>
            </w:r>
          </w:p>
        </w:tc>
        <w:tc>
          <w:tcPr>
            <w:tcW w:w="3396" w:type="dxa"/>
            <w:vAlign w:val="center"/>
          </w:tcPr>
          <w:p w14:paraId="35E1CEE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上海方物私募基金</w:t>
            </w:r>
          </w:p>
        </w:tc>
      </w:tr>
      <w:tr w14:paraId="5C935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0DC19A61">
            <w:pPr>
              <w:pStyle w:val="16"/>
              <w:spacing w:line="360" w:lineRule="auto"/>
              <w:ind w:left="107" w:right="96"/>
              <w:rPr>
                <w:rFonts w:ascii="楷体" w:hAnsi="楷体" w:eastAsia="楷体" w:cs="楷体"/>
                <w:sz w:val="21"/>
                <w:szCs w:val="21"/>
              </w:rPr>
            </w:pPr>
          </w:p>
        </w:tc>
        <w:tc>
          <w:tcPr>
            <w:tcW w:w="1083" w:type="dxa"/>
            <w:vAlign w:val="center"/>
          </w:tcPr>
          <w:p w14:paraId="1F61DA1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杨煜哲</w:t>
            </w:r>
          </w:p>
        </w:tc>
        <w:tc>
          <w:tcPr>
            <w:tcW w:w="3093" w:type="dxa"/>
            <w:vAlign w:val="center"/>
          </w:tcPr>
          <w:p w14:paraId="7EEF0B5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上海姚泾河私募基金</w:t>
            </w:r>
          </w:p>
        </w:tc>
        <w:tc>
          <w:tcPr>
            <w:tcW w:w="1407" w:type="dxa"/>
            <w:vAlign w:val="center"/>
          </w:tcPr>
          <w:p w14:paraId="199DB6C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顾宝成</w:t>
            </w:r>
          </w:p>
        </w:tc>
        <w:tc>
          <w:tcPr>
            <w:tcW w:w="3396" w:type="dxa"/>
            <w:vAlign w:val="center"/>
          </w:tcPr>
          <w:p w14:paraId="1B72AAA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度势投资</w:t>
            </w:r>
          </w:p>
        </w:tc>
      </w:tr>
      <w:tr w14:paraId="1B0B7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37FC447B">
            <w:pPr>
              <w:pStyle w:val="16"/>
              <w:spacing w:line="360" w:lineRule="auto"/>
              <w:ind w:left="107" w:right="96"/>
              <w:rPr>
                <w:rFonts w:ascii="楷体" w:hAnsi="楷体" w:eastAsia="楷体" w:cs="楷体"/>
                <w:sz w:val="21"/>
                <w:szCs w:val="21"/>
              </w:rPr>
            </w:pPr>
          </w:p>
        </w:tc>
        <w:tc>
          <w:tcPr>
            <w:tcW w:w="1083" w:type="dxa"/>
            <w:vAlign w:val="center"/>
          </w:tcPr>
          <w:p w14:paraId="04B4CDD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宋阳</w:t>
            </w:r>
          </w:p>
        </w:tc>
        <w:tc>
          <w:tcPr>
            <w:tcW w:w="3093" w:type="dxa"/>
            <w:vAlign w:val="center"/>
          </w:tcPr>
          <w:p w14:paraId="700C2C95">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嘉实基金</w:t>
            </w:r>
          </w:p>
        </w:tc>
        <w:tc>
          <w:tcPr>
            <w:tcW w:w="1407" w:type="dxa"/>
            <w:vAlign w:val="center"/>
          </w:tcPr>
          <w:p w14:paraId="3A2EA7F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杨浩</w:t>
            </w:r>
          </w:p>
        </w:tc>
        <w:tc>
          <w:tcPr>
            <w:tcW w:w="3396" w:type="dxa"/>
            <w:vAlign w:val="center"/>
          </w:tcPr>
          <w:p w14:paraId="4534F8A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交银施罗德基金</w:t>
            </w:r>
          </w:p>
        </w:tc>
      </w:tr>
      <w:tr w14:paraId="7BAB9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662C841E">
            <w:pPr>
              <w:pStyle w:val="16"/>
              <w:spacing w:line="360" w:lineRule="auto"/>
              <w:ind w:left="107" w:right="96"/>
              <w:rPr>
                <w:rFonts w:ascii="楷体" w:hAnsi="楷体" w:eastAsia="楷体" w:cs="楷体"/>
                <w:sz w:val="21"/>
                <w:szCs w:val="21"/>
              </w:rPr>
            </w:pPr>
          </w:p>
        </w:tc>
        <w:tc>
          <w:tcPr>
            <w:tcW w:w="1083" w:type="dxa"/>
            <w:vAlign w:val="center"/>
          </w:tcPr>
          <w:p w14:paraId="3E7677D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解婧</w:t>
            </w:r>
          </w:p>
        </w:tc>
        <w:tc>
          <w:tcPr>
            <w:tcW w:w="3093" w:type="dxa"/>
            <w:vAlign w:val="center"/>
          </w:tcPr>
          <w:p w14:paraId="6079A96A">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平安基金</w:t>
            </w:r>
          </w:p>
        </w:tc>
        <w:tc>
          <w:tcPr>
            <w:tcW w:w="1407" w:type="dxa"/>
            <w:vAlign w:val="center"/>
          </w:tcPr>
          <w:p w14:paraId="43A2569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胡春霞</w:t>
            </w:r>
          </w:p>
        </w:tc>
        <w:tc>
          <w:tcPr>
            <w:tcW w:w="3396" w:type="dxa"/>
            <w:vAlign w:val="center"/>
          </w:tcPr>
          <w:p w14:paraId="5FD71F1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圆信永丰基金</w:t>
            </w:r>
          </w:p>
        </w:tc>
      </w:tr>
      <w:tr w14:paraId="52620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921DCBB">
            <w:pPr>
              <w:pStyle w:val="16"/>
              <w:spacing w:line="360" w:lineRule="auto"/>
              <w:ind w:left="107" w:right="96"/>
              <w:rPr>
                <w:rFonts w:ascii="楷体" w:hAnsi="楷体" w:eastAsia="楷体" w:cs="楷体"/>
                <w:sz w:val="21"/>
                <w:szCs w:val="21"/>
              </w:rPr>
            </w:pPr>
          </w:p>
        </w:tc>
        <w:tc>
          <w:tcPr>
            <w:tcW w:w="1083" w:type="dxa"/>
            <w:vAlign w:val="center"/>
          </w:tcPr>
          <w:p w14:paraId="55208A8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王丝语</w:t>
            </w:r>
          </w:p>
        </w:tc>
        <w:tc>
          <w:tcPr>
            <w:tcW w:w="3093" w:type="dxa"/>
            <w:vAlign w:val="center"/>
          </w:tcPr>
          <w:p w14:paraId="3DD75D6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银河基金</w:t>
            </w:r>
          </w:p>
        </w:tc>
        <w:tc>
          <w:tcPr>
            <w:tcW w:w="1407" w:type="dxa"/>
            <w:vAlign w:val="center"/>
          </w:tcPr>
          <w:p w14:paraId="2039C54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刘扬</w:t>
            </w:r>
          </w:p>
        </w:tc>
        <w:tc>
          <w:tcPr>
            <w:tcW w:w="3396" w:type="dxa"/>
            <w:vAlign w:val="center"/>
          </w:tcPr>
          <w:p w14:paraId="3B8D69E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创金合信基金</w:t>
            </w:r>
          </w:p>
        </w:tc>
      </w:tr>
      <w:tr w14:paraId="60118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8E82A85">
            <w:pPr>
              <w:pStyle w:val="16"/>
              <w:spacing w:line="360" w:lineRule="auto"/>
              <w:ind w:left="107" w:right="96"/>
              <w:rPr>
                <w:rFonts w:ascii="楷体" w:hAnsi="楷体" w:eastAsia="楷体" w:cs="楷体"/>
                <w:sz w:val="21"/>
                <w:szCs w:val="21"/>
              </w:rPr>
            </w:pPr>
          </w:p>
        </w:tc>
        <w:tc>
          <w:tcPr>
            <w:tcW w:w="1083" w:type="dxa"/>
            <w:vAlign w:val="center"/>
          </w:tcPr>
          <w:p w14:paraId="0AF2C2A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郭琪</w:t>
            </w:r>
          </w:p>
        </w:tc>
        <w:tc>
          <w:tcPr>
            <w:tcW w:w="3093" w:type="dxa"/>
            <w:vAlign w:val="center"/>
          </w:tcPr>
          <w:p w14:paraId="6605E982">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财通证券资产</w:t>
            </w:r>
          </w:p>
        </w:tc>
        <w:tc>
          <w:tcPr>
            <w:tcW w:w="1407" w:type="dxa"/>
            <w:vAlign w:val="center"/>
          </w:tcPr>
          <w:p w14:paraId="621E5B3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郄岩</w:t>
            </w:r>
          </w:p>
        </w:tc>
        <w:tc>
          <w:tcPr>
            <w:tcW w:w="3396" w:type="dxa"/>
            <w:vAlign w:val="center"/>
          </w:tcPr>
          <w:p w14:paraId="7EE3593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Ninety One Asia Pte. Limited</w:t>
            </w:r>
          </w:p>
        </w:tc>
      </w:tr>
      <w:tr w14:paraId="724BD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21DD24C">
            <w:pPr>
              <w:pStyle w:val="16"/>
              <w:spacing w:line="360" w:lineRule="auto"/>
              <w:ind w:left="107" w:right="96"/>
              <w:rPr>
                <w:rFonts w:ascii="楷体" w:hAnsi="楷体" w:eastAsia="楷体" w:cs="楷体"/>
                <w:sz w:val="21"/>
                <w:szCs w:val="21"/>
                <w:lang w:val="en-US"/>
              </w:rPr>
            </w:pPr>
          </w:p>
        </w:tc>
        <w:tc>
          <w:tcPr>
            <w:tcW w:w="1083" w:type="dxa"/>
            <w:vAlign w:val="center"/>
          </w:tcPr>
          <w:p w14:paraId="389F520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黄思敏</w:t>
            </w:r>
          </w:p>
        </w:tc>
        <w:tc>
          <w:tcPr>
            <w:tcW w:w="3093" w:type="dxa"/>
            <w:vAlign w:val="center"/>
          </w:tcPr>
          <w:p w14:paraId="1E07E93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银河基金</w:t>
            </w:r>
          </w:p>
        </w:tc>
        <w:tc>
          <w:tcPr>
            <w:tcW w:w="1407" w:type="dxa"/>
            <w:vAlign w:val="center"/>
          </w:tcPr>
          <w:p w14:paraId="5BBE6A7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陈辛</w:t>
            </w:r>
          </w:p>
        </w:tc>
        <w:tc>
          <w:tcPr>
            <w:tcW w:w="3396" w:type="dxa"/>
            <w:vAlign w:val="center"/>
          </w:tcPr>
          <w:p w14:paraId="5F16C3C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华泰证券（上海）资产</w:t>
            </w:r>
          </w:p>
        </w:tc>
      </w:tr>
      <w:tr w14:paraId="1C9B9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48368843">
            <w:pPr>
              <w:pStyle w:val="16"/>
              <w:spacing w:line="360" w:lineRule="auto"/>
              <w:ind w:left="107" w:right="96"/>
              <w:rPr>
                <w:rFonts w:ascii="楷体" w:hAnsi="楷体" w:eastAsia="楷体" w:cs="楷体"/>
                <w:sz w:val="21"/>
                <w:szCs w:val="21"/>
              </w:rPr>
            </w:pPr>
          </w:p>
        </w:tc>
        <w:tc>
          <w:tcPr>
            <w:tcW w:w="1083" w:type="dxa"/>
            <w:vAlign w:val="center"/>
          </w:tcPr>
          <w:p w14:paraId="0C6150D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郑恺</w:t>
            </w:r>
          </w:p>
        </w:tc>
        <w:tc>
          <w:tcPr>
            <w:tcW w:w="3093" w:type="dxa"/>
            <w:vAlign w:val="center"/>
          </w:tcPr>
          <w:p w14:paraId="65ACC68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华宝基金</w:t>
            </w:r>
          </w:p>
        </w:tc>
        <w:tc>
          <w:tcPr>
            <w:tcW w:w="1407" w:type="dxa"/>
            <w:vAlign w:val="center"/>
          </w:tcPr>
          <w:p w14:paraId="710D09E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曹子寒</w:t>
            </w:r>
          </w:p>
        </w:tc>
        <w:tc>
          <w:tcPr>
            <w:tcW w:w="3396" w:type="dxa"/>
            <w:vAlign w:val="center"/>
          </w:tcPr>
          <w:p w14:paraId="4B4CF98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太平洋资产管理</w:t>
            </w:r>
          </w:p>
        </w:tc>
      </w:tr>
      <w:tr w14:paraId="2529D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19493601">
            <w:pPr>
              <w:pStyle w:val="16"/>
              <w:spacing w:line="360" w:lineRule="auto"/>
              <w:ind w:left="107" w:right="96"/>
              <w:rPr>
                <w:rFonts w:ascii="楷体" w:hAnsi="楷体" w:eastAsia="楷体" w:cs="楷体"/>
                <w:sz w:val="21"/>
                <w:szCs w:val="21"/>
              </w:rPr>
            </w:pPr>
          </w:p>
        </w:tc>
        <w:tc>
          <w:tcPr>
            <w:tcW w:w="1083" w:type="dxa"/>
            <w:vAlign w:val="center"/>
          </w:tcPr>
          <w:p w14:paraId="2FC112F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孟东晖</w:t>
            </w:r>
          </w:p>
        </w:tc>
        <w:tc>
          <w:tcPr>
            <w:tcW w:w="3093" w:type="dxa"/>
            <w:vAlign w:val="center"/>
          </w:tcPr>
          <w:p w14:paraId="2AA03F07">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中邮人寿保险股份</w:t>
            </w:r>
          </w:p>
        </w:tc>
        <w:tc>
          <w:tcPr>
            <w:tcW w:w="1407" w:type="dxa"/>
            <w:vAlign w:val="center"/>
          </w:tcPr>
          <w:p w14:paraId="41ED3FE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赵军华</w:t>
            </w:r>
          </w:p>
        </w:tc>
        <w:tc>
          <w:tcPr>
            <w:tcW w:w="3396" w:type="dxa"/>
            <w:vAlign w:val="center"/>
          </w:tcPr>
          <w:p w14:paraId="62A44DF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中兵投资管理</w:t>
            </w:r>
          </w:p>
        </w:tc>
      </w:tr>
      <w:tr w14:paraId="2F001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4C89EAB">
            <w:pPr>
              <w:pStyle w:val="16"/>
              <w:spacing w:line="360" w:lineRule="auto"/>
              <w:ind w:left="107" w:right="96"/>
              <w:rPr>
                <w:rFonts w:ascii="楷体" w:hAnsi="楷体" w:eastAsia="楷体" w:cs="楷体"/>
                <w:sz w:val="21"/>
                <w:szCs w:val="21"/>
              </w:rPr>
            </w:pPr>
          </w:p>
        </w:tc>
        <w:tc>
          <w:tcPr>
            <w:tcW w:w="1083" w:type="dxa"/>
            <w:vAlign w:val="center"/>
          </w:tcPr>
          <w:p w14:paraId="72E0DECD">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杨玄</w:t>
            </w:r>
          </w:p>
        </w:tc>
        <w:tc>
          <w:tcPr>
            <w:tcW w:w="3093" w:type="dxa"/>
            <w:vAlign w:val="center"/>
          </w:tcPr>
          <w:p w14:paraId="3F42DD6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富国基金</w:t>
            </w:r>
          </w:p>
        </w:tc>
        <w:tc>
          <w:tcPr>
            <w:tcW w:w="1407" w:type="dxa"/>
            <w:vAlign w:val="center"/>
          </w:tcPr>
          <w:p w14:paraId="12582B0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张凯</w:t>
            </w:r>
          </w:p>
        </w:tc>
        <w:tc>
          <w:tcPr>
            <w:tcW w:w="3396" w:type="dxa"/>
            <w:vAlign w:val="center"/>
          </w:tcPr>
          <w:p w14:paraId="749604B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太平养老保险股份</w:t>
            </w:r>
          </w:p>
        </w:tc>
      </w:tr>
      <w:tr w14:paraId="66DB6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294B546C">
            <w:pPr>
              <w:pStyle w:val="16"/>
              <w:spacing w:line="360" w:lineRule="auto"/>
              <w:ind w:left="107" w:right="96"/>
              <w:rPr>
                <w:rFonts w:ascii="楷体" w:hAnsi="楷体" w:eastAsia="楷体" w:cs="楷体"/>
                <w:sz w:val="21"/>
                <w:szCs w:val="21"/>
              </w:rPr>
            </w:pPr>
          </w:p>
        </w:tc>
        <w:tc>
          <w:tcPr>
            <w:tcW w:w="1083" w:type="dxa"/>
            <w:vAlign w:val="center"/>
          </w:tcPr>
          <w:p w14:paraId="226906A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王瑾</w:t>
            </w:r>
          </w:p>
        </w:tc>
        <w:tc>
          <w:tcPr>
            <w:tcW w:w="3093" w:type="dxa"/>
            <w:vAlign w:val="center"/>
          </w:tcPr>
          <w:p w14:paraId="51B8FBD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中银国际证券股份</w:t>
            </w:r>
          </w:p>
        </w:tc>
        <w:tc>
          <w:tcPr>
            <w:tcW w:w="1407" w:type="dxa"/>
            <w:vAlign w:val="center"/>
          </w:tcPr>
          <w:p w14:paraId="47BD3CA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张津源</w:t>
            </w:r>
          </w:p>
        </w:tc>
        <w:tc>
          <w:tcPr>
            <w:tcW w:w="3396" w:type="dxa"/>
            <w:vAlign w:val="center"/>
          </w:tcPr>
          <w:p w14:paraId="46E422E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广东恒健国际投资</w:t>
            </w:r>
          </w:p>
        </w:tc>
      </w:tr>
      <w:tr w14:paraId="01812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283F3D4D">
            <w:pPr>
              <w:pStyle w:val="16"/>
              <w:spacing w:line="360" w:lineRule="auto"/>
              <w:ind w:left="107" w:right="96"/>
              <w:rPr>
                <w:rFonts w:ascii="楷体" w:hAnsi="楷体" w:eastAsia="楷体" w:cs="楷体"/>
                <w:sz w:val="21"/>
                <w:szCs w:val="21"/>
              </w:rPr>
            </w:pPr>
          </w:p>
        </w:tc>
        <w:tc>
          <w:tcPr>
            <w:tcW w:w="1083" w:type="dxa"/>
            <w:vAlign w:val="center"/>
          </w:tcPr>
          <w:p w14:paraId="3A8ACF1E">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孙文瑞</w:t>
            </w:r>
          </w:p>
        </w:tc>
        <w:tc>
          <w:tcPr>
            <w:tcW w:w="3093" w:type="dxa"/>
            <w:vAlign w:val="center"/>
          </w:tcPr>
          <w:p w14:paraId="41ECA38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宁银理财</w:t>
            </w:r>
          </w:p>
        </w:tc>
        <w:tc>
          <w:tcPr>
            <w:tcW w:w="1407" w:type="dxa"/>
            <w:vAlign w:val="center"/>
          </w:tcPr>
          <w:p w14:paraId="19309AD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陈玮璇</w:t>
            </w:r>
          </w:p>
        </w:tc>
        <w:tc>
          <w:tcPr>
            <w:tcW w:w="3396" w:type="dxa"/>
            <w:vAlign w:val="center"/>
          </w:tcPr>
          <w:p w14:paraId="55E882F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泰康资产管理</w:t>
            </w:r>
          </w:p>
        </w:tc>
      </w:tr>
      <w:tr w14:paraId="6D584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6B22A233">
            <w:pPr>
              <w:pStyle w:val="16"/>
              <w:spacing w:line="360" w:lineRule="auto"/>
              <w:ind w:left="107" w:right="96"/>
              <w:rPr>
                <w:rFonts w:ascii="楷体" w:hAnsi="楷体" w:eastAsia="楷体" w:cs="楷体"/>
                <w:sz w:val="21"/>
                <w:szCs w:val="21"/>
              </w:rPr>
            </w:pPr>
          </w:p>
        </w:tc>
        <w:tc>
          <w:tcPr>
            <w:tcW w:w="1083" w:type="dxa"/>
            <w:vAlign w:val="center"/>
          </w:tcPr>
          <w:p w14:paraId="6BB848D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宋梓荣</w:t>
            </w:r>
          </w:p>
        </w:tc>
        <w:tc>
          <w:tcPr>
            <w:tcW w:w="3093" w:type="dxa"/>
            <w:vAlign w:val="center"/>
          </w:tcPr>
          <w:p w14:paraId="7A5A493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富国基金</w:t>
            </w:r>
          </w:p>
        </w:tc>
        <w:tc>
          <w:tcPr>
            <w:tcW w:w="1407" w:type="dxa"/>
            <w:vAlign w:val="center"/>
          </w:tcPr>
          <w:p w14:paraId="32688F8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李曦辰</w:t>
            </w:r>
          </w:p>
        </w:tc>
        <w:tc>
          <w:tcPr>
            <w:tcW w:w="3396" w:type="dxa"/>
            <w:vAlign w:val="center"/>
          </w:tcPr>
          <w:p w14:paraId="304DF0E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阳光资产</w:t>
            </w:r>
          </w:p>
        </w:tc>
      </w:tr>
      <w:tr w14:paraId="05371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0D44E413">
            <w:pPr>
              <w:pStyle w:val="16"/>
              <w:spacing w:line="360" w:lineRule="auto"/>
              <w:ind w:left="107" w:right="96"/>
              <w:rPr>
                <w:rFonts w:ascii="楷体" w:hAnsi="楷体" w:eastAsia="楷体" w:cs="楷体"/>
                <w:sz w:val="21"/>
                <w:szCs w:val="21"/>
              </w:rPr>
            </w:pPr>
          </w:p>
        </w:tc>
        <w:tc>
          <w:tcPr>
            <w:tcW w:w="1083" w:type="dxa"/>
            <w:vAlign w:val="center"/>
          </w:tcPr>
          <w:p w14:paraId="123FD1F3">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王睿</w:t>
            </w:r>
          </w:p>
        </w:tc>
        <w:tc>
          <w:tcPr>
            <w:tcW w:w="3093" w:type="dxa"/>
            <w:vAlign w:val="center"/>
          </w:tcPr>
          <w:p w14:paraId="5F3CD93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中信保诚基金</w:t>
            </w:r>
          </w:p>
        </w:tc>
        <w:tc>
          <w:tcPr>
            <w:tcW w:w="1407" w:type="dxa"/>
            <w:vAlign w:val="center"/>
          </w:tcPr>
          <w:p w14:paraId="065709F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马金龙</w:t>
            </w:r>
          </w:p>
        </w:tc>
        <w:tc>
          <w:tcPr>
            <w:tcW w:w="3396" w:type="dxa"/>
            <w:vAlign w:val="center"/>
          </w:tcPr>
          <w:p w14:paraId="2298F2E6">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上海胤胜资产</w:t>
            </w:r>
          </w:p>
        </w:tc>
      </w:tr>
      <w:tr w14:paraId="597B0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F020368">
            <w:pPr>
              <w:pStyle w:val="16"/>
              <w:spacing w:line="360" w:lineRule="auto"/>
              <w:ind w:left="107" w:right="96"/>
              <w:rPr>
                <w:rFonts w:ascii="楷体" w:hAnsi="楷体" w:eastAsia="楷体" w:cs="楷体"/>
                <w:sz w:val="21"/>
                <w:szCs w:val="21"/>
              </w:rPr>
            </w:pPr>
          </w:p>
        </w:tc>
        <w:tc>
          <w:tcPr>
            <w:tcW w:w="1083" w:type="dxa"/>
            <w:vAlign w:val="center"/>
          </w:tcPr>
          <w:p w14:paraId="3236B53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李阳东</w:t>
            </w:r>
          </w:p>
        </w:tc>
        <w:tc>
          <w:tcPr>
            <w:tcW w:w="3093" w:type="dxa"/>
            <w:vAlign w:val="center"/>
          </w:tcPr>
          <w:p w14:paraId="282866C0">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华安基金</w:t>
            </w:r>
          </w:p>
        </w:tc>
        <w:tc>
          <w:tcPr>
            <w:tcW w:w="1407" w:type="dxa"/>
            <w:vAlign w:val="center"/>
          </w:tcPr>
          <w:p w14:paraId="79101564">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李曦辰</w:t>
            </w:r>
          </w:p>
        </w:tc>
        <w:tc>
          <w:tcPr>
            <w:tcW w:w="3396" w:type="dxa"/>
            <w:vAlign w:val="center"/>
          </w:tcPr>
          <w:p w14:paraId="2E9A909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阳光资产</w:t>
            </w:r>
          </w:p>
        </w:tc>
      </w:tr>
      <w:tr w14:paraId="48EE0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AD4908C">
            <w:pPr>
              <w:pStyle w:val="16"/>
              <w:spacing w:line="360" w:lineRule="auto"/>
              <w:ind w:left="107" w:right="96"/>
              <w:rPr>
                <w:rFonts w:ascii="楷体" w:hAnsi="楷体" w:eastAsia="楷体" w:cs="楷体"/>
                <w:sz w:val="21"/>
                <w:szCs w:val="21"/>
              </w:rPr>
            </w:pPr>
          </w:p>
        </w:tc>
        <w:tc>
          <w:tcPr>
            <w:tcW w:w="1083" w:type="dxa"/>
            <w:vAlign w:val="center"/>
          </w:tcPr>
          <w:p w14:paraId="1D518189">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傅乐晗</w:t>
            </w:r>
          </w:p>
        </w:tc>
        <w:tc>
          <w:tcPr>
            <w:tcW w:w="3093" w:type="dxa"/>
            <w:vAlign w:val="center"/>
          </w:tcPr>
          <w:p w14:paraId="3E3AADCF">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光大证券股份</w:t>
            </w:r>
          </w:p>
        </w:tc>
        <w:tc>
          <w:tcPr>
            <w:tcW w:w="1407" w:type="dxa"/>
            <w:vAlign w:val="center"/>
          </w:tcPr>
          <w:p w14:paraId="190A17D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侯斌</w:t>
            </w:r>
          </w:p>
        </w:tc>
        <w:tc>
          <w:tcPr>
            <w:tcW w:w="3396" w:type="dxa"/>
            <w:vAlign w:val="center"/>
          </w:tcPr>
          <w:p w14:paraId="2FEECC08">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金元顺安基金</w:t>
            </w:r>
          </w:p>
        </w:tc>
      </w:tr>
      <w:tr w14:paraId="1E0C7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 w:hRule="atLeast"/>
          <w:jc w:val="center"/>
        </w:trPr>
        <w:tc>
          <w:tcPr>
            <w:tcW w:w="1648" w:type="dxa"/>
            <w:vMerge w:val="continue"/>
            <w:vAlign w:val="center"/>
          </w:tcPr>
          <w:p w14:paraId="71E4EFD7">
            <w:pPr>
              <w:pStyle w:val="16"/>
              <w:spacing w:line="360" w:lineRule="auto"/>
              <w:ind w:left="107" w:right="96"/>
              <w:rPr>
                <w:rFonts w:ascii="楷体" w:hAnsi="楷体" w:eastAsia="楷体" w:cs="楷体"/>
                <w:sz w:val="21"/>
                <w:szCs w:val="21"/>
              </w:rPr>
            </w:pPr>
          </w:p>
        </w:tc>
        <w:tc>
          <w:tcPr>
            <w:tcW w:w="1083" w:type="dxa"/>
            <w:vAlign w:val="center"/>
          </w:tcPr>
          <w:p w14:paraId="7C8A323B">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林晓凤</w:t>
            </w:r>
          </w:p>
        </w:tc>
        <w:tc>
          <w:tcPr>
            <w:tcW w:w="3093" w:type="dxa"/>
            <w:vAlign w:val="center"/>
          </w:tcPr>
          <w:p w14:paraId="02282421">
            <w:pPr>
              <w:pStyle w:val="16"/>
              <w:spacing w:line="360" w:lineRule="auto"/>
              <w:ind w:left="107" w:right="96"/>
              <w:jc w:val="center"/>
              <w:rPr>
                <w:rFonts w:ascii="楷体" w:hAnsi="楷体" w:eastAsia="楷体" w:cs="楷体"/>
                <w:color w:val="000000"/>
                <w:sz w:val="21"/>
                <w:szCs w:val="21"/>
                <w:lang w:val="en-US"/>
              </w:rPr>
            </w:pPr>
            <w:r>
              <w:rPr>
                <w:rFonts w:hint="eastAsia" w:ascii="楷体" w:hAnsi="楷体" w:eastAsia="楷体" w:cs="楷体"/>
                <w:color w:val="000000"/>
                <w:sz w:val="21"/>
                <w:szCs w:val="21"/>
                <w:lang w:val="en-US"/>
              </w:rPr>
              <w:t>光大保德信基金</w:t>
            </w:r>
          </w:p>
        </w:tc>
        <w:tc>
          <w:tcPr>
            <w:tcW w:w="1407" w:type="dxa"/>
            <w:vAlign w:val="center"/>
          </w:tcPr>
          <w:p w14:paraId="2C498DCF">
            <w:pPr>
              <w:pStyle w:val="16"/>
              <w:spacing w:line="360" w:lineRule="auto"/>
              <w:ind w:left="107" w:right="96"/>
              <w:jc w:val="center"/>
              <w:rPr>
                <w:rFonts w:ascii="楷体" w:hAnsi="楷体" w:eastAsia="楷体" w:cs="楷体"/>
                <w:color w:val="000000"/>
                <w:sz w:val="21"/>
                <w:szCs w:val="21"/>
                <w:lang w:val="en-US"/>
              </w:rPr>
            </w:pPr>
          </w:p>
        </w:tc>
        <w:tc>
          <w:tcPr>
            <w:tcW w:w="3396" w:type="dxa"/>
            <w:vAlign w:val="center"/>
          </w:tcPr>
          <w:p w14:paraId="6711DDA9">
            <w:pPr>
              <w:pStyle w:val="16"/>
              <w:spacing w:line="360" w:lineRule="auto"/>
              <w:ind w:left="107" w:right="96"/>
              <w:jc w:val="center"/>
              <w:rPr>
                <w:rFonts w:ascii="楷体" w:hAnsi="楷体" w:eastAsia="楷体" w:cs="楷体"/>
                <w:color w:val="000000"/>
                <w:sz w:val="21"/>
                <w:szCs w:val="21"/>
                <w:lang w:val="en-US"/>
              </w:rPr>
            </w:pPr>
          </w:p>
        </w:tc>
      </w:tr>
      <w:tr w14:paraId="29029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jc w:val="center"/>
        </w:trPr>
        <w:tc>
          <w:tcPr>
            <w:tcW w:w="1648" w:type="dxa"/>
            <w:tcBorders>
              <w:bottom w:val="single" w:color="auto" w:sz="4" w:space="0"/>
            </w:tcBorders>
            <w:vAlign w:val="center"/>
          </w:tcPr>
          <w:p w14:paraId="22FDC492">
            <w:pPr>
              <w:pStyle w:val="16"/>
              <w:spacing w:before="1" w:line="360" w:lineRule="auto"/>
              <w:ind w:firstLine="210" w:firstLineChars="100"/>
              <w:rPr>
                <w:rFonts w:ascii="楷体" w:hAnsi="楷体" w:eastAsia="楷体" w:cs="楷体"/>
                <w:sz w:val="21"/>
                <w:szCs w:val="21"/>
              </w:rPr>
            </w:pPr>
            <w:r>
              <w:rPr>
                <w:rFonts w:hint="eastAsia" w:ascii="楷体" w:hAnsi="楷体" w:eastAsia="楷体" w:cs="楷体"/>
                <w:sz w:val="21"/>
                <w:szCs w:val="21"/>
              </w:rPr>
              <w:t>时间</w:t>
            </w:r>
          </w:p>
        </w:tc>
        <w:tc>
          <w:tcPr>
            <w:tcW w:w="8979" w:type="dxa"/>
            <w:gridSpan w:val="4"/>
            <w:tcBorders>
              <w:bottom w:val="single" w:color="auto" w:sz="4" w:space="0"/>
            </w:tcBorders>
            <w:vAlign w:val="center"/>
          </w:tcPr>
          <w:p w14:paraId="7C6AD1E1">
            <w:pPr>
              <w:pStyle w:val="16"/>
              <w:spacing w:line="360" w:lineRule="auto"/>
              <w:rPr>
                <w:rFonts w:ascii="楷体" w:hAnsi="楷体" w:eastAsia="楷体" w:cs="楷体"/>
                <w:sz w:val="21"/>
                <w:szCs w:val="21"/>
              </w:rPr>
            </w:pPr>
            <w:r>
              <w:rPr>
                <w:rFonts w:hint="eastAsia" w:ascii="楷体" w:hAnsi="楷体" w:eastAsia="楷体" w:cs="楷体"/>
                <w:sz w:val="21"/>
                <w:szCs w:val="21"/>
              </w:rPr>
              <w:t>202</w:t>
            </w:r>
            <w:r>
              <w:rPr>
                <w:rFonts w:hint="eastAsia" w:ascii="楷体" w:hAnsi="楷体" w:eastAsia="楷体" w:cs="楷体"/>
                <w:sz w:val="21"/>
                <w:szCs w:val="21"/>
                <w:lang w:val="en-US"/>
              </w:rPr>
              <w:t>6</w:t>
            </w:r>
            <w:r>
              <w:rPr>
                <w:rFonts w:hint="eastAsia" w:ascii="楷体" w:hAnsi="楷体" w:eastAsia="楷体" w:cs="楷体"/>
                <w:sz w:val="21"/>
                <w:szCs w:val="21"/>
              </w:rPr>
              <w:t>年</w:t>
            </w:r>
            <w:r>
              <w:rPr>
                <w:rFonts w:hint="eastAsia" w:ascii="楷体" w:hAnsi="楷体" w:eastAsia="楷体" w:cs="楷体"/>
                <w:sz w:val="21"/>
                <w:szCs w:val="21"/>
                <w:lang w:val="en-US"/>
              </w:rPr>
              <w:t>10</w:t>
            </w:r>
            <w:r>
              <w:rPr>
                <w:rFonts w:hint="eastAsia" w:ascii="楷体" w:hAnsi="楷体" w:eastAsia="楷体" w:cs="楷体"/>
                <w:sz w:val="21"/>
                <w:szCs w:val="21"/>
              </w:rPr>
              <w:t>月</w:t>
            </w:r>
            <w:r>
              <w:rPr>
                <w:rFonts w:hint="eastAsia" w:ascii="楷体" w:hAnsi="楷体" w:eastAsia="楷体" w:cs="楷体"/>
                <w:sz w:val="21"/>
                <w:szCs w:val="21"/>
                <w:lang w:val="en-US"/>
              </w:rPr>
              <w:t>30</w:t>
            </w:r>
            <w:r>
              <w:rPr>
                <w:rFonts w:hint="eastAsia" w:ascii="楷体" w:hAnsi="楷体" w:eastAsia="楷体" w:cs="楷体"/>
                <w:sz w:val="21"/>
                <w:szCs w:val="21"/>
              </w:rPr>
              <w:t>日</w:t>
            </w:r>
          </w:p>
        </w:tc>
      </w:tr>
      <w:tr w14:paraId="077EB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1648" w:type="dxa"/>
            <w:tcBorders>
              <w:top w:val="single" w:color="auto" w:sz="4" w:space="0"/>
              <w:left w:val="single" w:color="auto" w:sz="4" w:space="0"/>
              <w:bottom w:val="single" w:color="auto" w:sz="4" w:space="0"/>
              <w:right w:val="single" w:color="auto" w:sz="4" w:space="0"/>
            </w:tcBorders>
            <w:vAlign w:val="center"/>
          </w:tcPr>
          <w:p w14:paraId="629324EC">
            <w:pPr>
              <w:pStyle w:val="16"/>
              <w:spacing w:before="1" w:line="360" w:lineRule="auto"/>
              <w:ind w:right="96" w:firstLine="210" w:firstLineChars="100"/>
              <w:rPr>
                <w:rFonts w:ascii="楷体" w:hAnsi="楷体" w:eastAsia="楷体" w:cs="楷体"/>
                <w:sz w:val="21"/>
                <w:szCs w:val="21"/>
              </w:rPr>
            </w:pPr>
            <w:r>
              <w:rPr>
                <w:rFonts w:hint="eastAsia" w:ascii="楷体" w:hAnsi="楷体" w:eastAsia="楷体" w:cs="楷体"/>
                <w:sz w:val="21"/>
                <w:szCs w:val="21"/>
              </w:rPr>
              <w:t>地点</w:t>
            </w:r>
          </w:p>
        </w:tc>
        <w:tc>
          <w:tcPr>
            <w:tcW w:w="8979" w:type="dxa"/>
            <w:gridSpan w:val="4"/>
            <w:tcBorders>
              <w:top w:val="single" w:color="auto" w:sz="4" w:space="0"/>
              <w:left w:val="single" w:color="auto" w:sz="4" w:space="0"/>
              <w:bottom w:val="single" w:color="auto" w:sz="4" w:space="0"/>
              <w:right w:val="single" w:color="auto" w:sz="4" w:space="0"/>
            </w:tcBorders>
            <w:vAlign w:val="center"/>
          </w:tcPr>
          <w:p w14:paraId="41FC4F65">
            <w:pPr>
              <w:pStyle w:val="16"/>
              <w:spacing w:before="1" w:line="360" w:lineRule="auto"/>
              <w:rPr>
                <w:rFonts w:ascii="楷体" w:hAnsi="楷体" w:eastAsia="楷体" w:cs="楷体"/>
                <w:sz w:val="21"/>
                <w:szCs w:val="21"/>
              </w:rPr>
            </w:pPr>
            <w:r>
              <w:rPr>
                <w:rFonts w:hint="eastAsia" w:ascii="楷体" w:hAnsi="楷体" w:eastAsia="楷体" w:cs="楷体"/>
                <w:sz w:val="21"/>
                <w:szCs w:val="21"/>
                <w:lang w:val="en-US"/>
              </w:rPr>
              <w:t>凯立新材</w:t>
            </w:r>
            <w:r>
              <w:rPr>
                <w:rFonts w:hint="eastAsia" w:ascii="楷体" w:hAnsi="楷体" w:eastAsia="楷体" w:cs="楷体"/>
                <w:sz w:val="21"/>
                <w:szCs w:val="21"/>
              </w:rPr>
              <w:t>综合楼办公室</w:t>
            </w:r>
          </w:p>
        </w:tc>
      </w:tr>
      <w:tr w14:paraId="58B73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jc w:val="center"/>
        </w:trPr>
        <w:tc>
          <w:tcPr>
            <w:tcW w:w="1648" w:type="dxa"/>
            <w:tcBorders>
              <w:top w:val="single" w:color="auto" w:sz="4" w:space="0"/>
            </w:tcBorders>
            <w:vAlign w:val="center"/>
          </w:tcPr>
          <w:p w14:paraId="226B82B8">
            <w:pPr>
              <w:pStyle w:val="16"/>
              <w:spacing w:before="1" w:line="360" w:lineRule="auto"/>
              <w:rPr>
                <w:rFonts w:ascii="楷体" w:hAnsi="楷体" w:eastAsia="楷体" w:cs="楷体"/>
                <w:sz w:val="21"/>
                <w:szCs w:val="21"/>
              </w:rPr>
            </w:pPr>
            <w:r>
              <w:rPr>
                <w:rFonts w:hint="eastAsia" w:ascii="楷体" w:hAnsi="楷体" w:eastAsia="楷体" w:cs="楷体"/>
                <w:sz w:val="21"/>
                <w:szCs w:val="21"/>
              </w:rPr>
              <w:t>公司接待人员姓名</w:t>
            </w:r>
          </w:p>
        </w:tc>
        <w:tc>
          <w:tcPr>
            <w:tcW w:w="8979" w:type="dxa"/>
            <w:gridSpan w:val="4"/>
            <w:tcBorders>
              <w:top w:val="single" w:color="auto" w:sz="4" w:space="0"/>
            </w:tcBorders>
            <w:vAlign w:val="center"/>
          </w:tcPr>
          <w:p w14:paraId="118287D1">
            <w:pPr>
              <w:pStyle w:val="16"/>
              <w:spacing w:line="360" w:lineRule="auto"/>
              <w:rPr>
                <w:rFonts w:ascii="楷体" w:hAnsi="楷体" w:eastAsia="楷体" w:cs="楷体"/>
                <w:sz w:val="21"/>
                <w:szCs w:val="21"/>
              </w:rPr>
            </w:pPr>
            <w:r>
              <w:rPr>
                <w:rFonts w:hint="eastAsia" w:ascii="楷体" w:hAnsi="楷体" w:eastAsia="楷体" w:cs="楷体"/>
                <w:sz w:val="21"/>
                <w:szCs w:val="21"/>
              </w:rPr>
              <w:t>财务总监兼董事会秘书：曾利辉</w:t>
            </w:r>
          </w:p>
          <w:p w14:paraId="57A10E87">
            <w:pPr>
              <w:pStyle w:val="16"/>
              <w:spacing w:line="360" w:lineRule="auto"/>
              <w:rPr>
                <w:rFonts w:ascii="楷体" w:hAnsi="楷体" w:eastAsia="楷体" w:cs="楷体"/>
                <w:sz w:val="21"/>
                <w:szCs w:val="21"/>
              </w:rPr>
            </w:pPr>
            <w:r>
              <w:rPr>
                <w:rFonts w:hint="eastAsia" w:ascii="楷体" w:hAnsi="楷体" w:eastAsia="楷体" w:cs="楷体"/>
                <w:sz w:val="21"/>
                <w:szCs w:val="21"/>
              </w:rPr>
              <w:t>证券事务代表：石婧文、曹渤杨</w:t>
            </w:r>
          </w:p>
        </w:tc>
      </w:tr>
      <w:tr w14:paraId="7ED26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8" w:hRule="atLeast"/>
          <w:jc w:val="center"/>
        </w:trPr>
        <w:tc>
          <w:tcPr>
            <w:tcW w:w="1648" w:type="dxa"/>
            <w:vAlign w:val="center"/>
          </w:tcPr>
          <w:p w14:paraId="3B171B90">
            <w:pPr>
              <w:pStyle w:val="16"/>
              <w:spacing w:before="1" w:line="360" w:lineRule="auto"/>
              <w:ind w:right="96"/>
              <w:rPr>
                <w:rFonts w:ascii="楷体" w:hAnsi="楷体" w:eastAsia="楷体" w:cs="楷体"/>
                <w:sz w:val="21"/>
                <w:szCs w:val="21"/>
              </w:rPr>
            </w:pPr>
            <w:r>
              <w:rPr>
                <w:rFonts w:hint="eastAsia" w:ascii="楷体" w:hAnsi="楷体" w:eastAsia="楷体" w:cs="楷体"/>
                <w:sz w:val="21"/>
                <w:szCs w:val="21"/>
              </w:rPr>
              <w:t>投资者关系活动主要内容介绍</w:t>
            </w:r>
          </w:p>
        </w:tc>
        <w:tc>
          <w:tcPr>
            <w:tcW w:w="8979" w:type="dxa"/>
            <w:gridSpan w:val="4"/>
            <w:vAlign w:val="center"/>
          </w:tcPr>
          <w:p w14:paraId="0BD222B3">
            <w:pPr>
              <w:pStyle w:val="29"/>
              <w:spacing w:line="360" w:lineRule="auto"/>
              <w:ind w:left="375" w:hanging="375" w:firstLineChars="0"/>
              <w:rPr>
                <w:rFonts w:ascii="楷体" w:hAnsi="楷体" w:eastAsia="楷体" w:cs="楷体"/>
                <w:b/>
                <w:sz w:val="24"/>
              </w:rPr>
            </w:pPr>
            <w:r>
              <w:rPr>
                <w:rFonts w:hint="eastAsia" w:ascii="楷体" w:hAnsi="楷体" w:eastAsia="楷体" w:cs="楷体"/>
                <w:b/>
                <w:sz w:val="24"/>
              </w:rPr>
              <w:t>1、请介绍公司具备潜力的在研项目、新产品落地进展？</w:t>
            </w:r>
          </w:p>
          <w:p w14:paraId="6AA7ACA0">
            <w:pPr>
              <w:spacing w:line="360" w:lineRule="auto"/>
              <w:ind w:firstLine="480" w:firstLineChars="200"/>
              <w:jc w:val="both"/>
              <w:rPr>
                <w:rFonts w:ascii="楷体" w:hAnsi="楷体" w:eastAsia="楷体" w:cs="楷体"/>
                <w:bCs/>
                <w:kern w:val="2"/>
                <w:sz w:val="24"/>
                <w:lang w:val="en-US" w:bidi="ar-SA"/>
              </w:rPr>
            </w:pPr>
            <w:r>
              <w:rPr>
                <w:rFonts w:hint="eastAsia" w:ascii="楷体" w:hAnsi="楷体" w:eastAsia="楷体" w:cs="楷体"/>
                <w:bCs/>
                <w:kern w:val="2"/>
                <w:sz w:val="24"/>
                <w:lang w:val="en-US" w:bidi="ar-SA"/>
              </w:rPr>
              <w:t>尊敬的投资者您好！公司持续强化科技创新，牢牢把握新材料产业发展机遇，不断开拓未来的增长空间，公司产品众多，截至目前</w:t>
            </w:r>
            <w:r>
              <w:rPr>
                <w:rFonts w:ascii="楷体" w:hAnsi="楷体" w:eastAsia="楷体" w:cs="楷体"/>
                <w:bCs/>
                <w:kern w:val="2"/>
                <w:sz w:val="24"/>
                <w:lang w:val="en-US" w:bidi="ar-SA"/>
              </w:rPr>
              <w:t>600余种，且不断开发新产品，持续推动公司的发展。</w:t>
            </w:r>
          </w:p>
          <w:p w14:paraId="0276AE5E">
            <w:pPr>
              <w:spacing w:line="360" w:lineRule="auto"/>
              <w:ind w:firstLine="480" w:firstLineChars="200"/>
              <w:jc w:val="both"/>
              <w:rPr>
                <w:rFonts w:ascii="楷体" w:hAnsi="楷体" w:eastAsia="楷体" w:cs="楷体"/>
                <w:bCs/>
                <w:kern w:val="2"/>
                <w:sz w:val="24"/>
                <w:lang w:val="en-US" w:bidi="ar-SA"/>
              </w:rPr>
            </w:pPr>
            <w:r>
              <w:rPr>
                <w:rFonts w:hint="eastAsia" w:ascii="楷体" w:hAnsi="楷体" w:eastAsia="楷体" w:cs="楷体"/>
                <w:bCs/>
                <w:kern w:val="2"/>
                <w:sz w:val="24"/>
                <w:lang w:val="en-US" w:bidi="ar-SA"/>
              </w:rPr>
              <w:t>精细化工领域，贵金属催化剂的多个重点产品实现了进一步的贵金属等效减量与迭代升级，持续巩固了公司产品的核心竞争优势；</w:t>
            </w:r>
          </w:p>
          <w:p w14:paraId="4F7C963A">
            <w:pPr>
              <w:spacing w:line="360" w:lineRule="auto"/>
              <w:ind w:firstLine="480" w:firstLineChars="200"/>
              <w:jc w:val="both"/>
              <w:rPr>
                <w:rFonts w:ascii="楷体" w:hAnsi="楷体" w:eastAsia="楷体" w:cs="楷体"/>
                <w:bCs/>
                <w:kern w:val="2"/>
                <w:sz w:val="24"/>
                <w:lang w:val="en-US" w:bidi="ar-SA"/>
              </w:rPr>
            </w:pPr>
            <w:r>
              <w:rPr>
                <w:rFonts w:hint="eastAsia" w:ascii="楷体" w:hAnsi="楷体" w:eastAsia="楷体" w:cs="楷体"/>
                <w:bCs/>
                <w:kern w:val="2"/>
                <w:sz w:val="24"/>
                <w:lang w:val="en-US" w:bidi="ar-SA"/>
              </w:rPr>
              <w:t>基础化工领域，</w:t>
            </w:r>
            <w:r>
              <w:rPr>
                <w:rFonts w:ascii="楷体" w:hAnsi="楷体" w:eastAsia="楷体" w:cs="楷体"/>
                <w:bCs/>
                <w:kern w:val="2"/>
                <w:sz w:val="24"/>
                <w:lang w:val="en-US" w:bidi="ar-SA"/>
              </w:rPr>
              <w:t>醋酸仲丁酯加氢用催化剂、石油树脂加氢用催化剂、第二代BDO用催化剂、第四代制冷剂催化剂等多个新产品成功推向市场，新产品广泛应用于胶粘剂及高分子新材料、可降解塑料与氨纶产业链、环保制冷与新能源热管理等领域，实现了从传统精细化工到绿色低碳新材料的全场景覆盖；</w:t>
            </w:r>
            <w:r>
              <w:rPr>
                <w:rFonts w:hint="eastAsia" w:ascii="楷体" w:hAnsi="楷体" w:eastAsia="楷体" w:cs="楷体"/>
                <w:bCs/>
                <w:kern w:val="2"/>
                <w:sz w:val="24"/>
                <w:lang w:val="en-US" w:bidi="ar-SA"/>
              </w:rPr>
              <w:t>其中基础化工领域大单品</w:t>
            </w:r>
            <w:r>
              <w:rPr>
                <w:rFonts w:ascii="楷体" w:hAnsi="楷体" w:eastAsia="楷体" w:cs="楷体"/>
                <w:bCs/>
                <w:kern w:val="2"/>
                <w:sz w:val="24"/>
                <w:lang w:val="en-US" w:bidi="ar-SA"/>
              </w:rPr>
              <w:t>乙炔法PVC用铜炭催化剂、乙烯法PVC用铜系催化剂工业试用反馈良好；烷烃脱氢催化剂工业试验有序推进，多个大单品催化剂新产品工业验证和市场开拓工作取得积极进展；</w:t>
            </w:r>
          </w:p>
          <w:p w14:paraId="69CA34F0">
            <w:pPr>
              <w:spacing w:line="360" w:lineRule="auto"/>
              <w:ind w:firstLine="480" w:firstLineChars="200"/>
              <w:jc w:val="both"/>
              <w:rPr>
                <w:rFonts w:ascii="楷体" w:hAnsi="楷体" w:eastAsia="楷体" w:cs="楷体"/>
                <w:bCs/>
                <w:kern w:val="2"/>
                <w:sz w:val="24"/>
                <w:lang w:val="en-US" w:bidi="ar-SA"/>
              </w:rPr>
            </w:pPr>
            <w:r>
              <w:rPr>
                <w:rFonts w:ascii="楷体" w:hAnsi="楷体" w:eastAsia="楷体" w:cs="楷体"/>
                <w:bCs/>
                <w:kern w:val="2"/>
                <w:sz w:val="24"/>
                <w:lang w:val="en-US" w:bidi="ar-SA"/>
              </w:rPr>
              <w:t>下游延伸领域</w:t>
            </w:r>
            <w:r>
              <w:rPr>
                <w:rFonts w:hint="eastAsia" w:ascii="楷体" w:hAnsi="楷体" w:eastAsia="楷体" w:cs="楷体"/>
                <w:bCs/>
                <w:kern w:val="2"/>
                <w:sz w:val="24"/>
                <w:lang w:val="en-US" w:bidi="ar-SA"/>
              </w:rPr>
              <w:t>，</w:t>
            </w:r>
            <w:r>
              <w:rPr>
                <w:rFonts w:ascii="楷体" w:hAnsi="楷体" w:eastAsia="楷体" w:cs="楷体"/>
                <w:bCs/>
                <w:kern w:val="2"/>
                <w:sz w:val="24"/>
                <w:lang w:val="en-US" w:bidi="ar-SA"/>
              </w:rPr>
              <w:t>固体、液体两类氢化丁腈橡胶产品业已顺利生产并实现规模化销售，其中首批新开发的液体氢化丁腈橡胶成功应用到高端锂电领域，市场前景广阔。</w:t>
            </w:r>
          </w:p>
          <w:p w14:paraId="25495DCD">
            <w:pPr>
              <w:spacing w:line="360" w:lineRule="auto"/>
              <w:ind w:firstLine="480" w:firstLineChars="200"/>
              <w:jc w:val="both"/>
              <w:rPr>
                <w:rFonts w:hint="eastAsia" w:ascii="楷体" w:hAnsi="楷体" w:eastAsia="楷体" w:cs="楷体"/>
                <w:bCs/>
                <w:kern w:val="2"/>
                <w:sz w:val="24"/>
                <w:lang w:val="en-US" w:bidi="ar-SA"/>
              </w:rPr>
            </w:pPr>
            <w:r>
              <w:rPr>
                <w:rFonts w:hint="eastAsia" w:ascii="楷体" w:hAnsi="楷体" w:eastAsia="楷体" w:cs="楷体"/>
                <w:bCs/>
                <w:kern w:val="2"/>
                <w:sz w:val="24"/>
                <w:lang w:val="en-US" w:bidi="ar-SA"/>
              </w:rPr>
              <w:t>后续进展请关注信息披露。感谢您对公司的关注！</w:t>
            </w:r>
          </w:p>
          <w:p w14:paraId="20D6CC7B">
            <w:pPr>
              <w:pStyle w:val="29"/>
              <w:spacing w:line="360" w:lineRule="auto"/>
              <w:ind w:left="375" w:hanging="375" w:firstLineChars="0"/>
              <w:rPr>
                <w:rFonts w:ascii="楷体" w:hAnsi="楷体" w:eastAsia="楷体" w:cs="楷体"/>
                <w:b/>
                <w:sz w:val="24"/>
              </w:rPr>
            </w:pPr>
            <w:r>
              <w:rPr>
                <w:rFonts w:ascii="楷体" w:hAnsi="楷体" w:eastAsia="楷体" w:cs="楷体"/>
                <w:b/>
                <w:sz w:val="24"/>
              </w:rPr>
              <w:t>2</w:t>
            </w:r>
            <w:r>
              <w:rPr>
                <w:rFonts w:hint="eastAsia" w:ascii="楷体" w:hAnsi="楷体" w:eastAsia="楷体" w:cs="楷体"/>
                <w:b/>
                <w:sz w:val="24"/>
              </w:rPr>
              <w:t>、公司2026前三季度收入同比上升原因？</w:t>
            </w:r>
          </w:p>
          <w:p w14:paraId="231E1071">
            <w:pPr>
              <w:pStyle w:val="29"/>
              <w:spacing w:line="360" w:lineRule="auto"/>
              <w:ind w:firstLine="480"/>
              <w:rPr>
                <w:rFonts w:ascii="楷体" w:hAnsi="楷体" w:eastAsia="楷体" w:cs="楷体"/>
                <w:bCs/>
                <w:sz w:val="24"/>
              </w:rPr>
            </w:pPr>
            <w:r>
              <w:rPr>
                <w:rFonts w:hint="eastAsia" w:ascii="楷体" w:hAnsi="楷体" w:eastAsia="楷体" w:cs="楷体"/>
                <w:bCs/>
                <w:sz w:val="24"/>
              </w:rPr>
              <w:t>尊敬的投资者您好！公司实现营业收入231,026.83万元，与上年同期相比增长 61.02%，主要系产品结构变化，医药领域催化剂产品的收入较上年同期增长，带动收入同比增加。感谢您对公司的关注！</w:t>
            </w:r>
          </w:p>
          <w:p w14:paraId="4ADB70C4">
            <w:pPr>
              <w:spacing w:line="360" w:lineRule="auto"/>
              <w:rPr>
                <w:rFonts w:ascii="楷体" w:hAnsi="楷体" w:eastAsia="楷体" w:cs="楷体"/>
                <w:b/>
                <w:kern w:val="2"/>
                <w:sz w:val="24"/>
                <w:lang w:val="en-US" w:bidi="ar-SA"/>
              </w:rPr>
            </w:pPr>
            <w:r>
              <w:rPr>
                <w:rFonts w:ascii="楷体" w:hAnsi="楷体" w:eastAsia="楷体" w:cs="楷体"/>
                <w:b/>
                <w:kern w:val="2"/>
                <w:sz w:val="24"/>
                <w:lang w:val="en-US" w:bidi="ar-SA"/>
              </w:rPr>
              <w:t>3</w:t>
            </w:r>
            <w:r>
              <w:rPr>
                <w:rFonts w:hint="eastAsia" w:ascii="楷体" w:hAnsi="楷体" w:eastAsia="楷体" w:cs="楷体"/>
                <w:b/>
                <w:kern w:val="2"/>
                <w:sz w:val="24"/>
                <w:lang w:val="en-US" w:bidi="ar-SA"/>
              </w:rPr>
              <w:t>、公司2026前三季度净利同比下降原因？</w:t>
            </w:r>
          </w:p>
          <w:p w14:paraId="04FF583B">
            <w:pPr>
              <w:pStyle w:val="29"/>
              <w:spacing w:line="360" w:lineRule="auto"/>
              <w:ind w:firstLine="480"/>
              <w:rPr>
                <w:rFonts w:ascii="楷体" w:hAnsi="楷体" w:eastAsia="楷体" w:cs="楷体"/>
                <w:b/>
                <w:sz w:val="24"/>
              </w:rPr>
            </w:pPr>
            <w:r>
              <w:rPr>
                <w:rFonts w:hint="eastAsia" w:ascii="楷体" w:hAnsi="楷体" w:eastAsia="楷体" w:cs="楷体"/>
                <w:bCs/>
                <w:sz w:val="24"/>
              </w:rPr>
              <w:t>尊敬的投资者您好！公司实现归属于上市公司股东的净利润4</w:t>
            </w:r>
            <w:r>
              <w:rPr>
                <w:rFonts w:ascii="楷体" w:hAnsi="楷体" w:eastAsia="楷体" w:cs="楷体"/>
                <w:bCs/>
                <w:sz w:val="24"/>
              </w:rPr>
              <w:t>096.91</w:t>
            </w:r>
            <w:r>
              <w:rPr>
                <w:rFonts w:hint="eastAsia" w:ascii="楷体" w:hAnsi="楷体" w:eastAsia="楷体" w:cs="楷体"/>
                <w:bCs/>
                <w:sz w:val="24"/>
              </w:rPr>
              <w:t>万元，较上年同期降低</w:t>
            </w:r>
            <w:r>
              <w:rPr>
                <w:rFonts w:ascii="楷体" w:hAnsi="楷体" w:eastAsia="楷体" w:cs="楷体"/>
                <w:bCs/>
                <w:sz w:val="24"/>
              </w:rPr>
              <w:t>50.69%，主要系：</w:t>
            </w:r>
            <w:r>
              <w:rPr>
                <w:rFonts w:hint="eastAsia" w:ascii="楷体" w:hAnsi="楷体" w:eastAsia="楷体" w:cs="楷体"/>
                <w:bCs/>
                <w:sz w:val="24"/>
              </w:rPr>
              <w:t>一、公司部分基础化工领域产品未处于替换周期，整体产品销量较上年同期减少，对公司利润水平产生不利影响；二、计提存货跌价准备及应收款项信用减值损失较上年同期增加，对利润水平产生不利影响；三、研发费用同比增长，进一步影响公司前三季度利润。感谢您对公司的关注！</w:t>
            </w:r>
          </w:p>
          <w:p w14:paraId="3155D4A6">
            <w:pPr>
              <w:spacing w:line="360" w:lineRule="auto"/>
              <w:jc w:val="both"/>
              <w:rPr>
                <w:rFonts w:ascii="楷体" w:hAnsi="楷体" w:eastAsia="楷体" w:cs="楷体"/>
                <w:b/>
                <w:kern w:val="2"/>
                <w:sz w:val="24"/>
                <w:lang w:val="en-US" w:bidi="ar-SA"/>
              </w:rPr>
            </w:pPr>
            <w:r>
              <w:rPr>
                <w:rFonts w:ascii="楷体" w:hAnsi="楷体" w:eastAsia="楷体" w:cs="楷体"/>
                <w:b/>
                <w:kern w:val="2"/>
                <w:sz w:val="24"/>
                <w:lang w:val="en-US" w:bidi="ar-SA"/>
              </w:rPr>
              <w:t>4</w:t>
            </w:r>
            <w:r>
              <w:rPr>
                <w:rFonts w:hint="eastAsia" w:ascii="楷体" w:hAnsi="楷体" w:eastAsia="楷体" w:cs="楷体"/>
                <w:b/>
                <w:kern w:val="2"/>
                <w:sz w:val="24"/>
                <w:lang w:val="en-US" w:bidi="ar-SA"/>
              </w:rPr>
              <w:t>、经营现金流下降的原因是什么？后续能否好转？</w:t>
            </w:r>
          </w:p>
          <w:p w14:paraId="1B0F344B">
            <w:pPr>
              <w:spacing w:line="360" w:lineRule="auto"/>
              <w:ind w:firstLine="480" w:firstLineChars="200"/>
              <w:jc w:val="both"/>
              <w:rPr>
                <w:rFonts w:hint="eastAsia" w:ascii="楷体" w:hAnsi="楷体" w:eastAsia="楷体" w:cs="楷体"/>
                <w:bCs/>
                <w:kern w:val="2"/>
                <w:sz w:val="24"/>
                <w:lang w:val="en-US" w:bidi="ar-SA"/>
              </w:rPr>
            </w:pPr>
            <w:r>
              <w:rPr>
                <w:rFonts w:hint="eastAsia" w:ascii="楷体" w:hAnsi="楷体" w:eastAsia="楷体" w:cs="楷体"/>
                <w:bCs/>
                <w:kern w:val="2"/>
                <w:sz w:val="24"/>
                <w:lang w:val="en-US" w:bidi="ar-SA"/>
              </w:rPr>
              <w:t>尊敬的投资者您好！经营活动产生的现金流量净额较上年同期减少，主要系：一、报告期销售收入增加，未到期结算的应收款项增加；二、公司为满足产品订单生产需要，增加原材料及周转材料采购，原材料采购支出较上年同期增加所致。后续公司将积极加强应收账款回收，努力改善现金流情况。感谢您对公司的关注！</w:t>
            </w:r>
          </w:p>
          <w:p w14:paraId="25306223">
            <w:pPr>
              <w:pStyle w:val="29"/>
              <w:spacing w:line="360" w:lineRule="auto"/>
              <w:ind w:left="375" w:hanging="375" w:firstLineChars="0"/>
              <w:rPr>
                <w:rFonts w:ascii="楷体" w:hAnsi="楷体" w:eastAsia="楷体" w:cs="楷体"/>
                <w:b/>
                <w:sz w:val="24"/>
              </w:rPr>
            </w:pPr>
            <w:r>
              <w:rPr>
                <w:rFonts w:ascii="楷体" w:hAnsi="楷体" w:eastAsia="楷体" w:cs="楷体"/>
                <w:b/>
                <w:sz w:val="24"/>
              </w:rPr>
              <w:t>5</w:t>
            </w:r>
            <w:r>
              <w:rPr>
                <w:rFonts w:hint="eastAsia" w:ascii="楷体" w:hAnsi="楷体" w:eastAsia="楷体" w:cs="楷体"/>
                <w:b/>
                <w:sz w:val="24"/>
              </w:rPr>
              <w:t>、请介绍一下</w:t>
            </w:r>
            <w:r>
              <w:rPr>
                <w:rFonts w:ascii="楷体" w:hAnsi="楷体" w:eastAsia="楷体" w:cs="楷体"/>
                <w:b/>
                <w:sz w:val="24"/>
              </w:rPr>
              <w:t>铜川</w:t>
            </w:r>
            <w:r>
              <w:rPr>
                <w:rFonts w:hint="eastAsia" w:ascii="楷体" w:hAnsi="楷体" w:eastAsia="楷体" w:cs="楷体"/>
                <w:b/>
                <w:sz w:val="24"/>
              </w:rPr>
              <w:t>全资子公司的运营情况和盈利情况？</w:t>
            </w:r>
          </w:p>
          <w:p w14:paraId="4C318D2A">
            <w:pPr>
              <w:pStyle w:val="29"/>
              <w:spacing w:line="360" w:lineRule="auto"/>
              <w:ind w:firstLine="480"/>
              <w:rPr>
                <w:rFonts w:hint="eastAsia" w:ascii="楷体" w:hAnsi="楷体" w:eastAsia="楷体" w:cs="楷体"/>
                <w:bCs/>
                <w:sz w:val="24"/>
              </w:rPr>
            </w:pPr>
            <w:r>
              <w:rPr>
                <w:rFonts w:hint="eastAsia" w:ascii="楷体" w:hAnsi="楷体" w:eastAsia="楷体" w:cs="楷体"/>
                <w:bCs/>
                <w:sz w:val="24"/>
              </w:rPr>
              <w:t>尊敬的投资者您好！铜川凯立新材料科技有限公司是凯立新材</w:t>
            </w:r>
            <w:r>
              <w:rPr>
                <w:rFonts w:ascii="楷体" w:hAnsi="楷体" w:eastAsia="楷体" w:cs="楷体"/>
                <w:bCs/>
                <w:sz w:val="24"/>
              </w:rPr>
              <w:t>100%控股的全资子公司，</w:t>
            </w:r>
            <w:r>
              <w:rPr>
                <w:rFonts w:hint="eastAsia" w:ascii="楷体" w:hAnsi="楷体" w:eastAsia="楷体" w:cs="楷体"/>
                <w:bCs/>
                <w:sz w:val="24"/>
              </w:rPr>
              <w:t>建设2</w:t>
            </w:r>
            <w:r>
              <w:rPr>
                <w:rFonts w:ascii="楷体" w:hAnsi="楷体" w:eastAsia="楷体" w:cs="楷体"/>
                <w:bCs/>
                <w:sz w:val="24"/>
              </w:rPr>
              <w:t>000</w:t>
            </w:r>
            <w:r>
              <w:rPr>
                <w:rFonts w:hint="eastAsia" w:ascii="楷体" w:hAnsi="楷体" w:eastAsia="楷体" w:cs="楷体"/>
                <w:bCs/>
                <w:sz w:val="24"/>
              </w:rPr>
              <w:t>吨/</w:t>
            </w:r>
            <w:r>
              <w:rPr>
                <w:rFonts w:ascii="楷体" w:hAnsi="楷体" w:eastAsia="楷体" w:cs="楷体"/>
                <w:bCs/>
                <w:sz w:val="24"/>
              </w:rPr>
              <w:t>年</w:t>
            </w:r>
            <w:r>
              <w:rPr>
                <w:rFonts w:hint="eastAsia" w:ascii="楷体" w:hAnsi="楷体" w:eastAsia="楷体" w:cs="楷体"/>
                <w:bCs/>
                <w:sz w:val="24"/>
              </w:rPr>
              <w:t>催化剂产能</w:t>
            </w:r>
            <w:r>
              <w:rPr>
                <w:rFonts w:ascii="楷体" w:hAnsi="楷体" w:eastAsia="楷体" w:cs="楷体"/>
                <w:bCs/>
                <w:sz w:val="24"/>
              </w:rPr>
              <w:t>，配套2000吨/年贵金属回收产能，</w:t>
            </w:r>
            <w:r>
              <w:rPr>
                <w:rFonts w:hint="eastAsia" w:ascii="楷体" w:hAnsi="楷体" w:eastAsia="楷体" w:cs="楷体"/>
                <w:bCs/>
                <w:sz w:val="24"/>
              </w:rPr>
              <w:t>是公司</w:t>
            </w:r>
            <w:r>
              <w:rPr>
                <w:rFonts w:ascii="楷体" w:hAnsi="楷体" w:eastAsia="楷体" w:cs="楷体"/>
                <w:bCs/>
                <w:sz w:val="24"/>
              </w:rPr>
              <w:t>“三地四区”布局当中的铜川基地</w:t>
            </w:r>
            <w:r>
              <w:rPr>
                <w:rFonts w:hint="eastAsia" w:ascii="楷体" w:hAnsi="楷体" w:eastAsia="楷体" w:cs="楷体"/>
                <w:bCs/>
                <w:sz w:val="24"/>
              </w:rPr>
              <w:t>，</w:t>
            </w:r>
            <w:r>
              <w:rPr>
                <w:rFonts w:ascii="楷体" w:hAnsi="楷体" w:eastAsia="楷体" w:cs="楷体"/>
                <w:bCs/>
                <w:sz w:val="24"/>
              </w:rPr>
              <w:t>三地即西安、铜川、彬州；四区分别为草滩基地、泾渭基地、铜川基地、彬州基地，形成“小试</w:t>
            </w:r>
            <w:r>
              <w:rPr>
                <w:rFonts w:hint="eastAsia" w:ascii="楷体" w:hAnsi="楷体" w:eastAsia="楷体" w:cs="楷体"/>
                <w:bCs/>
                <w:sz w:val="24"/>
              </w:rPr>
              <w:t>-</w:t>
            </w:r>
            <w:r>
              <w:rPr>
                <w:rFonts w:ascii="楷体" w:hAnsi="楷体" w:eastAsia="楷体" w:cs="楷体"/>
                <w:bCs/>
                <w:sz w:val="24"/>
              </w:rPr>
              <w:t>中试</w:t>
            </w:r>
            <w:r>
              <w:rPr>
                <w:rFonts w:hint="eastAsia" w:ascii="楷体" w:hAnsi="楷体" w:eastAsia="楷体" w:cs="楷体"/>
                <w:bCs/>
                <w:sz w:val="24"/>
              </w:rPr>
              <w:t>-</w:t>
            </w:r>
            <w:r>
              <w:rPr>
                <w:rFonts w:ascii="楷体" w:hAnsi="楷体" w:eastAsia="楷体" w:cs="楷体"/>
                <w:bCs/>
                <w:sz w:val="24"/>
              </w:rPr>
              <w:t>产业化</w:t>
            </w:r>
            <w:r>
              <w:rPr>
                <w:rFonts w:hint="eastAsia" w:ascii="楷体" w:hAnsi="楷体" w:eastAsia="楷体" w:cs="楷体"/>
                <w:bCs/>
                <w:sz w:val="24"/>
              </w:rPr>
              <w:t>-下游延伸</w:t>
            </w:r>
            <w:r>
              <w:rPr>
                <w:rFonts w:ascii="楷体" w:hAnsi="楷体" w:eastAsia="楷体" w:cs="楷体"/>
                <w:bCs/>
                <w:sz w:val="24"/>
              </w:rPr>
              <w:t>”全链条协同体系。草滩基地为总部研发中心，聚焦研发；泾渭基地是</w:t>
            </w:r>
            <w:r>
              <w:rPr>
                <w:rFonts w:hint="eastAsia" w:ascii="楷体" w:hAnsi="楷体" w:eastAsia="楷体" w:cs="楷体"/>
                <w:bCs/>
                <w:sz w:val="24"/>
              </w:rPr>
              <w:t>精细化工用贵金属</w:t>
            </w:r>
            <w:r>
              <w:rPr>
                <w:rFonts w:ascii="楷体" w:hAnsi="楷体" w:eastAsia="楷体" w:cs="楷体"/>
                <w:bCs/>
                <w:sz w:val="24"/>
              </w:rPr>
              <w:t>催化剂主力量产基地；铜川基地</w:t>
            </w:r>
            <w:r>
              <w:rPr>
                <w:rFonts w:hint="eastAsia" w:ascii="楷体" w:hAnsi="楷体" w:eastAsia="楷体" w:cs="楷体"/>
                <w:bCs/>
                <w:sz w:val="24"/>
              </w:rPr>
              <w:t>是基础化工用贵金属催化剂</w:t>
            </w:r>
            <w:r>
              <w:rPr>
                <w:rFonts w:ascii="楷体" w:hAnsi="楷体" w:eastAsia="楷体" w:cs="楷体"/>
                <w:bCs/>
                <w:sz w:val="24"/>
              </w:rPr>
              <w:t>量产基地</w:t>
            </w:r>
            <w:r>
              <w:rPr>
                <w:rFonts w:hint="eastAsia" w:ascii="楷体" w:hAnsi="楷体" w:eastAsia="楷体" w:cs="楷体"/>
                <w:bCs/>
                <w:sz w:val="24"/>
              </w:rPr>
              <w:t>，并</w:t>
            </w:r>
            <w:r>
              <w:rPr>
                <w:rFonts w:ascii="楷体" w:hAnsi="楷体" w:eastAsia="楷体" w:cs="楷体"/>
                <w:bCs/>
                <w:sz w:val="24"/>
              </w:rPr>
              <w:t>承担中试放大、贵金属资源循环</w:t>
            </w:r>
            <w:r>
              <w:rPr>
                <w:rFonts w:hint="eastAsia" w:ascii="楷体" w:hAnsi="楷体" w:eastAsia="楷体" w:cs="楷体"/>
                <w:bCs/>
                <w:sz w:val="24"/>
              </w:rPr>
              <w:t>功能</w:t>
            </w:r>
            <w:r>
              <w:rPr>
                <w:rFonts w:ascii="楷体" w:hAnsi="楷体" w:eastAsia="楷体" w:cs="楷体"/>
                <w:bCs/>
                <w:sz w:val="24"/>
              </w:rPr>
              <w:t>；彬州基地</w:t>
            </w:r>
            <w:r>
              <w:rPr>
                <w:rFonts w:hint="eastAsia" w:ascii="楷体" w:hAnsi="楷体" w:eastAsia="楷体" w:cs="楷体"/>
                <w:bCs/>
                <w:sz w:val="24"/>
              </w:rPr>
              <w:t>规划为基础化工非贵金属催化剂</w:t>
            </w:r>
            <w:r>
              <w:rPr>
                <w:rFonts w:ascii="楷体" w:hAnsi="楷体" w:eastAsia="楷体" w:cs="楷体"/>
                <w:bCs/>
                <w:sz w:val="24"/>
              </w:rPr>
              <w:t>主力量产基地</w:t>
            </w:r>
            <w:r>
              <w:rPr>
                <w:rFonts w:hint="eastAsia" w:ascii="楷体" w:hAnsi="楷体" w:eastAsia="楷体" w:cs="楷体"/>
                <w:bCs/>
                <w:sz w:val="24"/>
              </w:rPr>
              <w:t>，并</w:t>
            </w:r>
            <w:r>
              <w:rPr>
                <w:rFonts w:ascii="楷体" w:hAnsi="楷体" w:eastAsia="楷体" w:cs="楷体"/>
                <w:bCs/>
                <w:sz w:val="24"/>
              </w:rPr>
              <w:t>承载HNBR新材料延链以及后续新项目落地，各基地分工协同、联动发展。</w:t>
            </w:r>
            <w:r>
              <w:rPr>
                <w:rFonts w:hint="eastAsia" w:ascii="楷体" w:hAnsi="楷体" w:eastAsia="楷体" w:cs="楷体"/>
                <w:bCs/>
                <w:sz w:val="24"/>
              </w:rPr>
              <w:t>铜川</w:t>
            </w:r>
            <w:r>
              <w:rPr>
                <w:rFonts w:ascii="楷体" w:hAnsi="楷体" w:eastAsia="楷体" w:cs="楷体"/>
                <w:bCs/>
                <w:sz w:val="24"/>
              </w:rPr>
              <w:t>基地生产一直保持正常运转，持续承接</w:t>
            </w:r>
            <w:r>
              <w:rPr>
                <w:rFonts w:hint="eastAsia" w:ascii="楷体" w:hAnsi="楷体" w:eastAsia="楷体" w:cs="楷体"/>
                <w:bCs/>
                <w:sz w:val="24"/>
              </w:rPr>
              <w:t>基础化工</w:t>
            </w:r>
            <w:r>
              <w:rPr>
                <w:rFonts w:ascii="楷体" w:hAnsi="楷体" w:eastAsia="楷体" w:cs="楷体"/>
                <w:bCs/>
                <w:sz w:val="24"/>
              </w:rPr>
              <w:t>催化剂生产以及废</w:t>
            </w:r>
            <w:r>
              <w:rPr>
                <w:rFonts w:hint="eastAsia" w:ascii="楷体" w:hAnsi="楷体" w:eastAsia="楷体" w:cs="楷体"/>
                <w:bCs/>
                <w:sz w:val="24"/>
              </w:rPr>
              <w:t>旧</w:t>
            </w:r>
            <w:r>
              <w:rPr>
                <w:rFonts w:ascii="楷体" w:hAnsi="楷体" w:eastAsia="楷体" w:cs="楷体"/>
                <w:bCs/>
                <w:sz w:val="24"/>
              </w:rPr>
              <w:t>催化剂回收订单。</w:t>
            </w:r>
          </w:p>
          <w:p w14:paraId="240163CB">
            <w:pPr>
              <w:pStyle w:val="29"/>
              <w:spacing w:line="360" w:lineRule="auto"/>
              <w:ind w:firstLine="480"/>
              <w:rPr>
                <w:rFonts w:hint="eastAsia" w:ascii="楷体" w:hAnsi="楷体" w:eastAsia="楷体" w:cs="楷体"/>
                <w:bCs/>
                <w:sz w:val="24"/>
              </w:rPr>
            </w:pPr>
            <w:r>
              <w:rPr>
                <w:rFonts w:hint="eastAsia" w:ascii="楷体" w:hAnsi="楷体" w:eastAsia="楷体" w:cs="楷体"/>
                <w:bCs/>
                <w:sz w:val="24"/>
              </w:rPr>
              <w:t>经营情况方面，</w:t>
            </w:r>
            <w:r>
              <w:rPr>
                <w:rFonts w:ascii="楷体" w:hAnsi="楷体" w:eastAsia="楷体" w:cs="楷体"/>
                <w:bCs/>
                <w:sz w:val="24"/>
              </w:rPr>
              <w:t>2025年全年铜川凯立营收5.23亿元，净利润889.45万元；2026年上半年营收2.86亿元，净利润663.69万元，盈利质量有所改善。铜川基地</w:t>
            </w:r>
            <w:r>
              <w:rPr>
                <w:rFonts w:hint="eastAsia" w:ascii="楷体" w:hAnsi="楷体" w:eastAsia="楷体" w:cs="楷体"/>
                <w:bCs/>
                <w:sz w:val="24"/>
              </w:rPr>
              <w:t>2</w:t>
            </w:r>
            <w:r>
              <w:rPr>
                <w:rFonts w:ascii="楷体" w:hAnsi="楷体" w:eastAsia="楷体" w:cs="楷体"/>
                <w:bCs/>
                <w:sz w:val="24"/>
              </w:rPr>
              <w:t>3</w:t>
            </w:r>
            <w:r>
              <w:rPr>
                <w:rFonts w:hint="eastAsia" w:ascii="楷体" w:hAnsi="楷体" w:eastAsia="楷体" w:cs="楷体"/>
                <w:bCs/>
                <w:sz w:val="24"/>
              </w:rPr>
              <w:t>年底</w:t>
            </w:r>
            <w:r>
              <w:rPr>
                <w:rFonts w:ascii="楷体" w:hAnsi="楷体" w:eastAsia="楷体" w:cs="楷体"/>
                <w:bCs/>
                <w:sz w:val="24"/>
              </w:rPr>
              <w:t>投产，厂房、设备持续计提折旧，折旧是常态化固定成本，叠加人工、能耗等刚性支出，</w:t>
            </w:r>
            <w:r>
              <w:rPr>
                <w:rFonts w:hint="eastAsia" w:ascii="楷体" w:hAnsi="楷体" w:eastAsia="楷体" w:cs="楷体"/>
                <w:bCs/>
                <w:sz w:val="24"/>
              </w:rPr>
              <w:t>产能利用率正处于爬坡阶段。</w:t>
            </w:r>
          </w:p>
          <w:p w14:paraId="645E2CEC">
            <w:pPr>
              <w:pStyle w:val="29"/>
              <w:spacing w:line="360" w:lineRule="auto"/>
              <w:ind w:firstLine="480"/>
              <w:rPr>
                <w:rFonts w:ascii="楷体" w:hAnsi="楷体" w:eastAsia="楷体" w:cs="楷体"/>
                <w:bCs/>
                <w:sz w:val="24"/>
              </w:rPr>
            </w:pPr>
            <w:r>
              <w:rPr>
                <w:rFonts w:hint="eastAsia" w:ascii="楷体" w:hAnsi="楷体" w:eastAsia="楷体" w:cs="楷体"/>
                <w:bCs/>
                <w:sz w:val="24"/>
              </w:rPr>
              <w:t>长远来看，铜川基地的定位不会变，后续我们一方面发挥中试平台的中试放大作用，一方面持续开发烷烃脱氢催化剂等新产品、持续开发PVC催化剂等成长性产品的下游市场，通过提升产能利用率摊薄单位折旧等固定成本；另一方面也会加强铜川基地资源再生一体化的协同价值，提高铜川凯立的盈利能力，为投资者带来长期价值。感谢您对公司的关注！</w:t>
            </w:r>
          </w:p>
          <w:p w14:paraId="0BEE5332">
            <w:pPr>
              <w:pStyle w:val="29"/>
              <w:spacing w:line="360" w:lineRule="auto"/>
              <w:ind w:left="375" w:hanging="375" w:firstLineChars="0"/>
              <w:rPr>
                <w:rFonts w:ascii="楷体" w:hAnsi="楷体" w:eastAsia="楷体" w:cs="楷体"/>
                <w:b/>
                <w:sz w:val="24"/>
              </w:rPr>
            </w:pPr>
            <w:r>
              <w:rPr>
                <w:rFonts w:ascii="楷体" w:hAnsi="楷体" w:eastAsia="楷体" w:cs="楷体"/>
                <w:b/>
                <w:sz w:val="24"/>
              </w:rPr>
              <w:t>6</w:t>
            </w:r>
            <w:r>
              <w:rPr>
                <w:rFonts w:hint="eastAsia" w:ascii="楷体" w:hAnsi="楷体" w:eastAsia="楷体" w:cs="楷体"/>
                <w:b/>
                <w:sz w:val="24"/>
              </w:rPr>
              <w:t>、请介绍一下彬州控股子公司的运营情况和盈利情况？</w:t>
            </w:r>
          </w:p>
          <w:p w14:paraId="50FA697F">
            <w:pPr>
              <w:spacing w:line="360" w:lineRule="auto"/>
              <w:ind w:firstLine="480" w:firstLineChars="200"/>
              <w:jc w:val="both"/>
              <w:rPr>
                <w:rFonts w:hint="eastAsia" w:ascii="楷体" w:hAnsi="楷体" w:eastAsia="楷体" w:cs="楷体"/>
                <w:bCs/>
                <w:kern w:val="2"/>
                <w:sz w:val="24"/>
                <w:lang w:val="en-US" w:bidi="ar-SA"/>
              </w:rPr>
            </w:pPr>
            <w:r>
              <w:rPr>
                <w:rFonts w:hint="eastAsia" w:ascii="楷体" w:hAnsi="楷体" w:eastAsia="楷体" w:cs="楷体"/>
                <w:bCs/>
                <w:kern w:val="2"/>
                <w:sz w:val="24"/>
                <w:lang w:val="en-US" w:bidi="ar-SA"/>
              </w:rPr>
              <w:t>尊敬的投资者您好！彬州凯泰新材料有限公司为公司控股子公司，凯立新材持股</w:t>
            </w:r>
            <w:r>
              <w:rPr>
                <w:rFonts w:ascii="楷体" w:hAnsi="楷体" w:eastAsia="楷体" w:cs="楷体"/>
                <w:bCs/>
                <w:kern w:val="2"/>
                <w:sz w:val="24"/>
                <w:lang w:val="en-US" w:bidi="ar-SA"/>
              </w:rPr>
              <w:t>40%，基于董事会席位安排，纳入公司合并报表，</w:t>
            </w:r>
            <w:r>
              <w:rPr>
                <w:rFonts w:hint="eastAsia" w:ascii="楷体" w:hAnsi="楷体" w:eastAsia="楷体" w:cs="楷体"/>
                <w:bCs/>
                <w:kern w:val="2"/>
                <w:sz w:val="24"/>
                <w:lang w:val="en-US" w:bidi="ar-SA"/>
              </w:rPr>
              <w:t>定位为公司向下游延伸的</w:t>
            </w:r>
            <w:r>
              <w:rPr>
                <w:rFonts w:ascii="楷体" w:hAnsi="楷体" w:eastAsia="楷体" w:cs="楷体"/>
                <w:bCs/>
                <w:kern w:val="2"/>
                <w:sz w:val="24"/>
                <w:lang w:val="en-US" w:bidi="ar-SA"/>
              </w:rPr>
              <w:t>氢化丁腈橡胶（HNBR）产业化项目，一期规划产能1000吨/年，是公司依托催化剂技术向下游高端新材料延伸的重要布局。</w:t>
            </w:r>
          </w:p>
          <w:p w14:paraId="31AE2027">
            <w:pPr>
              <w:spacing w:line="360" w:lineRule="auto"/>
              <w:ind w:firstLine="480" w:firstLineChars="200"/>
              <w:jc w:val="both"/>
              <w:rPr>
                <w:rFonts w:hint="eastAsia" w:ascii="楷体" w:hAnsi="楷体" w:eastAsia="楷体" w:cs="楷体"/>
                <w:bCs/>
                <w:kern w:val="2"/>
                <w:sz w:val="24"/>
                <w:lang w:val="en-US" w:bidi="ar-SA"/>
              </w:rPr>
            </w:pPr>
            <w:r>
              <w:rPr>
                <w:rFonts w:hint="eastAsia" w:ascii="楷体" w:hAnsi="楷体" w:eastAsia="楷体" w:cs="楷体"/>
                <w:bCs/>
                <w:kern w:val="2"/>
                <w:sz w:val="24"/>
                <w:lang w:val="en-US" w:bidi="ar-SA"/>
              </w:rPr>
              <w:t>项目于</w:t>
            </w:r>
            <w:r>
              <w:rPr>
                <w:rFonts w:ascii="楷体" w:hAnsi="楷体" w:eastAsia="楷体" w:cs="楷体"/>
                <w:bCs/>
                <w:kern w:val="2"/>
                <w:sz w:val="24"/>
                <w:lang w:val="en-US" w:bidi="ar-SA"/>
              </w:rPr>
              <w:t>2025年</w:t>
            </w:r>
            <w:r>
              <w:rPr>
                <w:rFonts w:hint="eastAsia" w:ascii="楷体" w:hAnsi="楷体" w:eastAsia="楷体" w:cs="楷体"/>
                <w:bCs/>
                <w:kern w:val="2"/>
                <w:sz w:val="24"/>
                <w:lang w:val="en-US" w:bidi="ar-SA"/>
              </w:rPr>
              <w:t>底</w:t>
            </w:r>
            <w:r>
              <w:rPr>
                <w:rFonts w:ascii="楷体" w:hAnsi="楷体" w:eastAsia="楷体" w:cs="楷体"/>
                <w:bCs/>
                <w:kern w:val="2"/>
                <w:sz w:val="24"/>
                <w:lang w:val="en-US" w:bidi="ar-SA"/>
              </w:rPr>
              <w:t>建成投产并产出合格产品，进入2026年，固体、液体两类HNBR产品均已实现对外销售，其中液体HNBR已经进入高端锂电领域开展应用验证，市场拓展有序推进。项目仍处于投产初期、</w:t>
            </w:r>
            <w:r>
              <w:rPr>
                <w:rFonts w:hint="eastAsia" w:ascii="楷体" w:hAnsi="楷体" w:eastAsia="楷体" w:cs="楷体"/>
                <w:bCs/>
                <w:kern w:val="2"/>
                <w:sz w:val="24"/>
                <w:lang w:val="en-US" w:bidi="ar-SA"/>
              </w:rPr>
              <w:t>在生产样品，配合客户测试，产能开始</w:t>
            </w:r>
            <w:r>
              <w:rPr>
                <w:rFonts w:ascii="楷体" w:hAnsi="楷体" w:eastAsia="楷体" w:cs="楷体"/>
                <w:bCs/>
                <w:kern w:val="2"/>
                <w:sz w:val="24"/>
                <w:lang w:val="en-US" w:bidi="ar-SA"/>
              </w:rPr>
              <w:t>爬坡</w:t>
            </w:r>
            <w:r>
              <w:rPr>
                <w:rFonts w:hint="eastAsia" w:ascii="楷体" w:hAnsi="楷体" w:eastAsia="楷体" w:cs="楷体"/>
                <w:bCs/>
                <w:kern w:val="2"/>
                <w:sz w:val="24"/>
                <w:lang w:val="en-US" w:bidi="ar-SA"/>
              </w:rPr>
              <w:t>的初期</w:t>
            </w:r>
            <w:r>
              <w:rPr>
                <w:rFonts w:ascii="楷体" w:hAnsi="楷体" w:eastAsia="楷体" w:cs="楷体"/>
                <w:bCs/>
                <w:kern w:val="2"/>
                <w:sz w:val="24"/>
                <w:lang w:val="en-US" w:bidi="ar-SA"/>
              </w:rPr>
              <w:t>阶段。</w:t>
            </w:r>
          </w:p>
          <w:p w14:paraId="00144B0B">
            <w:pPr>
              <w:spacing w:line="360" w:lineRule="auto"/>
              <w:ind w:firstLine="480" w:firstLineChars="200"/>
              <w:jc w:val="both"/>
              <w:rPr>
                <w:rFonts w:hint="eastAsia" w:ascii="楷体" w:hAnsi="楷体" w:eastAsia="楷体" w:cs="楷体"/>
                <w:bCs/>
                <w:kern w:val="2"/>
                <w:sz w:val="24"/>
                <w:lang w:val="en-US" w:bidi="ar-SA"/>
              </w:rPr>
            </w:pPr>
            <w:r>
              <w:rPr>
                <w:rFonts w:hint="eastAsia" w:ascii="楷体" w:hAnsi="楷体" w:eastAsia="楷体" w:cs="楷体"/>
                <w:bCs/>
                <w:kern w:val="2"/>
                <w:sz w:val="24"/>
                <w:lang w:val="en-US" w:bidi="ar-SA"/>
              </w:rPr>
              <w:t>经营情况方面，</w:t>
            </w:r>
            <w:r>
              <w:rPr>
                <w:rFonts w:ascii="楷体" w:hAnsi="楷体" w:eastAsia="楷体" w:cs="楷体"/>
                <w:bCs/>
                <w:kern w:val="2"/>
                <w:sz w:val="24"/>
                <w:lang w:val="en-US" w:bidi="ar-SA"/>
              </w:rPr>
              <w:t>2025年全年彬州凯泰实现营业收入19.47万元，净利润-196.86万元，以试生产为主；2026年上半年实现营业收入217.33万元，收入较去年全年明显提升，但净利润为-551.79万元，仍处于亏损状态。亏损主要原因是项目投产转固之后，厂房、设备持续计提折旧，叠加人工、能耗等固定成本刚性支出较高，而现阶段产能利用率偏低，收入规模暂未覆盖固定成本，属于新材料产业化项目爬坡阶段的正常情形。</w:t>
            </w:r>
          </w:p>
          <w:p w14:paraId="3D9200AB">
            <w:pPr>
              <w:spacing w:line="360" w:lineRule="auto"/>
              <w:ind w:firstLine="480" w:firstLineChars="200"/>
              <w:jc w:val="both"/>
              <w:rPr>
                <w:rFonts w:hint="eastAsia" w:ascii="楷体" w:hAnsi="楷体" w:eastAsia="楷体" w:cs="楷体"/>
                <w:bCs/>
                <w:kern w:val="2"/>
                <w:sz w:val="24"/>
                <w:lang w:val="en-US" w:bidi="ar-SA"/>
              </w:rPr>
            </w:pPr>
            <w:r>
              <w:rPr>
                <w:rFonts w:hint="eastAsia" w:ascii="楷体" w:hAnsi="楷体" w:eastAsia="楷体" w:cs="楷体"/>
                <w:bCs/>
                <w:kern w:val="2"/>
                <w:sz w:val="24"/>
                <w:lang w:val="en-US" w:bidi="ar-SA"/>
              </w:rPr>
              <w:t>整体来看，彬州凯泰</w:t>
            </w:r>
            <w:r>
              <w:rPr>
                <w:rFonts w:ascii="楷体" w:hAnsi="楷体" w:eastAsia="楷体" w:cs="楷体"/>
                <w:bCs/>
                <w:kern w:val="2"/>
                <w:sz w:val="24"/>
                <w:lang w:val="en-US" w:bidi="ar-SA"/>
              </w:rPr>
              <w:t>HNBR项目路线验证顺利，产品已经实现出货并切入锂电等高附加值赛道，后续我们将持续推进产能爬坡、客户导入与认证工作，随着产能利用率提升、营收规模放大，逐步摊薄单位折旧等固定成本，改善经营效益</w:t>
            </w:r>
            <w:r>
              <w:rPr>
                <w:rFonts w:hint="eastAsia" w:ascii="楷体" w:hAnsi="楷体" w:eastAsia="楷体" w:cs="楷体"/>
                <w:bCs/>
                <w:kern w:val="2"/>
                <w:sz w:val="24"/>
                <w:lang w:val="en-US" w:bidi="ar-SA"/>
              </w:rPr>
              <w:t>，早日实现扭亏为盈</w:t>
            </w:r>
            <w:r>
              <w:rPr>
                <w:rFonts w:ascii="楷体" w:hAnsi="楷体" w:eastAsia="楷体" w:cs="楷体"/>
                <w:bCs/>
                <w:kern w:val="2"/>
                <w:sz w:val="24"/>
                <w:lang w:val="en-US" w:bidi="ar-SA"/>
              </w:rPr>
              <w:t>。</w:t>
            </w:r>
            <w:r>
              <w:rPr>
                <w:rFonts w:hint="eastAsia" w:ascii="楷体" w:hAnsi="楷体" w:eastAsia="楷体" w:cs="楷体"/>
                <w:bCs/>
                <w:kern w:val="2"/>
                <w:sz w:val="24"/>
                <w:lang w:val="en-US" w:bidi="ar-SA"/>
              </w:rPr>
              <w:t>感谢您对公司的关注！</w:t>
            </w:r>
          </w:p>
          <w:p w14:paraId="2227F54E">
            <w:pPr>
              <w:pStyle w:val="29"/>
              <w:spacing w:line="360" w:lineRule="auto"/>
              <w:ind w:left="375" w:hanging="375" w:firstLineChars="0"/>
              <w:rPr>
                <w:rFonts w:ascii="楷体" w:hAnsi="楷体" w:eastAsia="楷体" w:cs="楷体"/>
                <w:b/>
                <w:sz w:val="24"/>
              </w:rPr>
            </w:pPr>
            <w:r>
              <w:rPr>
                <w:rFonts w:ascii="楷体" w:hAnsi="楷体" w:eastAsia="楷体" w:cs="楷体"/>
                <w:b/>
                <w:sz w:val="24"/>
              </w:rPr>
              <w:t>7</w:t>
            </w:r>
            <w:r>
              <w:rPr>
                <w:rFonts w:hint="eastAsia" w:ascii="楷体" w:hAnsi="楷体" w:eastAsia="楷体" w:cs="楷体"/>
                <w:b/>
                <w:sz w:val="24"/>
              </w:rPr>
              <w:t>、PVC无汞催化剂未来订单情况？</w:t>
            </w:r>
          </w:p>
          <w:p w14:paraId="186DB851">
            <w:pPr>
              <w:spacing w:line="360" w:lineRule="auto"/>
              <w:ind w:firstLine="480" w:firstLineChars="200"/>
              <w:jc w:val="both"/>
              <w:rPr>
                <w:rFonts w:ascii="楷体" w:hAnsi="楷体" w:eastAsia="楷体" w:cs="楷体"/>
                <w:bCs/>
                <w:kern w:val="2"/>
                <w:sz w:val="24"/>
                <w:lang w:val="en-US" w:bidi="ar-SA"/>
              </w:rPr>
            </w:pPr>
            <w:r>
              <w:rPr>
                <w:rFonts w:hint="eastAsia" w:ascii="楷体" w:hAnsi="楷体" w:eastAsia="楷体" w:cs="楷体"/>
                <w:bCs/>
                <w:kern w:val="2"/>
                <w:sz w:val="24"/>
                <w:lang w:val="en-US" w:bidi="ar-SA"/>
              </w:rPr>
              <w:t>尊敬的投资者您好！2026年截止9月底在手订单241.3</w:t>
            </w:r>
            <w:r>
              <w:rPr>
                <w:rFonts w:hint="eastAsia" w:ascii="楷体" w:hAnsi="楷体" w:eastAsia="楷体" w:cs="楷体"/>
                <w:bCs/>
                <w:kern w:val="2"/>
                <w:sz w:val="24"/>
                <w:lang w:val="en-US" w:eastAsia="zh-CN" w:bidi="ar-SA"/>
              </w:rPr>
              <w:t>2</w:t>
            </w:r>
            <w:bookmarkStart w:id="0" w:name="_GoBack"/>
            <w:bookmarkEnd w:id="0"/>
            <w:r>
              <w:rPr>
                <w:rFonts w:hint="eastAsia" w:ascii="楷体" w:hAnsi="楷体" w:eastAsia="楷体" w:cs="楷体"/>
                <w:bCs/>
                <w:kern w:val="2"/>
                <w:sz w:val="24"/>
                <w:lang w:val="en-US" w:bidi="ar-SA"/>
              </w:rPr>
              <w:t>吨，前三季度实现销量41.36吨，未执行订单241.32吨。感谢您对公司的关注！</w:t>
            </w:r>
          </w:p>
          <w:p w14:paraId="0A40AF5E">
            <w:pPr>
              <w:spacing w:line="360" w:lineRule="auto"/>
              <w:ind w:left="375" w:hanging="375"/>
              <w:jc w:val="both"/>
              <w:rPr>
                <w:rFonts w:ascii="楷体" w:hAnsi="楷体" w:eastAsia="楷体" w:cs="楷体"/>
                <w:b/>
                <w:kern w:val="2"/>
                <w:sz w:val="24"/>
                <w:lang w:val="en-US" w:bidi="ar-SA"/>
              </w:rPr>
            </w:pPr>
            <w:r>
              <w:rPr>
                <w:rFonts w:ascii="楷体" w:hAnsi="楷体" w:eastAsia="楷体" w:cs="楷体"/>
                <w:b/>
                <w:kern w:val="2"/>
                <w:sz w:val="24"/>
                <w:lang w:val="en-US" w:bidi="ar-SA"/>
              </w:rPr>
              <w:t>8</w:t>
            </w:r>
            <w:r>
              <w:rPr>
                <w:rFonts w:hint="eastAsia" w:ascii="楷体" w:hAnsi="楷体" w:eastAsia="楷体" w:cs="楷体"/>
                <w:b/>
                <w:kern w:val="2"/>
                <w:sz w:val="24"/>
                <w:lang w:val="en-US" w:bidi="ar-SA"/>
              </w:rPr>
              <w:t>、PVC无汞化推进进展如何？</w:t>
            </w:r>
          </w:p>
          <w:p w14:paraId="5CFEB1B0">
            <w:pPr>
              <w:spacing w:line="360" w:lineRule="auto"/>
              <w:ind w:firstLine="480" w:firstLineChars="200"/>
              <w:jc w:val="both"/>
              <w:rPr>
                <w:rFonts w:ascii="楷体" w:hAnsi="楷体" w:eastAsia="楷体" w:cs="楷体"/>
                <w:bCs/>
                <w:kern w:val="2"/>
                <w:sz w:val="24"/>
                <w:lang w:val="en-US" w:bidi="ar-SA"/>
              </w:rPr>
            </w:pPr>
            <w:r>
              <w:rPr>
                <w:rFonts w:hint="eastAsia" w:ascii="楷体" w:hAnsi="楷体" w:eastAsia="楷体" w:cs="楷体"/>
                <w:bCs/>
                <w:kern w:val="2"/>
                <w:sz w:val="24"/>
                <w:lang w:val="en-US" w:bidi="ar-SA"/>
              </w:rPr>
              <w:t>尊敬的投资者您好！2026年4月13日在乌鲁木齐召开的电石法聚氯乙烯行业座谈会明确指出，无汞化转型是推动电石法聚氯乙烯行业绿色发展的重要举措，要求行业企业高度重视、及早谋划、有序推进电石法聚氯乙烯无汞化转型。从行业进展来看，近两年PVC行业无汞化转型步伐明显加快。感谢您对公司的关注！</w:t>
            </w:r>
          </w:p>
          <w:p w14:paraId="468EF1F0">
            <w:pPr>
              <w:spacing w:line="360" w:lineRule="auto"/>
              <w:jc w:val="both"/>
              <w:rPr>
                <w:rFonts w:ascii="楷体" w:hAnsi="楷体" w:eastAsia="楷体" w:cs="楷体"/>
                <w:b/>
                <w:kern w:val="2"/>
                <w:sz w:val="24"/>
                <w:lang w:val="en-US" w:bidi="ar-SA"/>
              </w:rPr>
            </w:pPr>
            <w:r>
              <w:rPr>
                <w:rFonts w:ascii="楷体" w:hAnsi="楷体" w:eastAsia="楷体" w:cs="楷体"/>
                <w:b/>
                <w:kern w:val="2"/>
                <w:sz w:val="24"/>
                <w:lang w:val="en-US" w:bidi="ar-SA"/>
              </w:rPr>
              <w:t>9</w:t>
            </w:r>
            <w:r>
              <w:rPr>
                <w:rFonts w:hint="eastAsia" w:ascii="楷体" w:hAnsi="楷体" w:eastAsia="楷体" w:cs="楷体"/>
                <w:b/>
                <w:kern w:val="2"/>
                <w:sz w:val="24"/>
                <w:lang w:val="en-US" w:bidi="ar-SA"/>
              </w:rPr>
              <w:t>、</w:t>
            </w:r>
            <w:r>
              <w:rPr>
                <w:rFonts w:hint="eastAsia" w:ascii="楷体" w:hAnsi="楷体" w:eastAsia="楷体" w:cs="楷体"/>
                <w:b/>
                <w:sz w:val="24"/>
              </w:rPr>
              <w:t>PVC</w:t>
            </w:r>
            <w:r>
              <w:rPr>
                <w:rFonts w:hint="eastAsia" w:ascii="楷体" w:hAnsi="楷体" w:eastAsia="楷体" w:cs="楷体"/>
                <w:b/>
                <w:sz w:val="24"/>
                <w:lang w:val="en-US"/>
              </w:rPr>
              <w:t>无汞</w:t>
            </w:r>
            <w:r>
              <w:rPr>
                <w:rFonts w:hint="eastAsia" w:ascii="楷体" w:hAnsi="楷体" w:eastAsia="楷体" w:cs="楷体"/>
                <w:b/>
                <w:sz w:val="24"/>
              </w:rPr>
              <w:t>催化剂</w:t>
            </w:r>
            <w:r>
              <w:rPr>
                <w:rFonts w:hint="eastAsia" w:ascii="楷体" w:hAnsi="楷体" w:eastAsia="楷体" w:cs="楷体"/>
                <w:b/>
                <w:kern w:val="2"/>
                <w:sz w:val="24"/>
                <w:lang w:val="en-US" w:bidi="ar-SA"/>
              </w:rPr>
              <w:t>从开始接触客户到实现规模化销售大概需要多长时间？</w:t>
            </w:r>
          </w:p>
          <w:p w14:paraId="2BB1FAE8">
            <w:pPr>
              <w:spacing w:line="360" w:lineRule="auto"/>
              <w:ind w:firstLine="480" w:firstLineChars="200"/>
              <w:jc w:val="both"/>
              <w:rPr>
                <w:rFonts w:ascii="楷体" w:hAnsi="楷体" w:eastAsia="楷体" w:cs="楷体"/>
                <w:bCs/>
                <w:kern w:val="2"/>
                <w:sz w:val="24"/>
                <w:lang w:val="en-US" w:bidi="ar-SA"/>
              </w:rPr>
            </w:pPr>
            <w:r>
              <w:rPr>
                <w:rFonts w:hint="eastAsia" w:ascii="楷体" w:hAnsi="楷体" w:eastAsia="楷体" w:cs="楷体"/>
                <w:bCs/>
                <w:kern w:val="2"/>
                <w:sz w:val="24"/>
                <w:lang w:val="en-US" w:bidi="ar-SA"/>
              </w:rPr>
              <w:t>尊敬的投资者您好！无汞化改造需对产线整体增加投入，原体系需整个更换，涉及产线设计、办手续、行政审批、设备定型选型、安装建设等，预计需一年至一年半以上，具体取决于各地审批时间。目前已有PVC企业今年内制定了相关计划，只是实施日程尚未完全确定，今年内会很快推进。感谢您对公司的关注！</w:t>
            </w:r>
          </w:p>
          <w:p w14:paraId="19092CC8">
            <w:pPr>
              <w:spacing w:line="360" w:lineRule="auto"/>
              <w:jc w:val="both"/>
              <w:rPr>
                <w:rFonts w:ascii="楷体" w:hAnsi="楷体" w:eastAsia="楷体" w:cs="楷体"/>
                <w:b/>
                <w:kern w:val="2"/>
                <w:sz w:val="24"/>
                <w:lang w:val="en-US" w:bidi="ar-SA"/>
              </w:rPr>
            </w:pPr>
            <w:r>
              <w:rPr>
                <w:rFonts w:ascii="楷体" w:hAnsi="楷体" w:eastAsia="楷体" w:cs="楷体"/>
                <w:b/>
                <w:kern w:val="2"/>
                <w:sz w:val="24"/>
                <w:lang w:val="en-US" w:bidi="ar-SA"/>
              </w:rPr>
              <w:t>10</w:t>
            </w:r>
            <w:r>
              <w:rPr>
                <w:rFonts w:hint="eastAsia" w:ascii="楷体" w:hAnsi="楷体" w:eastAsia="楷体" w:cs="楷体"/>
                <w:b/>
                <w:kern w:val="2"/>
                <w:sz w:val="24"/>
                <w:lang w:val="en-US" w:bidi="ar-SA"/>
              </w:rPr>
              <w:t>、HNBR目前生产销售和客户开拓情况如何？前三季度盈利情况如何？</w:t>
            </w:r>
          </w:p>
          <w:p w14:paraId="35300083">
            <w:pPr>
              <w:spacing w:line="360" w:lineRule="auto"/>
              <w:ind w:firstLine="480" w:firstLineChars="200"/>
              <w:jc w:val="both"/>
              <w:rPr>
                <w:rFonts w:hint="eastAsia" w:ascii="楷体" w:hAnsi="楷体" w:eastAsia="楷体" w:cs="楷体"/>
                <w:bCs/>
                <w:kern w:val="2"/>
                <w:sz w:val="24"/>
                <w:lang w:val="en-US" w:bidi="ar-SA"/>
              </w:rPr>
            </w:pPr>
            <w:r>
              <w:rPr>
                <w:rFonts w:hint="eastAsia" w:ascii="楷体" w:hAnsi="楷体" w:eastAsia="楷体" w:cs="楷体"/>
                <w:bCs/>
                <w:kern w:val="2"/>
                <w:sz w:val="24"/>
                <w:lang w:val="en-US" w:bidi="ar-SA"/>
              </w:rPr>
              <w:t>尊敬的投资者您好！氢化丁腈橡胶是公司向下游延伸的重点方向，属于高性能弹性体，固体氢化丁腈橡胶主要应用于高端密封、航空航天、油田、汽车传动带等领域。液体氢化丁腈橡胶为2026年新投产产品，成功应用至高端锂电领域，整体市场前景广阔。但下游用户需对氢化丁腈橡胶产品进行性能评测，该行业评测周期较长，有的半年甚至一年以上，因此验证周期较长。这也导致前三季度生产销售总量较小，约销售100多吨。从与客户应用交流看，客户对现阶段橡胶产品的评测结果和性能指标非常认可。预计明年氢化丁腈橡胶产品的生产销售情况会有很大改观，公司对该产品的市场应用充满信心。感谢您对公司的关注！</w:t>
            </w:r>
          </w:p>
        </w:tc>
      </w:tr>
      <w:tr w14:paraId="34158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jc w:val="center"/>
        </w:trPr>
        <w:tc>
          <w:tcPr>
            <w:tcW w:w="1648" w:type="dxa"/>
            <w:vAlign w:val="center"/>
          </w:tcPr>
          <w:p w14:paraId="6919A62E">
            <w:pPr>
              <w:pStyle w:val="16"/>
              <w:spacing w:before="1" w:line="360" w:lineRule="auto"/>
              <w:ind w:firstLine="210" w:firstLineChars="100"/>
              <w:rPr>
                <w:rFonts w:ascii="楷体" w:hAnsi="楷体" w:eastAsia="楷体" w:cs="楷体"/>
                <w:sz w:val="21"/>
                <w:szCs w:val="21"/>
              </w:rPr>
            </w:pPr>
            <w:r>
              <w:rPr>
                <w:rFonts w:hint="eastAsia" w:ascii="楷体" w:hAnsi="楷体" w:eastAsia="楷体" w:cs="楷体"/>
                <w:sz w:val="21"/>
                <w:szCs w:val="21"/>
              </w:rPr>
              <w:t>日期</w:t>
            </w:r>
          </w:p>
        </w:tc>
        <w:tc>
          <w:tcPr>
            <w:tcW w:w="8979" w:type="dxa"/>
            <w:gridSpan w:val="4"/>
            <w:vAlign w:val="center"/>
          </w:tcPr>
          <w:p w14:paraId="180933D1">
            <w:pPr>
              <w:pStyle w:val="16"/>
              <w:spacing w:line="360" w:lineRule="auto"/>
              <w:rPr>
                <w:rFonts w:ascii="楷体" w:hAnsi="楷体" w:eastAsia="楷体" w:cs="楷体"/>
                <w:b/>
                <w:sz w:val="21"/>
                <w:szCs w:val="21"/>
              </w:rPr>
            </w:pPr>
            <w:r>
              <w:rPr>
                <w:rFonts w:hint="eastAsia" w:ascii="楷体" w:hAnsi="楷体" w:eastAsia="楷体" w:cs="楷体"/>
                <w:b/>
                <w:sz w:val="21"/>
                <w:szCs w:val="21"/>
              </w:rPr>
              <w:t>202</w:t>
            </w:r>
            <w:r>
              <w:rPr>
                <w:rFonts w:hint="eastAsia" w:ascii="楷体" w:hAnsi="楷体" w:eastAsia="楷体" w:cs="楷体"/>
                <w:b/>
                <w:sz w:val="21"/>
                <w:szCs w:val="21"/>
                <w:lang w:val="en-US"/>
              </w:rPr>
              <w:t>6</w:t>
            </w:r>
            <w:r>
              <w:rPr>
                <w:rFonts w:hint="eastAsia" w:ascii="楷体" w:hAnsi="楷体" w:eastAsia="楷体" w:cs="楷体"/>
                <w:b/>
                <w:sz w:val="21"/>
                <w:szCs w:val="21"/>
              </w:rPr>
              <w:t>年</w:t>
            </w:r>
            <w:r>
              <w:rPr>
                <w:rFonts w:hint="eastAsia" w:ascii="楷体" w:hAnsi="楷体" w:eastAsia="楷体" w:cs="楷体"/>
                <w:b/>
                <w:sz w:val="21"/>
                <w:szCs w:val="21"/>
                <w:lang w:val="en-US"/>
              </w:rPr>
              <w:t>11</w:t>
            </w:r>
            <w:r>
              <w:rPr>
                <w:rFonts w:hint="eastAsia" w:ascii="楷体" w:hAnsi="楷体" w:eastAsia="楷体" w:cs="楷体"/>
                <w:b/>
                <w:sz w:val="21"/>
                <w:szCs w:val="21"/>
              </w:rPr>
              <w:t>月</w:t>
            </w:r>
            <w:r>
              <w:rPr>
                <w:rFonts w:hint="eastAsia" w:ascii="楷体" w:hAnsi="楷体" w:eastAsia="楷体" w:cs="楷体"/>
                <w:b/>
                <w:sz w:val="21"/>
                <w:szCs w:val="21"/>
                <w:lang w:val="en-US" w:eastAsia="zh-CN"/>
              </w:rPr>
              <w:t>3</w:t>
            </w:r>
            <w:r>
              <w:rPr>
                <w:rFonts w:hint="eastAsia" w:ascii="楷体" w:hAnsi="楷体" w:eastAsia="楷体" w:cs="楷体"/>
                <w:b/>
                <w:sz w:val="21"/>
                <w:szCs w:val="21"/>
              </w:rPr>
              <w:t>日</w:t>
            </w:r>
          </w:p>
        </w:tc>
      </w:tr>
    </w:tbl>
    <w:p w14:paraId="1F4F1BD3">
      <w:pPr>
        <w:spacing w:line="360" w:lineRule="auto"/>
        <w:rPr>
          <w:rFonts w:ascii="楷体" w:hAnsi="楷体" w:eastAsia="楷体"/>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36F"/>
    <w:rsid w:val="00011670"/>
    <w:rsid w:val="000178F0"/>
    <w:rsid w:val="00055688"/>
    <w:rsid w:val="00061B78"/>
    <w:rsid w:val="00061BB0"/>
    <w:rsid w:val="00093AC2"/>
    <w:rsid w:val="000966D1"/>
    <w:rsid w:val="000A1631"/>
    <w:rsid w:val="000D447D"/>
    <w:rsid w:val="000D6826"/>
    <w:rsid w:val="000E5AB8"/>
    <w:rsid w:val="000E72FB"/>
    <w:rsid w:val="00134781"/>
    <w:rsid w:val="00143CEC"/>
    <w:rsid w:val="00160C83"/>
    <w:rsid w:val="00167490"/>
    <w:rsid w:val="00171ADE"/>
    <w:rsid w:val="001835A4"/>
    <w:rsid w:val="001A3364"/>
    <w:rsid w:val="001A3FF5"/>
    <w:rsid w:val="001A721D"/>
    <w:rsid w:val="001F5F33"/>
    <w:rsid w:val="00251C10"/>
    <w:rsid w:val="00252A93"/>
    <w:rsid w:val="002C10DD"/>
    <w:rsid w:val="002D472E"/>
    <w:rsid w:val="002E6221"/>
    <w:rsid w:val="00326583"/>
    <w:rsid w:val="00326730"/>
    <w:rsid w:val="00333C1D"/>
    <w:rsid w:val="00336E1D"/>
    <w:rsid w:val="003564D2"/>
    <w:rsid w:val="00367934"/>
    <w:rsid w:val="00395614"/>
    <w:rsid w:val="003A6ABF"/>
    <w:rsid w:val="003C1F4A"/>
    <w:rsid w:val="003D64B7"/>
    <w:rsid w:val="00401DB9"/>
    <w:rsid w:val="004044E3"/>
    <w:rsid w:val="0040590F"/>
    <w:rsid w:val="004331D2"/>
    <w:rsid w:val="004539EA"/>
    <w:rsid w:val="0045715B"/>
    <w:rsid w:val="00464307"/>
    <w:rsid w:val="00475891"/>
    <w:rsid w:val="00477563"/>
    <w:rsid w:val="0048028B"/>
    <w:rsid w:val="004C6CA6"/>
    <w:rsid w:val="004C7D68"/>
    <w:rsid w:val="004D0D94"/>
    <w:rsid w:val="004D183F"/>
    <w:rsid w:val="004D23D0"/>
    <w:rsid w:val="004D2A4D"/>
    <w:rsid w:val="004E07B3"/>
    <w:rsid w:val="004E0AA9"/>
    <w:rsid w:val="004E370D"/>
    <w:rsid w:val="004E3FFD"/>
    <w:rsid w:val="004E45B9"/>
    <w:rsid w:val="00510CBF"/>
    <w:rsid w:val="00527F6F"/>
    <w:rsid w:val="00533628"/>
    <w:rsid w:val="005368B0"/>
    <w:rsid w:val="00536944"/>
    <w:rsid w:val="005840EB"/>
    <w:rsid w:val="00585BDB"/>
    <w:rsid w:val="00596F15"/>
    <w:rsid w:val="005B0336"/>
    <w:rsid w:val="005B5296"/>
    <w:rsid w:val="005E739B"/>
    <w:rsid w:val="005F3E44"/>
    <w:rsid w:val="00606047"/>
    <w:rsid w:val="00611CEE"/>
    <w:rsid w:val="00627138"/>
    <w:rsid w:val="00631B5A"/>
    <w:rsid w:val="00633734"/>
    <w:rsid w:val="00634829"/>
    <w:rsid w:val="006369D2"/>
    <w:rsid w:val="00646396"/>
    <w:rsid w:val="00662097"/>
    <w:rsid w:val="00665503"/>
    <w:rsid w:val="0067096F"/>
    <w:rsid w:val="006740BE"/>
    <w:rsid w:val="00695D7B"/>
    <w:rsid w:val="006A3389"/>
    <w:rsid w:val="006B61AA"/>
    <w:rsid w:val="006C1B2C"/>
    <w:rsid w:val="006C2111"/>
    <w:rsid w:val="006C6736"/>
    <w:rsid w:val="006D3064"/>
    <w:rsid w:val="006F4D0B"/>
    <w:rsid w:val="00705C9E"/>
    <w:rsid w:val="00707F28"/>
    <w:rsid w:val="00714354"/>
    <w:rsid w:val="00720275"/>
    <w:rsid w:val="007240CB"/>
    <w:rsid w:val="00730927"/>
    <w:rsid w:val="00740A4B"/>
    <w:rsid w:val="0074241D"/>
    <w:rsid w:val="00786C47"/>
    <w:rsid w:val="007B420B"/>
    <w:rsid w:val="007B75C2"/>
    <w:rsid w:val="007C077D"/>
    <w:rsid w:val="007D6DCC"/>
    <w:rsid w:val="007F14AC"/>
    <w:rsid w:val="008567EC"/>
    <w:rsid w:val="00873F21"/>
    <w:rsid w:val="00877DBA"/>
    <w:rsid w:val="0088319B"/>
    <w:rsid w:val="0088747B"/>
    <w:rsid w:val="008912E3"/>
    <w:rsid w:val="008918B9"/>
    <w:rsid w:val="00897583"/>
    <w:rsid w:val="008C23C6"/>
    <w:rsid w:val="008C5B25"/>
    <w:rsid w:val="008F5E6F"/>
    <w:rsid w:val="009238F3"/>
    <w:rsid w:val="009247F2"/>
    <w:rsid w:val="00940B64"/>
    <w:rsid w:val="00951859"/>
    <w:rsid w:val="00972327"/>
    <w:rsid w:val="00972544"/>
    <w:rsid w:val="009766F9"/>
    <w:rsid w:val="009B346A"/>
    <w:rsid w:val="009B5B8B"/>
    <w:rsid w:val="009D559B"/>
    <w:rsid w:val="009E3E70"/>
    <w:rsid w:val="009E6301"/>
    <w:rsid w:val="00A00B2A"/>
    <w:rsid w:val="00A25340"/>
    <w:rsid w:val="00A367F0"/>
    <w:rsid w:val="00A526F3"/>
    <w:rsid w:val="00A85802"/>
    <w:rsid w:val="00A973D5"/>
    <w:rsid w:val="00AC1322"/>
    <w:rsid w:val="00AD6818"/>
    <w:rsid w:val="00AF3164"/>
    <w:rsid w:val="00B02010"/>
    <w:rsid w:val="00B14D45"/>
    <w:rsid w:val="00B21C28"/>
    <w:rsid w:val="00B4147F"/>
    <w:rsid w:val="00B57FDB"/>
    <w:rsid w:val="00B61258"/>
    <w:rsid w:val="00B658CA"/>
    <w:rsid w:val="00B666AD"/>
    <w:rsid w:val="00B94DE4"/>
    <w:rsid w:val="00B970EA"/>
    <w:rsid w:val="00B97F2A"/>
    <w:rsid w:val="00BE063F"/>
    <w:rsid w:val="00BF4527"/>
    <w:rsid w:val="00BF723E"/>
    <w:rsid w:val="00C07CE4"/>
    <w:rsid w:val="00C125EF"/>
    <w:rsid w:val="00C13B54"/>
    <w:rsid w:val="00C52546"/>
    <w:rsid w:val="00C52BFF"/>
    <w:rsid w:val="00C7114F"/>
    <w:rsid w:val="00C860A1"/>
    <w:rsid w:val="00C92825"/>
    <w:rsid w:val="00CA5800"/>
    <w:rsid w:val="00CB6E7A"/>
    <w:rsid w:val="00CC32A6"/>
    <w:rsid w:val="00D34FB7"/>
    <w:rsid w:val="00D436EE"/>
    <w:rsid w:val="00D4636F"/>
    <w:rsid w:val="00D51529"/>
    <w:rsid w:val="00D92340"/>
    <w:rsid w:val="00D93CE1"/>
    <w:rsid w:val="00D957C8"/>
    <w:rsid w:val="00DB0130"/>
    <w:rsid w:val="00DD786C"/>
    <w:rsid w:val="00DE00FE"/>
    <w:rsid w:val="00DE7D57"/>
    <w:rsid w:val="00DF4184"/>
    <w:rsid w:val="00E10BAF"/>
    <w:rsid w:val="00E22803"/>
    <w:rsid w:val="00E23B14"/>
    <w:rsid w:val="00E268F7"/>
    <w:rsid w:val="00E45D7B"/>
    <w:rsid w:val="00E61C39"/>
    <w:rsid w:val="00E627D4"/>
    <w:rsid w:val="00E910D8"/>
    <w:rsid w:val="00E92D40"/>
    <w:rsid w:val="00EC0E21"/>
    <w:rsid w:val="00ED009B"/>
    <w:rsid w:val="00EE0A62"/>
    <w:rsid w:val="00EE6E66"/>
    <w:rsid w:val="00F066A6"/>
    <w:rsid w:val="00F10E8E"/>
    <w:rsid w:val="00F20A7E"/>
    <w:rsid w:val="00F23EB9"/>
    <w:rsid w:val="00F43AE6"/>
    <w:rsid w:val="00F46B72"/>
    <w:rsid w:val="00F5706B"/>
    <w:rsid w:val="00F62EA2"/>
    <w:rsid w:val="00F63AFC"/>
    <w:rsid w:val="00F86DC5"/>
    <w:rsid w:val="00FA1E9A"/>
    <w:rsid w:val="00FC036C"/>
    <w:rsid w:val="00FE63DA"/>
    <w:rsid w:val="00FF1A27"/>
    <w:rsid w:val="0353588E"/>
    <w:rsid w:val="03E97FA0"/>
    <w:rsid w:val="03FE383E"/>
    <w:rsid w:val="06DB08CB"/>
    <w:rsid w:val="088766C0"/>
    <w:rsid w:val="08ED1A4F"/>
    <w:rsid w:val="10302F3B"/>
    <w:rsid w:val="10FD7D68"/>
    <w:rsid w:val="127754F6"/>
    <w:rsid w:val="148443FC"/>
    <w:rsid w:val="1580455F"/>
    <w:rsid w:val="190938C6"/>
    <w:rsid w:val="1A077661"/>
    <w:rsid w:val="1A6F7E20"/>
    <w:rsid w:val="1B3A75C2"/>
    <w:rsid w:val="1B440441"/>
    <w:rsid w:val="1D882867"/>
    <w:rsid w:val="1FD251AF"/>
    <w:rsid w:val="22DD18A7"/>
    <w:rsid w:val="27003DB6"/>
    <w:rsid w:val="27C00037"/>
    <w:rsid w:val="2A201526"/>
    <w:rsid w:val="2AFD0062"/>
    <w:rsid w:val="2B746B21"/>
    <w:rsid w:val="2CBE11D1"/>
    <w:rsid w:val="2EA43279"/>
    <w:rsid w:val="35EF127D"/>
    <w:rsid w:val="36607E95"/>
    <w:rsid w:val="367331C4"/>
    <w:rsid w:val="38787C50"/>
    <w:rsid w:val="3A053765"/>
    <w:rsid w:val="3B9D177C"/>
    <w:rsid w:val="3D6B373C"/>
    <w:rsid w:val="409C7A4C"/>
    <w:rsid w:val="420365F8"/>
    <w:rsid w:val="42497589"/>
    <w:rsid w:val="43010842"/>
    <w:rsid w:val="43D2655C"/>
    <w:rsid w:val="43F6451D"/>
    <w:rsid w:val="441C2919"/>
    <w:rsid w:val="44DC1567"/>
    <w:rsid w:val="48C933F1"/>
    <w:rsid w:val="4A2445C6"/>
    <w:rsid w:val="4CB933D5"/>
    <w:rsid w:val="4CCC0E43"/>
    <w:rsid w:val="4D615438"/>
    <w:rsid w:val="4EE74D90"/>
    <w:rsid w:val="4F5C0865"/>
    <w:rsid w:val="4FB437DA"/>
    <w:rsid w:val="51297EBA"/>
    <w:rsid w:val="52AA11D3"/>
    <w:rsid w:val="54BB5DC5"/>
    <w:rsid w:val="54F8584D"/>
    <w:rsid w:val="552D243F"/>
    <w:rsid w:val="599B2CFB"/>
    <w:rsid w:val="59B70439"/>
    <w:rsid w:val="5DDE364A"/>
    <w:rsid w:val="5ECB647C"/>
    <w:rsid w:val="64283A29"/>
    <w:rsid w:val="64E536C8"/>
    <w:rsid w:val="65870532"/>
    <w:rsid w:val="65D26342"/>
    <w:rsid w:val="672C6824"/>
    <w:rsid w:val="68F6143E"/>
    <w:rsid w:val="68FA3C61"/>
    <w:rsid w:val="69C735C3"/>
    <w:rsid w:val="6B7439F8"/>
    <w:rsid w:val="6C317CEF"/>
    <w:rsid w:val="70270BF5"/>
    <w:rsid w:val="70593DEA"/>
    <w:rsid w:val="71BC3A02"/>
    <w:rsid w:val="756F0752"/>
    <w:rsid w:val="75B90985"/>
    <w:rsid w:val="75E063F8"/>
    <w:rsid w:val="75E67B42"/>
    <w:rsid w:val="76530DD9"/>
    <w:rsid w:val="77205ABA"/>
    <w:rsid w:val="794767E7"/>
    <w:rsid w:val="7A6A04A0"/>
    <w:rsid w:val="7AE10A11"/>
    <w:rsid w:val="7B1E128A"/>
    <w:rsid w:val="7FE75AE8"/>
    <w:rsid w:val="7FF94733"/>
    <w:rsid w:val="7FFB0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zh-CN" w:eastAsia="zh-CN" w:bidi="zh-CN"/>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style>
  <w:style w:type="paragraph" w:styleId="3">
    <w:name w:val="Body Text"/>
    <w:basedOn w:val="1"/>
    <w:link w:val="15"/>
    <w:qFormat/>
    <w:uiPriority w:val="1"/>
    <w:pPr>
      <w:ind w:left="220"/>
    </w:pPr>
    <w:rPr>
      <w:sz w:val="32"/>
      <w:szCs w:val="32"/>
    </w:rPr>
  </w:style>
  <w:style w:type="paragraph" w:styleId="4">
    <w:name w:val="Balloon Text"/>
    <w:basedOn w:val="1"/>
    <w:link w:val="20"/>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autoSpaceDE/>
      <w:autoSpaceDN/>
      <w:spacing w:before="100" w:beforeAutospacing="1" w:after="100" w:afterAutospacing="1"/>
    </w:pPr>
    <w:rPr>
      <w:rFonts w:ascii="宋体" w:hAnsi="宋体" w:eastAsia="宋体" w:cs="宋体"/>
      <w:sz w:val="24"/>
      <w:szCs w:val="24"/>
      <w:lang w:val="en-US" w:bidi="ar-SA"/>
    </w:rPr>
  </w:style>
  <w:style w:type="paragraph" w:styleId="8">
    <w:name w:val="annotation subject"/>
    <w:basedOn w:val="2"/>
    <w:next w:val="2"/>
    <w:link w:val="19"/>
    <w:unhideWhenUsed/>
    <w:qFormat/>
    <w:uiPriority w:val="99"/>
    <w:rPr>
      <w:b/>
      <w:bCs/>
    </w:rPr>
  </w:style>
  <w:style w:type="character" w:styleId="11">
    <w:name w:val="Strong"/>
    <w:basedOn w:val="10"/>
    <w:qFormat/>
    <w:uiPriority w:val="0"/>
    <w:rPr>
      <w:b/>
    </w:rPr>
  </w:style>
  <w:style w:type="character" w:styleId="12">
    <w:name w:val="annotation reference"/>
    <w:basedOn w:val="10"/>
    <w:unhideWhenUsed/>
    <w:qFormat/>
    <w:uiPriority w:val="99"/>
    <w:rPr>
      <w:sz w:val="21"/>
      <w:szCs w:val="21"/>
    </w:rPr>
  </w:style>
  <w:style w:type="character" w:customStyle="1" w:styleId="13">
    <w:name w:val="页眉 字符"/>
    <w:basedOn w:val="10"/>
    <w:link w:val="6"/>
    <w:qFormat/>
    <w:uiPriority w:val="99"/>
    <w:rPr>
      <w:sz w:val="18"/>
      <w:szCs w:val="18"/>
    </w:rPr>
  </w:style>
  <w:style w:type="character" w:customStyle="1" w:styleId="14">
    <w:name w:val="页脚 字符"/>
    <w:basedOn w:val="10"/>
    <w:link w:val="5"/>
    <w:qFormat/>
    <w:uiPriority w:val="99"/>
    <w:rPr>
      <w:sz w:val="18"/>
      <w:szCs w:val="18"/>
    </w:rPr>
  </w:style>
  <w:style w:type="character" w:customStyle="1" w:styleId="15">
    <w:name w:val="正文文本 字符"/>
    <w:basedOn w:val="10"/>
    <w:link w:val="3"/>
    <w:qFormat/>
    <w:uiPriority w:val="1"/>
    <w:rPr>
      <w:rFonts w:ascii="仿宋" w:hAnsi="仿宋" w:eastAsia="仿宋" w:cs="仿宋"/>
      <w:kern w:val="0"/>
      <w:sz w:val="32"/>
      <w:szCs w:val="32"/>
      <w:lang w:val="zh-CN" w:bidi="zh-CN"/>
    </w:rPr>
  </w:style>
  <w:style w:type="paragraph" w:customStyle="1" w:styleId="16">
    <w:name w:val="Table Paragraph"/>
    <w:basedOn w:val="1"/>
    <w:qFormat/>
    <w:uiPriority w:val="1"/>
  </w:style>
  <w:style w:type="paragraph" w:customStyle="1" w:styleId="17">
    <w:name w:val="列出段落1"/>
    <w:basedOn w:val="1"/>
    <w:qFormat/>
    <w:uiPriority w:val="34"/>
    <w:pPr>
      <w:autoSpaceDE/>
      <w:autoSpaceDN/>
      <w:ind w:firstLine="420" w:firstLineChars="200"/>
      <w:jc w:val="both"/>
    </w:pPr>
    <w:rPr>
      <w:rFonts w:asciiTheme="minorHAnsi" w:hAnsiTheme="minorHAnsi" w:eastAsiaTheme="minorEastAsia" w:cstheme="minorBidi"/>
      <w:kern w:val="2"/>
      <w:sz w:val="21"/>
      <w:lang w:val="en-US" w:bidi="ar-SA"/>
    </w:rPr>
  </w:style>
  <w:style w:type="character" w:customStyle="1" w:styleId="18">
    <w:name w:val="批注文字 字符"/>
    <w:basedOn w:val="10"/>
    <w:link w:val="2"/>
    <w:qFormat/>
    <w:uiPriority w:val="99"/>
    <w:rPr>
      <w:rFonts w:ascii="仿宋" w:hAnsi="仿宋" w:eastAsia="仿宋" w:cs="仿宋"/>
      <w:kern w:val="0"/>
      <w:sz w:val="22"/>
      <w:lang w:val="zh-CN" w:bidi="zh-CN"/>
    </w:rPr>
  </w:style>
  <w:style w:type="character" w:customStyle="1" w:styleId="19">
    <w:name w:val="批注主题 字符"/>
    <w:basedOn w:val="18"/>
    <w:link w:val="8"/>
    <w:semiHidden/>
    <w:qFormat/>
    <w:uiPriority w:val="99"/>
    <w:rPr>
      <w:rFonts w:ascii="仿宋" w:hAnsi="仿宋" w:eastAsia="仿宋" w:cs="仿宋"/>
      <w:b/>
      <w:bCs/>
      <w:kern w:val="0"/>
      <w:sz w:val="22"/>
      <w:lang w:val="zh-CN" w:bidi="zh-CN"/>
    </w:rPr>
  </w:style>
  <w:style w:type="character" w:customStyle="1" w:styleId="20">
    <w:name w:val="批注框文本 字符"/>
    <w:basedOn w:val="10"/>
    <w:link w:val="4"/>
    <w:semiHidden/>
    <w:qFormat/>
    <w:uiPriority w:val="99"/>
    <w:rPr>
      <w:rFonts w:ascii="仿宋" w:hAnsi="仿宋" w:eastAsia="仿宋" w:cs="仿宋"/>
      <w:kern w:val="0"/>
      <w:sz w:val="18"/>
      <w:szCs w:val="18"/>
      <w:lang w:val="zh-CN" w:bidi="zh-CN"/>
    </w:rPr>
  </w:style>
  <w:style w:type="paragraph" w:customStyle="1" w:styleId="21">
    <w:name w:val="修订1"/>
    <w:hidden/>
    <w:semiHidden/>
    <w:qFormat/>
    <w:uiPriority w:val="99"/>
    <w:rPr>
      <w:rFonts w:ascii="仿宋" w:hAnsi="仿宋" w:eastAsia="仿宋" w:cs="仿宋"/>
      <w:sz w:val="22"/>
      <w:szCs w:val="22"/>
      <w:lang w:val="zh-CN" w:eastAsia="zh-CN" w:bidi="zh-CN"/>
    </w:rPr>
  </w:style>
  <w:style w:type="character" w:customStyle="1" w:styleId="22">
    <w:name w:val="005正文 Char"/>
    <w:link w:val="23"/>
    <w:qFormat/>
    <w:uiPriority w:val="0"/>
    <w:rPr>
      <w:rFonts w:ascii="Times New Roman" w:hAnsi="Times New Roman" w:eastAsia="宋体" w:cs="Times New Roman"/>
      <w:sz w:val="24"/>
    </w:rPr>
  </w:style>
  <w:style w:type="paragraph" w:customStyle="1" w:styleId="23">
    <w:name w:val="005正文"/>
    <w:basedOn w:val="1"/>
    <w:link w:val="22"/>
    <w:qFormat/>
    <w:uiPriority w:val="0"/>
    <w:pPr>
      <w:autoSpaceDE/>
      <w:autoSpaceDN/>
      <w:spacing w:line="360" w:lineRule="auto"/>
      <w:ind w:firstLine="200" w:firstLineChars="200"/>
      <w:jc w:val="both"/>
    </w:pPr>
    <w:rPr>
      <w:rFonts w:ascii="Times New Roman" w:hAnsi="Times New Roman" w:eastAsia="宋体" w:cs="Times New Roman"/>
      <w:kern w:val="2"/>
      <w:sz w:val="24"/>
      <w:lang w:val="en-US" w:bidi="ar-SA"/>
    </w:rPr>
  </w:style>
  <w:style w:type="paragraph" w:customStyle="1" w:styleId="24">
    <w:name w:val="列出段落2"/>
    <w:basedOn w:val="1"/>
    <w:link w:val="25"/>
    <w:qFormat/>
    <w:uiPriority w:val="34"/>
    <w:pPr>
      <w:autoSpaceDE/>
      <w:autoSpaceDN/>
      <w:ind w:firstLine="420" w:firstLineChars="200"/>
      <w:jc w:val="both"/>
    </w:pPr>
    <w:rPr>
      <w:rFonts w:asciiTheme="minorHAnsi" w:hAnsiTheme="minorHAnsi" w:eastAsiaTheme="minorEastAsia" w:cstheme="minorBidi"/>
      <w:kern w:val="2"/>
      <w:sz w:val="21"/>
      <w:lang w:val="en-US" w:bidi="ar-SA"/>
    </w:rPr>
  </w:style>
  <w:style w:type="character" w:customStyle="1" w:styleId="25">
    <w:name w:val="列出段落 字符"/>
    <w:link w:val="24"/>
    <w:qFormat/>
    <w:locked/>
    <w:uiPriority w:val="34"/>
  </w:style>
  <w:style w:type="paragraph" w:customStyle="1" w:styleId="26">
    <w:name w:val="列表段落1"/>
    <w:basedOn w:val="1"/>
    <w:qFormat/>
    <w:uiPriority w:val="34"/>
    <w:pPr>
      <w:autoSpaceDE/>
      <w:autoSpaceDN/>
      <w:ind w:firstLine="420" w:firstLineChars="200"/>
      <w:jc w:val="both"/>
    </w:pPr>
    <w:rPr>
      <w:rFonts w:asciiTheme="minorHAnsi" w:hAnsiTheme="minorHAnsi" w:eastAsiaTheme="minorEastAsia" w:cstheme="minorBidi"/>
      <w:kern w:val="2"/>
      <w:sz w:val="21"/>
      <w:lang w:val="en-US" w:bidi="ar-SA"/>
    </w:rPr>
  </w:style>
  <w:style w:type="character" w:customStyle="1" w:styleId="27">
    <w:name w:val="keyword"/>
    <w:basedOn w:val="10"/>
    <w:qFormat/>
    <w:uiPriority w:val="0"/>
  </w:style>
  <w:style w:type="paragraph" w:customStyle="1" w:styleId="28">
    <w:name w:val="修订2"/>
    <w:hidden/>
    <w:semiHidden/>
    <w:qFormat/>
    <w:uiPriority w:val="99"/>
    <w:rPr>
      <w:rFonts w:ascii="仿宋" w:hAnsi="仿宋" w:eastAsia="仿宋" w:cs="仿宋"/>
      <w:sz w:val="22"/>
      <w:szCs w:val="22"/>
      <w:lang w:val="zh-CN" w:eastAsia="zh-CN" w:bidi="zh-CN"/>
    </w:rPr>
  </w:style>
  <w:style w:type="paragraph" w:styleId="29">
    <w:name w:val="List Paragraph"/>
    <w:basedOn w:val="1"/>
    <w:qFormat/>
    <w:uiPriority w:val="0"/>
    <w:pPr>
      <w:autoSpaceDE/>
      <w:autoSpaceDN/>
      <w:ind w:firstLine="420" w:firstLineChars="200"/>
      <w:jc w:val="both"/>
    </w:pPr>
    <w:rPr>
      <w:rFonts w:asciiTheme="minorHAnsi" w:hAnsiTheme="minorHAnsi" w:eastAsiaTheme="minorEastAsia" w:cstheme="minorBidi"/>
      <w:kern w:val="2"/>
      <w:sz w:val="21"/>
      <w:lang w:val="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855</Words>
  <Characters>866</Characters>
  <Lines>33</Lines>
  <Paragraphs>9</Paragraphs>
  <TotalTime>11</TotalTime>
  <ScaleCrop>false</ScaleCrop>
  <LinksUpToDate>false</LinksUpToDate>
  <CharactersWithSpaces>906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2026-11-02T04:01:00Z</dcterms:created>
  <dc:creator>lenovo</dc:creator>
  <cp:lastModifiedBy>黄帝橙</cp:lastModifiedBy>
  <cp:lastPrinted>2023-09-01T08:20:00Z</cp:lastPrinted>
  <dcterms:modified xsi:type="dcterms:W3CDTF">2026-11-03T00:19:38Z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D2181413A5F747E5A42A30A82ACB8F3C</vt:lpwstr>
  </property>
  <property fmtid="{D5CDD505-2E9C-101B-9397-08002B2CF9AE}" pid="4" name="KSOTemplateDocerSaveRecord">
    <vt:lpwstr>eyJoZGlkIjoiMzVkNzdhYWI5M2IyMGY0OWMzYmI1MzM3NGQ0ZTUxMzkiLCJ1c2VySWQiOiI0MzA3MjQwMjIifQ==</vt:lpwstr>
  </property>
</Properties>
</file>