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20" w:lineRule="exact"/>
        <w:rPr>
          <w:rFonts w:hint="eastAsia" w:eastAsiaTheme="minorEastAsia"/>
          <w:b/>
          <w:bCs/>
          <w:lang w:eastAsia="zh-CN"/>
        </w:rPr>
      </w:pPr>
      <w:r>
        <w:rPr>
          <w:rFonts w:hint="eastAsia"/>
          <w:b/>
          <w:bCs/>
        </w:rPr>
        <w:t>证券代码：688627</w:t>
      </w:r>
      <w:r>
        <w:rPr>
          <w:rFonts w:hint="eastAsia"/>
          <w:b/>
          <w:bCs/>
          <w:lang w:val="en-US" w:eastAsia="zh-CN"/>
        </w:rPr>
        <w:t xml:space="preserve">                                    </w:t>
      </w:r>
      <w:r>
        <w:rPr>
          <w:rFonts w:hint="eastAsia"/>
          <w:b/>
          <w:bCs/>
        </w:rPr>
        <w:t>证券简称：精智达</w:t>
      </w:r>
    </w:p>
    <w:p>
      <w:pPr>
        <w:spacing w:line="420" w:lineRule="exact"/>
        <w:jc w:val="center"/>
        <w:rPr>
          <w:rFonts w:hint="eastAsia" w:ascii="黑体" w:hAnsi="黑体" w:eastAsia="黑体"/>
          <w:b/>
          <w:bCs/>
          <w:sz w:val="32"/>
          <w:szCs w:val="32"/>
        </w:rPr>
      </w:pPr>
    </w:p>
    <w:p>
      <w:pPr>
        <w:spacing w:line="420" w:lineRule="exact"/>
        <w:jc w:val="center"/>
        <w:rPr>
          <w:rFonts w:hint="eastAsia" w:ascii="黑体" w:hAnsi="黑体" w:eastAsia="黑体"/>
          <w:b/>
          <w:bCs/>
          <w:sz w:val="32"/>
          <w:szCs w:val="32"/>
        </w:rPr>
      </w:pPr>
      <w:r>
        <w:rPr>
          <w:rFonts w:hint="eastAsia" w:ascii="黑体" w:hAnsi="黑体" w:eastAsia="黑体"/>
          <w:b/>
          <w:bCs/>
          <w:sz w:val="32"/>
          <w:szCs w:val="32"/>
        </w:rPr>
        <w:t>深圳精智达技术股份有限公司</w:t>
      </w:r>
    </w:p>
    <w:p>
      <w:pPr>
        <w:spacing w:line="420" w:lineRule="exact"/>
        <w:jc w:val="center"/>
        <w:rPr>
          <w:rFonts w:hint="eastAsia" w:ascii="黑体" w:hAnsi="黑体" w:eastAsia="黑体"/>
          <w:b/>
          <w:bCs/>
          <w:sz w:val="32"/>
          <w:szCs w:val="32"/>
        </w:rPr>
      </w:pPr>
      <w:r>
        <w:rPr>
          <w:rFonts w:hint="eastAsia" w:ascii="黑体" w:hAnsi="黑体" w:eastAsia="黑体"/>
          <w:b/>
          <w:bCs/>
          <w:sz w:val="32"/>
          <w:szCs w:val="32"/>
        </w:rPr>
        <w:t>投资者关系活动记录表</w:t>
      </w:r>
    </w:p>
    <w:p>
      <w:pPr>
        <w:spacing w:line="420" w:lineRule="exact"/>
        <w:rPr>
          <w:rFonts w:hint="eastAsia" w:eastAsiaTheme="minorEastAsia"/>
          <w:b/>
          <w:bCs/>
          <w:lang w:eastAsia="zh-CN"/>
        </w:rPr>
      </w:pPr>
    </w:p>
    <w:tbl>
      <w:tblPr>
        <w:tblStyle w:val="9"/>
        <w:tblW w:w="891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395"/>
        <w:gridCol w:w="65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395" w:type="dxa"/>
            <w:tcBorders>
              <w:top w:val="single" w:color="auto" w:sz="12" w:space="0"/>
              <w:left w:val="single" w:color="auto" w:sz="12" w:space="0"/>
              <w:bottom w:val="single" w:color="auto" w:sz="6" w:space="0"/>
              <w:right w:val="single" w:color="auto" w:sz="6" w:space="0"/>
            </w:tcBorders>
            <w:vAlign w:val="center"/>
          </w:tcPr>
          <w:p>
            <w:pPr>
              <w:spacing w:line="420" w:lineRule="exact"/>
              <w:jc w:val="center"/>
              <w:rPr>
                <w:rFonts w:ascii="Times New Roman" w:hAnsi="Times New Roman"/>
                <w:b/>
                <w:bCs/>
              </w:rPr>
            </w:pPr>
            <w:r>
              <w:rPr>
                <w:rFonts w:ascii="Times New Roman" w:hAnsi="Times New Roman"/>
                <w:b/>
                <w:bCs/>
              </w:rPr>
              <w:t>投资者关系活动类别</w:t>
            </w:r>
          </w:p>
        </w:tc>
        <w:tc>
          <w:tcPr>
            <w:tcW w:w="6521" w:type="dxa"/>
            <w:tcBorders>
              <w:top w:val="single" w:color="auto" w:sz="12" w:space="0"/>
              <w:left w:val="single" w:color="auto" w:sz="6" w:space="0"/>
              <w:bottom w:val="single" w:color="auto" w:sz="6" w:space="0"/>
              <w:right w:val="single" w:color="auto" w:sz="12" w:space="0"/>
            </w:tcBorders>
            <w:vAlign w:val="center"/>
          </w:tcPr>
          <w:p>
            <w:pPr>
              <w:spacing w:line="420" w:lineRule="exact"/>
              <w:rPr>
                <w:rFonts w:ascii="Times New Roman" w:hAnsi="Times New Roman" w:eastAsia="宋体"/>
              </w:rPr>
            </w:pPr>
            <w:r>
              <w:rPr>
                <w:rFonts w:hint="eastAsia" w:ascii="Times New Roman" w:hAnsi="Times New Roman" w:eastAsia="宋体"/>
              </w:rPr>
              <w:sym w:font="Wingdings 2" w:char="00A3"/>
            </w:r>
            <w:r>
              <w:rPr>
                <w:rFonts w:hint="eastAsia" w:ascii="Times New Roman" w:hAnsi="Times New Roman" w:eastAsia="宋体"/>
              </w:rPr>
              <w:t xml:space="preserve"> 特定对象调研        □ 分析师会议</w:t>
            </w:r>
          </w:p>
          <w:p>
            <w:pPr>
              <w:spacing w:line="420" w:lineRule="exact"/>
              <w:rPr>
                <w:rFonts w:ascii="Times New Roman" w:hAnsi="Times New Roman" w:eastAsia="宋体"/>
              </w:rPr>
            </w:pPr>
            <w:r>
              <w:rPr>
                <w:rFonts w:hint="eastAsia" w:ascii="Times New Roman" w:hAnsi="Times New Roman" w:eastAsia="宋体"/>
              </w:rPr>
              <w:t xml:space="preserve">□ 媒体采访            </w:t>
            </w:r>
            <w:r>
              <w:rPr>
                <w:rFonts w:hint="eastAsia" w:ascii="Times New Roman" w:hAnsi="Times New Roman" w:eastAsia="宋体"/>
              </w:rPr>
              <w:sym w:font="Wingdings 2" w:char="00A3"/>
            </w:r>
            <w:r>
              <w:rPr>
                <w:rFonts w:hint="eastAsia" w:ascii="Times New Roman" w:hAnsi="Times New Roman" w:eastAsia="宋体"/>
              </w:rPr>
              <w:t xml:space="preserve"> 业绩说明会</w:t>
            </w:r>
          </w:p>
          <w:p>
            <w:pPr>
              <w:spacing w:line="420" w:lineRule="exact"/>
              <w:rPr>
                <w:rFonts w:ascii="Times New Roman" w:hAnsi="Times New Roman" w:eastAsia="宋体"/>
              </w:rPr>
            </w:pPr>
            <w:r>
              <w:rPr>
                <w:rFonts w:hint="eastAsia" w:ascii="Times New Roman" w:hAnsi="Times New Roman" w:eastAsia="宋体"/>
              </w:rPr>
              <w:t xml:space="preserve">□ 新闻发布会          </w:t>
            </w:r>
            <w:r>
              <w:rPr>
                <w:rFonts w:hint="eastAsia" w:ascii="Times New Roman" w:hAnsi="Times New Roman" w:eastAsia="宋体"/>
              </w:rPr>
              <w:sym w:font="Wingdings 2" w:char="00A3"/>
            </w:r>
            <w:r>
              <w:rPr>
                <w:rFonts w:hint="eastAsia" w:ascii="Times New Roman" w:hAnsi="Times New Roman" w:eastAsia="宋体"/>
              </w:rPr>
              <w:t xml:space="preserve"> 路演活动</w:t>
            </w:r>
          </w:p>
          <w:p>
            <w:pPr>
              <w:tabs>
                <w:tab w:val="center" w:pos="3152"/>
              </w:tabs>
              <w:spacing w:line="420" w:lineRule="exact"/>
              <w:rPr>
                <w:rFonts w:ascii="Times New Roman" w:hAnsi="Times New Roman" w:eastAsia="宋体"/>
              </w:rPr>
            </w:pPr>
            <w:r>
              <w:rPr>
                <w:rFonts w:hint="eastAsia" w:ascii="Times New Roman" w:hAnsi="Times New Roman" w:eastAsia="宋体"/>
              </w:rPr>
              <w:sym w:font="Wingdings 2" w:char="00A3"/>
            </w:r>
            <w:r>
              <w:rPr>
                <w:rFonts w:hint="eastAsia" w:ascii="Times New Roman" w:hAnsi="Times New Roman" w:eastAsia="宋体"/>
              </w:rPr>
              <w:t xml:space="preserve"> 现场调研            </w:t>
            </w:r>
            <w:r>
              <w:rPr>
                <w:rFonts w:hint="eastAsia" w:ascii="Times New Roman" w:hAnsi="Times New Roman" w:eastAsia="宋体"/>
              </w:rPr>
              <w:sym w:font="Wingdings 2" w:char="0052"/>
            </w:r>
            <w:r>
              <w:rPr>
                <w:rFonts w:hint="eastAsia" w:ascii="Times New Roman" w:hAnsi="Times New Roman" w:eastAsia="宋体"/>
              </w:rPr>
              <w:t xml:space="preserve"> 电话会议</w:t>
            </w:r>
          </w:p>
          <w:p>
            <w:pPr>
              <w:spacing w:line="420" w:lineRule="exact"/>
              <w:rPr>
                <w:rFonts w:ascii="Times New Roman" w:hAnsi="Times New Roman" w:eastAsia="宋体"/>
              </w:rPr>
            </w:pPr>
            <w:r>
              <w:rPr>
                <w:rFonts w:hint="eastAsia" w:ascii="Times New Roman" w:hAnsi="Times New Roman" w:eastAsia="宋体"/>
                <w:lang w:eastAsia="zh-CN"/>
              </w:rPr>
              <w:t>□</w:t>
            </w:r>
            <w:r>
              <w:rPr>
                <w:rFonts w:hint="eastAsia" w:ascii="Times New Roman" w:hAnsi="Times New Roman" w:eastAsia="宋体"/>
              </w:rPr>
              <w:t xml:space="preserve"> 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9" w:hRule="atLeast"/>
          <w:jc w:val="center"/>
        </w:trPr>
        <w:tc>
          <w:tcPr>
            <w:tcW w:w="2395" w:type="dxa"/>
            <w:tcBorders>
              <w:top w:val="single" w:color="auto" w:sz="6" w:space="0"/>
              <w:left w:val="single" w:color="auto" w:sz="12" w:space="0"/>
              <w:bottom w:val="single" w:color="auto" w:sz="6" w:space="0"/>
              <w:right w:val="single" w:color="auto" w:sz="6" w:space="0"/>
            </w:tcBorders>
            <w:vAlign w:val="center"/>
          </w:tcPr>
          <w:p>
            <w:pPr>
              <w:spacing w:line="420" w:lineRule="exact"/>
              <w:jc w:val="center"/>
              <w:rPr>
                <w:rFonts w:ascii="Times New Roman" w:hAnsi="Times New Roman"/>
                <w:b/>
                <w:bCs/>
              </w:rPr>
            </w:pPr>
            <w:r>
              <w:rPr>
                <w:rFonts w:ascii="Times New Roman" w:hAnsi="Times New Roman"/>
                <w:b/>
                <w:bCs/>
              </w:rPr>
              <w:t>参与单位</w:t>
            </w:r>
          </w:p>
        </w:tc>
        <w:tc>
          <w:tcPr>
            <w:tcW w:w="6521" w:type="dxa"/>
            <w:tcBorders>
              <w:top w:val="single" w:color="auto" w:sz="6" w:space="0"/>
              <w:left w:val="single" w:color="auto" w:sz="6" w:space="0"/>
              <w:bottom w:val="single" w:color="auto" w:sz="6" w:space="0"/>
              <w:right w:val="single" w:color="auto" w:sz="12" w:space="0"/>
            </w:tcBorders>
            <w:vAlign w:val="center"/>
          </w:tcPr>
          <w:p>
            <w:pPr>
              <w:spacing w:line="420" w:lineRule="exact"/>
              <w:jc w:val="left"/>
              <w:rPr>
                <w:rFonts w:hint="default" w:ascii="Times New Roman" w:hAnsi="Times New Roman" w:eastAsia="宋体"/>
                <w:lang w:val="en-US" w:eastAsia="zh-CN"/>
              </w:rPr>
            </w:pPr>
            <w:r>
              <w:rPr>
                <w:rFonts w:hint="eastAsia" w:ascii="Times New Roman" w:hAnsi="Times New Roman" w:eastAsia="宋体" w:cs="宋体"/>
              </w:rPr>
              <w:t>嘉实基金、南方基金</w:t>
            </w:r>
            <w:r>
              <w:rPr>
                <w:rFonts w:hint="eastAsia" w:ascii="Times New Roman" w:hAnsi="Times New Roman" w:eastAsia="宋体" w:cs="宋体"/>
                <w:lang w:eastAsia="zh-CN"/>
              </w:rPr>
              <w:t>、</w:t>
            </w:r>
            <w:r>
              <w:rPr>
                <w:rFonts w:hint="eastAsia" w:ascii="Times New Roman" w:hAnsi="Times New Roman" w:eastAsia="宋体" w:cs="宋体"/>
              </w:rPr>
              <w:t>永赢基金、华安基金、华宝基金、鹏华基金、汇丰晋信基金、长城基金、华夏基金、金信基金、建信基金、海富通基金、申万菱信基金、金鹰基金、东吴基金、圆信永丰基金、信达澳亚基金、新华基金、富荣基金、富安达基金、浦银基金、九泰基金、摩根士丹利基金、国联基金、创金合信基金、安信基金、德邦基金、长盛基金、农银汇理基金、国泰投信、平安基金、兴业基金、银河基金、诺安基金、京管泰富基金、交银施罗德基金、前海开源基金、中欧基金、汇添富基金、东方阿尔法基金、中信保诚基金、西部利得基金、国金基金、富国基金、泰信基金、宝盈基金、兴证全球基金、国海富兰克林基金、银华基金、光大保德信基金、兴银基金、国联安基金、国泰基金、</w:t>
            </w:r>
            <w:r>
              <w:rPr>
                <w:rFonts w:ascii="Times New Roman" w:hAnsi="Times New Roman" w:eastAsia="宋体" w:cs="宋体"/>
                <w:sz w:val="24"/>
                <w:szCs w:val="24"/>
              </w:rPr>
              <w:t>世纪证券、天风证券、天风</w:t>
            </w:r>
            <w:r>
              <w:rPr>
                <w:rFonts w:hint="eastAsia" w:ascii="Times New Roman" w:hAnsi="Times New Roman" w:eastAsia="宋体" w:cs="宋体"/>
                <w:sz w:val="24"/>
                <w:szCs w:val="24"/>
                <w:lang w:val="en-US" w:eastAsia="zh-CN"/>
              </w:rPr>
              <w:t>证券</w:t>
            </w:r>
            <w:r>
              <w:rPr>
                <w:rFonts w:ascii="Times New Roman" w:hAnsi="Times New Roman" w:eastAsia="宋体" w:cs="宋体"/>
                <w:sz w:val="24"/>
                <w:szCs w:val="24"/>
              </w:rPr>
              <w:t>研究所、天风资管、天风国际、中金公司、中金资管、光大证券、国信证券、</w:t>
            </w:r>
            <w:r>
              <w:rPr>
                <w:rFonts w:hint="eastAsia" w:ascii="Times New Roman" w:hAnsi="Times New Roman" w:eastAsia="宋体" w:cs="宋体"/>
                <w:sz w:val="24"/>
                <w:szCs w:val="24"/>
                <w:lang w:val="en-US" w:eastAsia="zh-CN"/>
              </w:rPr>
              <w:t>东方证券、</w:t>
            </w:r>
            <w:r>
              <w:rPr>
                <w:rFonts w:hint="eastAsia" w:ascii="Times New Roman" w:hAnsi="Times New Roman" w:eastAsia="宋体" w:cs="宋体"/>
              </w:rPr>
              <w:t>兴证电子</w:t>
            </w:r>
            <w:r>
              <w:rPr>
                <w:rFonts w:hint="eastAsia" w:ascii="Times New Roman" w:hAnsi="Times New Roman" w:eastAsia="宋体" w:cs="宋体"/>
                <w:lang w:eastAsia="zh-CN"/>
              </w:rPr>
              <w:t>、</w:t>
            </w:r>
            <w:r>
              <w:rPr>
                <w:rFonts w:hint="eastAsia" w:ascii="Times New Roman" w:hAnsi="Times New Roman" w:eastAsia="宋体" w:cs="宋体"/>
                <w:sz w:val="24"/>
                <w:szCs w:val="24"/>
                <w:lang w:val="en-US" w:eastAsia="zh-CN"/>
              </w:rPr>
              <w:t>国泰君安</w:t>
            </w:r>
            <w:r>
              <w:rPr>
                <w:rFonts w:ascii="Times New Roman" w:hAnsi="Times New Roman" w:eastAsia="宋体" w:cs="宋体"/>
                <w:sz w:val="24"/>
                <w:szCs w:val="24"/>
              </w:rPr>
              <w:t>资管、东吴证券、东吴</w:t>
            </w:r>
            <w:r>
              <w:rPr>
                <w:rFonts w:hint="eastAsia" w:ascii="Times New Roman" w:hAnsi="Times New Roman" w:eastAsia="宋体" w:cs="宋体"/>
                <w:sz w:val="24"/>
                <w:szCs w:val="24"/>
                <w:lang w:val="en-US" w:eastAsia="zh-CN"/>
              </w:rPr>
              <w:t>证券</w:t>
            </w:r>
            <w:r>
              <w:rPr>
                <w:rFonts w:ascii="Times New Roman" w:hAnsi="Times New Roman" w:eastAsia="宋体" w:cs="宋体"/>
                <w:sz w:val="24"/>
                <w:szCs w:val="24"/>
              </w:rPr>
              <w:t>研究所、中银国际、银河证券、华福</w:t>
            </w:r>
            <w:r>
              <w:rPr>
                <w:rFonts w:hint="eastAsia" w:ascii="Times New Roman" w:hAnsi="Times New Roman" w:eastAsia="宋体" w:cs="宋体"/>
                <w:sz w:val="24"/>
                <w:szCs w:val="24"/>
                <w:lang w:val="en-US" w:eastAsia="zh-CN"/>
              </w:rPr>
              <w:t>机械</w:t>
            </w:r>
            <w:r>
              <w:rPr>
                <w:rFonts w:ascii="Times New Roman" w:hAnsi="Times New Roman" w:eastAsia="宋体" w:cs="宋体"/>
                <w:sz w:val="24"/>
                <w:szCs w:val="24"/>
              </w:rPr>
              <w:t>、东海证券、西部证券、国金证券、长江证券、方正证券、</w:t>
            </w:r>
            <w:r>
              <w:rPr>
                <w:rFonts w:hint="eastAsia" w:ascii="Times New Roman" w:hAnsi="Times New Roman" w:eastAsia="宋体" w:cs="宋体"/>
              </w:rPr>
              <w:t>华泰证券（上海）</w:t>
            </w:r>
            <w:r>
              <w:rPr>
                <w:rFonts w:hint="eastAsia" w:ascii="Times New Roman" w:hAnsi="Times New Roman" w:eastAsia="宋体" w:cs="宋体"/>
                <w:lang w:val="en-US" w:eastAsia="zh-CN"/>
              </w:rPr>
              <w:t>资管</w:t>
            </w:r>
            <w:r>
              <w:rPr>
                <w:rFonts w:hint="eastAsia" w:ascii="Times New Roman" w:hAnsi="Times New Roman" w:eastAsia="宋体" w:cs="宋体"/>
                <w:lang w:eastAsia="zh-CN"/>
              </w:rPr>
              <w:t>、</w:t>
            </w:r>
            <w:r>
              <w:rPr>
                <w:rFonts w:ascii="Times New Roman" w:hAnsi="Times New Roman" w:eastAsia="宋体" w:cs="宋体"/>
                <w:sz w:val="24"/>
                <w:szCs w:val="24"/>
              </w:rPr>
              <w:t>华泰证券、华泰资管、国联民生</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国联民生证券</w:t>
            </w:r>
            <w:r>
              <w:rPr>
                <w:rFonts w:ascii="Times New Roman" w:hAnsi="Times New Roman" w:eastAsia="宋体" w:cs="宋体"/>
                <w:sz w:val="24"/>
                <w:szCs w:val="24"/>
              </w:rPr>
              <w:t>研究所、浙商资管、浙商</w:t>
            </w:r>
            <w:r>
              <w:rPr>
                <w:rFonts w:hint="eastAsia" w:ascii="Times New Roman" w:hAnsi="Times New Roman" w:eastAsia="宋体" w:cs="宋体"/>
                <w:sz w:val="24"/>
                <w:szCs w:val="24"/>
                <w:lang w:val="en-US" w:eastAsia="zh-CN"/>
              </w:rPr>
              <w:t>证券</w:t>
            </w:r>
            <w:r>
              <w:rPr>
                <w:rFonts w:ascii="Times New Roman" w:hAnsi="Times New Roman" w:eastAsia="宋体" w:cs="宋体"/>
                <w:sz w:val="24"/>
                <w:szCs w:val="24"/>
              </w:rPr>
              <w:t>自营、国海证券、中信建投、中信证券、申万宏源</w:t>
            </w:r>
            <w:r>
              <w:rPr>
                <w:rFonts w:hint="eastAsia" w:ascii="Times New Roman" w:hAnsi="Times New Roman" w:eastAsia="宋体" w:cs="宋体"/>
                <w:sz w:val="24"/>
                <w:szCs w:val="24"/>
                <w:lang w:val="en-US" w:eastAsia="zh-CN"/>
              </w:rPr>
              <w:t>证券</w:t>
            </w:r>
            <w:r>
              <w:rPr>
                <w:rFonts w:ascii="Times New Roman" w:hAnsi="Times New Roman" w:eastAsia="宋体" w:cs="宋体"/>
                <w:sz w:val="24"/>
                <w:szCs w:val="24"/>
              </w:rPr>
              <w:t>、东北</w:t>
            </w:r>
            <w:r>
              <w:rPr>
                <w:rFonts w:hint="eastAsia" w:ascii="Times New Roman" w:hAnsi="Times New Roman" w:eastAsia="宋体" w:cs="宋体"/>
                <w:sz w:val="24"/>
                <w:szCs w:val="24"/>
                <w:lang w:val="en-US" w:eastAsia="zh-CN"/>
              </w:rPr>
              <w:t>机械</w:t>
            </w:r>
            <w:r>
              <w:rPr>
                <w:rFonts w:ascii="Times New Roman" w:hAnsi="Times New Roman" w:eastAsia="宋体" w:cs="宋体"/>
                <w:sz w:val="24"/>
                <w:szCs w:val="24"/>
              </w:rPr>
              <w:t>、太平洋证券、西南证券、麦格理资本、山证、国泰海通、开源自营、</w:t>
            </w:r>
            <w:r>
              <w:rPr>
                <w:rFonts w:hint="eastAsia" w:ascii="Times New Roman" w:hAnsi="Times New Roman" w:eastAsia="宋体" w:cs="宋体"/>
              </w:rPr>
              <w:t>中信银行</w:t>
            </w:r>
            <w:r>
              <w:rPr>
                <w:rFonts w:hint="eastAsia" w:ascii="Times New Roman" w:hAnsi="Times New Roman" w:eastAsia="宋体" w:cs="宋体"/>
                <w:lang w:eastAsia="zh-CN"/>
              </w:rPr>
              <w:t>、</w:t>
            </w:r>
            <w:r>
              <w:rPr>
                <w:rFonts w:ascii="Times New Roman" w:hAnsi="Times New Roman" w:eastAsia="宋体" w:cs="宋体"/>
                <w:sz w:val="24"/>
                <w:szCs w:val="24"/>
              </w:rPr>
              <w:t>睿远基金、华泰柏瑞基金、国寿安保基金、杭银理财、建信理财、招银理财、宁银理财、华夏理财、信银理财、前海人寿、太平资管、光大永明资管、永安财险、亚太财险、</w:t>
            </w:r>
            <w:r>
              <w:rPr>
                <w:rFonts w:hint="eastAsia" w:ascii="Times New Roman" w:hAnsi="Times New Roman" w:eastAsia="宋体" w:cs="宋体"/>
                <w:sz w:val="24"/>
                <w:szCs w:val="24"/>
              </w:rPr>
              <w:t>中国人民养老保险</w:t>
            </w:r>
            <w:r>
              <w:rPr>
                <w:rFonts w:ascii="Times New Roman" w:hAnsi="Times New Roman" w:eastAsia="宋体" w:cs="宋体"/>
                <w:sz w:val="24"/>
                <w:szCs w:val="24"/>
              </w:rPr>
              <w:t>、</w:t>
            </w:r>
            <w:r>
              <w:rPr>
                <w:rFonts w:hint="eastAsia" w:ascii="Times New Roman" w:hAnsi="Times New Roman" w:eastAsia="宋体" w:cs="宋体"/>
              </w:rPr>
              <w:t>太平养老保险</w:t>
            </w:r>
            <w:r>
              <w:rPr>
                <w:rFonts w:hint="eastAsia" w:ascii="Times New Roman" w:hAnsi="Times New Roman" w:eastAsia="宋体" w:cs="宋体"/>
                <w:lang w:eastAsia="zh-CN"/>
              </w:rPr>
              <w:t>、</w:t>
            </w:r>
            <w:r>
              <w:rPr>
                <w:rFonts w:hint="eastAsia" w:ascii="Times New Roman" w:hAnsi="Times New Roman" w:eastAsia="宋体" w:cs="宋体"/>
              </w:rPr>
              <w:t>中国人寿养老保险</w:t>
            </w:r>
            <w:r>
              <w:rPr>
                <w:rFonts w:ascii="Times New Roman" w:hAnsi="Times New Roman" w:eastAsia="宋体" w:cs="宋体"/>
                <w:sz w:val="24"/>
                <w:szCs w:val="24"/>
              </w:rPr>
              <w:t>、中邮</w:t>
            </w:r>
            <w:r>
              <w:rPr>
                <w:rFonts w:hint="eastAsia" w:ascii="Times New Roman" w:hAnsi="Times New Roman" w:eastAsia="宋体" w:cs="宋体"/>
                <w:sz w:val="24"/>
                <w:szCs w:val="24"/>
                <w:lang w:val="en-US" w:eastAsia="zh-CN"/>
              </w:rPr>
              <w:t>保险</w:t>
            </w:r>
            <w:r>
              <w:rPr>
                <w:rFonts w:ascii="Times New Roman" w:hAnsi="Times New Roman" w:eastAsia="宋体" w:cs="宋体"/>
                <w:sz w:val="24"/>
                <w:szCs w:val="24"/>
              </w:rPr>
              <w:t>资管、交银人寿</w:t>
            </w:r>
            <w:r>
              <w:rPr>
                <w:rFonts w:hint="eastAsia" w:ascii="Times New Roman" w:hAnsi="Times New Roman" w:eastAsia="宋体" w:cs="宋体"/>
                <w:sz w:val="24"/>
                <w:szCs w:val="24"/>
                <w:lang w:val="en-US" w:eastAsia="zh-CN"/>
              </w:rPr>
              <w:t>保险</w:t>
            </w:r>
            <w:r>
              <w:rPr>
                <w:rFonts w:ascii="Times New Roman" w:hAnsi="Times New Roman" w:eastAsia="宋体" w:cs="宋体"/>
                <w:sz w:val="24"/>
                <w:szCs w:val="24"/>
              </w:rPr>
              <w:t>、农银人寿</w:t>
            </w:r>
            <w:r>
              <w:rPr>
                <w:rFonts w:hint="eastAsia" w:ascii="Times New Roman" w:hAnsi="Times New Roman" w:eastAsia="宋体" w:cs="宋体"/>
                <w:sz w:val="24"/>
                <w:szCs w:val="24"/>
                <w:lang w:val="en-US" w:eastAsia="zh-CN"/>
              </w:rPr>
              <w:t>保险</w:t>
            </w:r>
            <w:r>
              <w:rPr>
                <w:rFonts w:ascii="Times New Roman" w:hAnsi="Times New Roman" w:eastAsia="宋体" w:cs="宋体"/>
                <w:sz w:val="24"/>
                <w:szCs w:val="24"/>
              </w:rPr>
              <w:t>、平安资管、阳光资管、</w:t>
            </w:r>
            <w:r>
              <w:rPr>
                <w:rFonts w:hint="eastAsia" w:ascii="Times New Roman" w:hAnsi="Times New Roman" w:eastAsia="宋体" w:cs="宋体"/>
              </w:rPr>
              <w:t>东吴机械、国投机械、中信机械、华安机械、德邦机械、东财机械、方正机械、光大机械、野村机械、国金机械、国君机械、国信机械、华泰机械、西部机械、</w:t>
            </w:r>
            <w:r>
              <w:rPr>
                <w:rFonts w:ascii="Times New Roman" w:hAnsi="Times New Roman" w:eastAsia="宋体" w:cs="宋体"/>
                <w:sz w:val="24"/>
                <w:szCs w:val="24"/>
              </w:rPr>
              <w:t>华夏久盈资管、</w:t>
            </w:r>
            <w:r>
              <w:rPr>
                <w:rFonts w:hint="eastAsia" w:ascii="Times New Roman" w:hAnsi="Times New Roman" w:eastAsia="宋体" w:cs="宋体"/>
              </w:rPr>
              <w:t>山东神光、</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钦沐资产、华宝信托、</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泊通投资、</w:t>
            </w:r>
            <w:r>
              <w:rPr>
                <w:rFonts w:hint="eastAsia" w:ascii="Times New Roman" w:hAnsi="Times New Roman" w:eastAsia="宋体" w:cs="宋体"/>
                <w:sz w:val="24"/>
                <w:szCs w:val="24"/>
                <w:lang w:val="en-US" w:eastAsia="zh-CN"/>
              </w:rPr>
              <w:t>北京</w:t>
            </w:r>
            <w:r>
              <w:rPr>
                <w:rFonts w:ascii="Times New Roman" w:hAnsi="Times New Roman" w:eastAsia="宋体" w:cs="宋体"/>
                <w:sz w:val="24"/>
                <w:szCs w:val="24"/>
              </w:rPr>
              <w:t>宏道投资、</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益和源资产、</w:t>
            </w:r>
            <w:r>
              <w:rPr>
                <w:rFonts w:hint="eastAsia" w:ascii="Times New Roman" w:hAnsi="Times New Roman" w:eastAsia="宋体" w:cs="宋体"/>
                <w:sz w:val="24"/>
                <w:szCs w:val="24"/>
                <w:lang w:val="en-US" w:eastAsia="zh-CN"/>
              </w:rPr>
              <w:t>深圳市</w:t>
            </w:r>
            <w:r>
              <w:rPr>
                <w:rFonts w:ascii="Times New Roman" w:hAnsi="Times New Roman" w:eastAsia="宋体" w:cs="宋体"/>
                <w:sz w:val="24"/>
                <w:szCs w:val="24"/>
              </w:rPr>
              <w:t>泽鑫毅德</w:t>
            </w:r>
            <w:r>
              <w:rPr>
                <w:rFonts w:hint="eastAsia" w:ascii="Times New Roman" w:hAnsi="Times New Roman" w:eastAsia="宋体" w:cs="宋体"/>
                <w:sz w:val="24"/>
                <w:szCs w:val="24"/>
                <w:lang w:val="en-US" w:eastAsia="zh-CN"/>
              </w:rPr>
              <w:t>投资</w:t>
            </w:r>
            <w:r>
              <w:rPr>
                <w:rFonts w:ascii="Times New Roman" w:hAnsi="Times New Roman" w:eastAsia="宋体" w:cs="宋体"/>
                <w:sz w:val="24"/>
                <w:szCs w:val="24"/>
              </w:rPr>
              <w:t>、红思客资产、海南果实私募、</w:t>
            </w:r>
            <w:r>
              <w:rPr>
                <w:rFonts w:hint="eastAsia" w:ascii="Times New Roman" w:hAnsi="Times New Roman" w:eastAsia="宋体" w:cs="宋体"/>
                <w:sz w:val="24"/>
                <w:szCs w:val="24"/>
                <w:lang w:val="en-US" w:eastAsia="zh-CN"/>
              </w:rPr>
              <w:t>广东</w:t>
            </w:r>
            <w:r>
              <w:rPr>
                <w:rFonts w:ascii="Times New Roman" w:hAnsi="Times New Roman" w:eastAsia="宋体" w:cs="宋体"/>
                <w:sz w:val="24"/>
                <w:szCs w:val="24"/>
              </w:rPr>
              <w:t>正圆私募、</w:t>
            </w:r>
            <w:r>
              <w:rPr>
                <w:rFonts w:hint="eastAsia" w:ascii="Times New Roman" w:hAnsi="Times New Roman" w:eastAsia="宋体" w:cs="宋体"/>
                <w:sz w:val="24"/>
                <w:szCs w:val="24"/>
                <w:lang w:val="en-US" w:eastAsia="zh-CN"/>
              </w:rPr>
              <w:t>深圳</w:t>
            </w:r>
            <w:r>
              <w:rPr>
                <w:rFonts w:ascii="Times New Roman" w:hAnsi="Times New Roman" w:eastAsia="宋体" w:cs="宋体"/>
                <w:sz w:val="24"/>
                <w:szCs w:val="24"/>
              </w:rPr>
              <w:t>星睿资产、</w:t>
            </w:r>
            <w:r>
              <w:rPr>
                <w:rFonts w:hint="eastAsia" w:ascii="Times New Roman" w:hAnsi="Times New Roman" w:eastAsia="宋体" w:cs="宋体"/>
                <w:sz w:val="24"/>
                <w:szCs w:val="24"/>
                <w:lang w:val="en-US" w:eastAsia="zh-CN"/>
              </w:rPr>
              <w:t>深圳</w:t>
            </w:r>
            <w:r>
              <w:rPr>
                <w:rFonts w:ascii="Times New Roman" w:hAnsi="Times New Roman" w:eastAsia="宋体" w:cs="宋体"/>
                <w:sz w:val="24"/>
                <w:szCs w:val="24"/>
              </w:rPr>
              <w:t>伯利恒资产、</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慈阳投资、</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恒穗资产、</w:t>
            </w:r>
            <w:r>
              <w:rPr>
                <w:rFonts w:hint="eastAsia" w:ascii="Times New Roman" w:hAnsi="Times New Roman" w:eastAsia="宋体" w:cs="宋体"/>
                <w:sz w:val="24"/>
                <w:szCs w:val="24"/>
                <w:lang w:val="en-US" w:eastAsia="zh-CN"/>
              </w:rPr>
              <w:t>湖南</w:t>
            </w:r>
            <w:r>
              <w:rPr>
                <w:rFonts w:ascii="Times New Roman" w:hAnsi="Times New Roman" w:eastAsia="宋体" w:cs="宋体"/>
                <w:sz w:val="24"/>
                <w:szCs w:val="24"/>
              </w:rPr>
              <w:t>源乘私募、</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景林资产、</w:t>
            </w:r>
            <w:r>
              <w:rPr>
                <w:rFonts w:hint="eastAsia" w:ascii="Times New Roman" w:hAnsi="Times New Roman" w:eastAsia="宋体" w:cs="宋体"/>
                <w:sz w:val="24"/>
                <w:szCs w:val="24"/>
                <w:lang w:val="en-US" w:eastAsia="zh-CN"/>
              </w:rPr>
              <w:t>杭州</w:t>
            </w:r>
            <w:r>
              <w:rPr>
                <w:rFonts w:ascii="Times New Roman" w:hAnsi="Times New Roman" w:eastAsia="宋体" w:cs="宋体"/>
                <w:sz w:val="24"/>
                <w:szCs w:val="24"/>
              </w:rPr>
              <w:t>东方嘉富</w:t>
            </w:r>
            <w:r>
              <w:rPr>
                <w:rFonts w:hint="eastAsia" w:ascii="Times New Roman" w:hAnsi="Times New Roman" w:eastAsia="宋体" w:cs="宋体"/>
                <w:sz w:val="24"/>
                <w:szCs w:val="24"/>
                <w:lang w:val="en-US" w:eastAsia="zh-CN"/>
              </w:rPr>
              <w:t>资产</w:t>
            </w:r>
            <w:r>
              <w:rPr>
                <w:rFonts w:ascii="Times New Roman" w:hAnsi="Times New Roman" w:eastAsia="宋体" w:cs="宋体"/>
                <w:sz w:val="24"/>
                <w:szCs w:val="24"/>
              </w:rPr>
              <w:t>、</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玖鹏资产、汇鸿汇升</w:t>
            </w:r>
            <w:r>
              <w:rPr>
                <w:rFonts w:hint="eastAsia" w:ascii="Times New Roman" w:hAnsi="Times New Roman" w:eastAsia="宋体" w:cs="宋体"/>
                <w:sz w:val="24"/>
                <w:szCs w:val="24"/>
              </w:rPr>
              <w:t>（上海）资产配置中心</w:t>
            </w:r>
            <w:r>
              <w:rPr>
                <w:rFonts w:ascii="Times New Roman" w:hAnsi="Times New Roman" w:eastAsia="宋体" w:cs="宋体"/>
                <w:sz w:val="24"/>
                <w:szCs w:val="24"/>
              </w:rPr>
              <w:t>、</w:t>
            </w:r>
            <w:r>
              <w:rPr>
                <w:rFonts w:hint="eastAsia" w:ascii="Times New Roman" w:hAnsi="Times New Roman" w:eastAsia="宋体" w:cs="宋体"/>
                <w:sz w:val="24"/>
                <w:szCs w:val="24"/>
                <w:lang w:val="en-US" w:eastAsia="zh-CN"/>
              </w:rPr>
              <w:t>广州</w:t>
            </w:r>
            <w:r>
              <w:rPr>
                <w:rFonts w:ascii="Times New Roman" w:hAnsi="Times New Roman" w:eastAsia="宋体" w:cs="宋体"/>
                <w:sz w:val="24"/>
                <w:szCs w:val="24"/>
              </w:rPr>
              <w:t>银鲨私募、</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域秀资产、</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姚泾河私募、</w:t>
            </w:r>
            <w:r>
              <w:rPr>
                <w:rFonts w:hint="eastAsia" w:ascii="Times New Roman" w:hAnsi="Times New Roman" w:eastAsia="宋体" w:cs="宋体"/>
                <w:sz w:val="24"/>
                <w:szCs w:val="24"/>
                <w:lang w:val="en-US" w:eastAsia="zh-CN"/>
              </w:rPr>
              <w:t>浙江</w:t>
            </w:r>
            <w:r>
              <w:rPr>
                <w:rFonts w:ascii="Times New Roman" w:hAnsi="Times New Roman" w:eastAsia="宋体" w:cs="宋体"/>
                <w:sz w:val="24"/>
                <w:szCs w:val="24"/>
              </w:rPr>
              <w:t>银万私募、</w:t>
            </w:r>
            <w:r>
              <w:rPr>
                <w:rFonts w:hint="eastAsia" w:ascii="Times New Roman" w:hAnsi="Times New Roman" w:eastAsia="宋体" w:cs="宋体"/>
                <w:sz w:val="24"/>
                <w:szCs w:val="24"/>
                <w:lang w:val="en-US" w:eastAsia="zh-CN"/>
              </w:rPr>
              <w:t>深圳</w:t>
            </w:r>
            <w:r>
              <w:rPr>
                <w:rFonts w:ascii="Times New Roman" w:hAnsi="Times New Roman" w:eastAsia="宋体" w:cs="宋体"/>
                <w:sz w:val="24"/>
                <w:szCs w:val="24"/>
              </w:rPr>
              <w:t>尚诚资产、</w:t>
            </w:r>
            <w:r>
              <w:rPr>
                <w:rFonts w:hint="eastAsia" w:ascii="Times New Roman" w:hAnsi="Times New Roman" w:eastAsia="宋体" w:cs="宋体"/>
                <w:sz w:val="24"/>
                <w:szCs w:val="24"/>
                <w:lang w:val="en-US" w:eastAsia="zh-CN"/>
              </w:rPr>
              <w:t>深圳</w:t>
            </w:r>
            <w:r>
              <w:rPr>
                <w:rFonts w:ascii="Times New Roman" w:hAnsi="Times New Roman" w:eastAsia="宋体" w:cs="宋体"/>
                <w:sz w:val="24"/>
                <w:szCs w:val="24"/>
              </w:rPr>
              <w:t>新思哲投资、</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健顺投资、</w:t>
            </w:r>
            <w:r>
              <w:rPr>
                <w:rFonts w:hint="eastAsia" w:ascii="Times New Roman" w:hAnsi="Times New Roman" w:eastAsia="宋体" w:cs="宋体"/>
                <w:sz w:val="24"/>
                <w:szCs w:val="24"/>
                <w:lang w:val="en-US" w:eastAsia="zh-CN"/>
              </w:rPr>
              <w:t>广州</w:t>
            </w:r>
            <w:r>
              <w:rPr>
                <w:rFonts w:ascii="Times New Roman" w:hAnsi="Times New Roman" w:eastAsia="宋体" w:cs="宋体"/>
                <w:sz w:val="24"/>
                <w:szCs w:val="24"/>
              </w:rPr>
              <w:t>航长投资、</w:t>
            </w:r>
            <w:r>
              <w:rPr>
                <w:rFonts w:hint="eastAsia" w:ascii="Times New Roman" w:hAnsi="Times New Roman" w:eastAsia="宋体" w:cs="宋体"/>
                <w:sz w:val="24"/>
                <w:szCs w:val="24"/>
                <w:lang w:val="en-US" w:eastAsia="zh-CN"/>
              </w:rPr>
              <w:t>海南</w:t>
            </w:r>
            <w:r>
              <w:rPr>
                <w:rFonts w:ascii="Times New Roman" w:hAnsi="Times New Roman" w:eastAsia="宋体" w:cs="宋体"/>
                <w:sz w:val="24"/>
                <w:szCs w:val="24"/>
              </w:rPr>
              <w:t>鸿盛私募、</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明河投资、</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潼骁投资、</w:t>
            </w:r>
            <w:r>
              <w:rPr>
                <w:rFonts w:hint="eastAsia" w:ascii="Times New Roman" w:hAnsi="Times New Roman" w:eastAsia="宋体" w:cs="宋体"/>
                <w:sz w:val="24"/>
                <w:szCs w:val="24"/>
                <w:lang w:val="en-US" w:eastAsia="zh-CN"/>
              </w:rPr>
              <w:t>西藏</w:t>
            </w:r>
            <w:r>
              <w:rPr>
                <w:rFonts w:ascii="Times New Roman" w:hAnsi="Times New Roman" w:eastAsia="宋体" w:cs="宋体"/>
                <w:sz w:val="24"/>
                <w:szCs w:val="24"/>
              </w:rPr>
              <w:t>青骊资产、</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高毅资产、</w:t>
            </w:r>
            <w:r>
              <w:rPr>
                <w:rFonts w:hint="eastAsia" w:ascii="Times New Roman" w:hAnsi="Times New Roman" w:eastAsia="宋体" w:cs="宋体"/>
                <w:sz w:val="24"/>
                <w:szCs w:val="24"/>
                <w:lang w:val="en-US" w:eastAsia="zh-CN"/>
              </w:rPr>
              <w:t>北京</w:t>
            </w:r>
            <w:r>
              <w:rPr>
                <w:rFonts w:ascii="Times New Roman" w:hAnsi="Times New Roman" w:eastAsia="宋体" w:cs="宋体"/>
                <w:sz w:val="24"/>
                <w:szCs w:val="24"/>
              </w:rPr>
              <w:t>星石投资、泽泉投资、</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鹤禧投资、巨杉资产、</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季胜投资、瑞华投资、常春藤私募、</w:t>
            </w:r>
            <w:r>
              <w:rPr>
                <w:rFonts w:hint="eastAsia" w:ascii="Times New Roman" w:hAnsi="Times New Roman" w:eastAsia="宋体" w:cs="宋体"/>
                <w:sz w:val="24"/>
                <w:szCs w:val="24"/>
                <w:lang w:val="en-US" w:eastAsia="zh-CN"/>
              </w:rPr>
              <w:t>湖南</w:t>
            </w:r>
            <w:r>
              <w:rPr>
                <w:rFonts w:ascii="Times New Roman" w:hAnsi="Times New Roman" w:eastAsia="宋体" w:cs="宋体"/>
                <w:sz w:val="24"/>
                <w:szCs w:val="24"/>
              </w:rPr>
              <w:t>正兴私募、</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绿山私募、</w:t>
            </w:r>
            <w:r>
              <w:rPr>
                <w:rFonts w:hint="eastAsia" w:ascii="Times New Roman" w:hAnsi="Times New Roman" w:eastAsia="宋体" w:cs="宋体"/>
                <w:sz w:val="24"/>
                <w:szCs w:val="24"/>
                <w:lang w:val="en-US" w:eastAsia="zh-CN"/>
              </w:rPr>
              <w:t>北京</w:t>
            </w:r>
            <w:r>
              <w:rPr>
                <w:rFonts w:ascii="Times New Roman" w:hAnsi="Times New Roman" w:eastAsia="宋体" w:cs="宋体"/>
                <w:sz w:val="24"/>
                <w:szCs w:val="24"/>
              </w:rPr>
              <w:t>东方睿石</w:t>
            </w:r>
            <w:r>
              <w:rPr>
                <w:rFonts w:hint="eastAsia" w:ascii="Times New Roman" w:hAnsi="Times New Roman" w:eastAsia="宋体" w:cs="宋体"/>
                <w:sz w:val="24"/>
                <w:szCs w:val="24"/>
                <w:lang w:val="en-US" w:eastAsia="zh-CN"/>
              </w:rPr>
              <w:t>投资</w:t>
            </w:r>
            <w:r>
              <w:rPr>
                <w:rFonts w:ascii="Times New Roman" w:hAnsi="Times New Roman" w:eastAsia="宋体" w:cs="宋体"/>
                <w:sz w:val="24"/>
                <w:szCs w:val="24"/>
              </w:rPr>
              <w:t>、</w:t>
            </w:r>
            <w:r>
              <w:rPr>
                <w:rFonts w:hint="eastAsia" w:ascii="Times New Roman" w:hAnsi="Times New Roman" w:eastAsia="宋体" w:cs="宋体"/>
                <w:sz w:val="24"/>
                <w:szCs w:val="24"/>
                <w:lang w:val="en-US" w:eastAsia="zh-CN"/>
              </w:rPr>
              <w:t>深圳</w:t>
            </w:r>
            <w:r>
              <w:rPr>
                <w:rFonts w:ascii="Times New Roman" w:hAnsi="Times New Roman" w:eastAsia="宋体" w:cs="宋体"/>
                <w:sz w:val="24"/>
                <w:szCs w:val="24"/>
              </w:rPr>
              <w:t>纽富斯投资、国富联合私募、</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贵源投资、</w:t>
            </w:r>
            <w:r>
              <w:rPr>
                <w:rFonts w:hint="eastAsia" w:ascii="Times New Roman" w:hAnsi="Times New Roman" w:eastAsia="宋体" w:cs="宋体"/>
              </w:rPr>
              <w:t>进化论资产</w:t>
            </w:r>
            <w:r>
              <w:rPr>
                <w:rFonts w:hint="eastAsia" w:ascii="Times New Roman" w:hAnsi="Times New Roman" w:eastAsia="宋体" w:cs="宋体"/>
                <w:lang w:eastAsia="zh-CN"/>
              </w:rPr>
              <w:t>、</w:t>
            </w:r>
            <w:r>
              <w:rPr>
                <w:rFonts w:hint="eastAsia" w:ascii="Times New Roman" w:hAnsi="Times New Roman" w:eastAsia="宋体" w:cs="宋体"/>
                <w:sz w:val="24"/>
                <w:szCs w:val="24"/>
                <w:lang w:val="en-US" w:eastAsia="zh-CN"/>
              </w:rPr>
              <w:t>上海</w:t>
            </w:r>
            <w:r>
              <w:rPr>
                <w:rFonts w:ascii="Times New Roman" w:hAnsi="Times New Roman" w:eastAsia="宋体" w:cs="宋体"/>
                <w:sz w:val="24"/>
                <w:szCs w:val="24"/>
              </w:rPr>
              <w:t>河清龙樾、金建投资、波克科技、发展研究中心、</w:t>
            </w:r>
            <w:r>
              <w:rPr>
                <w:rFonts w:hint="eastAsia" w:ascii="Times New Roman" w:hAnsi="Times New Roman" w:eastAsia="宋体" w:cs="宋体"/>
              </w:rPr>
              <w:t>重庆渝汇投资</w:t>
            </w:r>
            <w:r>
              <w:rPr>
                <w:rFonts w:hint="eastAsia" w:ascii="Times New Roman" w:hAnsi="Times New Roman" w:eastAsia="宋体" w:cs="宋体"/>
                <w:lang w:eastAsia="zh-CN"/>
              </w:rPr>
              <w:t>、</w:t>
            </w:r>
            <w:r>
              <w:rPr>
                <w:rFonts w:ascii="Times New Roman" w:hAnsi="Times New Roman" w:eastAsia="宋体" w:cs="宋体"/>
                <w:sz w:val="24"/>
                <w:szCs w:val="24"/>
              </w:rPr>
              <w:t>LakefrontGlobalMacroFund、VisionPointAssetManagement、NinetyOneAsiaPte.Limited、BaringAssetManagement(Asia)Limited、POINT72ASSOCIATES,LLC、GIC狮城产业投资、PAG太平洋投資策略有限公司(太盟集团）、Citadel</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jc w:val="center"/>
        </w:trPr>
        <w:tc>
          <w:tcPr>
            <w:tcW w:w="2395" w:type="dxa"/>
            <w:tcBorders>
              <w:top w:val="single" w:color="auto" w:sz="6" w:space="0"/>
              <w:left w:val="single" w:color="auto" w:sz="12" w:space="0"/>
              <w:bottom w:val="single" w:color="auto" w:sz="6" w:space="0"/>
              <w:right w:val="single" w:color="auto" w:sz="6" w:space="0"/>
            </w:tcBorders>
            <w:vAlign w:val="center"/>
          </w:tcPr>
          <w:p>
            <w:pPr>
              <w:spacing w:line="420" w:lineRule="exact"/>
              <w:jc w:val="center"/>
              <w:rPr>
                <w:rFonts w:ascii="Times New Roman" w:hAnsi="Times New Roman" w:eastAsia="宋体"/>
                <w:b/>
                <w:bCs/>
              </w:rPr>
            </w:pPr>
            <w:r>
              <w:rPr>
                <w:rFonts w:hint="eastAsia" w:ascii="Times New Roman" w:hAnsi="Times New Roman" w:eastAsia="宋体"/>
                <w:b/>
                <w:bCs/>
              </w:rPr>
              <w:t>时间</w:t>
            </w:r>
          </w:p>
        </w:tc>
        <w:tc>
          <w:tcPr>
            <w:tcW w:w="6521" w:type="dxa"/>
            <w:tcBorders>
              <w:top w:val="single" w:color="auto" w:sz="6" w:space="0"/>
              <w:left w:val="single" w:color="auto" w:sz="6" w:space="0"/>
              <w:bottom w:val="single" w:color="auto" w:sz="6" w:space="0"/>
              <w:right w:val="single" w:color="auto" w:sz="12" w:space="0"/>
            </w:tcBorders>
            <w:vAlign w:val="center"/>
          </w:tcPr>
          <w:p>
            <w:pPr>
              <w:spacing w:line="420" w:lineRule="exact"/>
              <w:rPr>
                <w:rFonts w:ascii="Times New Roman" w:hAnsi="Times New Roman" w:eastAsia="宋体"/>
              </w:rPr>
            </w:pPr>
            <w:r>
              <w:rPr>
                <w:rFonts w:hint="eastAsia" w:ascii="Times New Roman" w:hAnsi="Times New Roman" w:eastAsia="宋体"/>
              </w:rPr>
              <w:t>202</w:t>
            </w:r>
            <w:r>
              <w:rPr>
                <w:rFonts w:hint="eastAsia" w:ascii="Times New Roman" w:hAnsi="Times New Roman" w:eastAsia="宋体"/>
                <w:lang w:val="en-US" w:eastAsia="zh-CN"/>
              </w:rPr>
              <w:t>6</w:t>
            </w:r>
            <w:r>
              <w:rPr>
                <w:rFonts w:hint="eastAsia" w:ascii="Times New Roman" w:hAnsi="Times New Roman" w:eastAsia="宋体"/>
              </w:rPr>
              <w:t>年</w:t>
            </w:r>
            <w:r>
              <w:rPr>
                <w:rFonts w:hint="eastAsia" w:ascii="Times New Roman" w:hAnsi="Times New Roman" w:eastAsia="宋体"/>
                <w:lang w:val="en-US" w:eastAsia="zh-CN"/>
              </w:rPr>
              <w:t>10</w:t>
            </w:r>
            <w:r>
              <w:rPr>
                <w:rFonts w:hint="eastAsia" w:ascii="Times New Roman" w:hAnsi="Times New Roman" w:eastAsia="宋体"/>
              </w:rPr>
              <w:t>月</w:t>
            </w:r>
            <w:r>
              <w:rPr>
                <w:rFonts w:hint="eastAsia" w:ascii="Times New Roman" w:hAnsi="Times New Roman" w:eastAsia="宋体"/>
                <w:lang w:val="en-US" w:eastAsia="zh-CN"/>
              </w:rPr>
              <w:t>28</w:t>
            </w:r>
            <w:r>
              <w:rPr>
                <w:rFonts w:hint="eastAsia" w:ascii="Times New Roman" w:hAnsi="Times New Roman" w:eastAsia="宋体"/>
              </w:rPr>
              <w:t>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0" w:hRule="atLeast"/>
          <w:jc w:val="center"/>
        </w:trPr>
        <w:tc>
          <w:tcPr>
            <w:tcW w:w="2395" w:type="dxa"/>
            <w:tcBorders>
              <w:top w:val="single" w:color="auto" w:sz="6" w:space="0"/>
              <w:left w:val="single" w:color="auto" w:sz="12" w:space="0"/>
              <w:bottom w:val="single" w:color="auto" w:sz="6" w:space="0"/>
              <w:right w:val="single" w:color="auto" w:sz="6" w:space="0"/>
            </w:tcBorders>
            <w:vAlign w:val="center"/>
          </w:tcPr>
          <w:p>
            <w:pPr>
              <w:spacing w:line="420" w:lineRule="exact"/>
              <w:jc w:val="center"/>
              <w:rPr>
                <w:rFonts w:ascii="Times New Roman" w:hAnsi="Times New Roman" w:eastAsia="宋体"/>
                <w:b/>
                <w:bCs/>
              </w:rPr>
            </w:pPr>
            <w:r>
              <w:rPr>
                <w:rFonts w:hint="eastAsia" w:ascii="Times New Roman" w:hAnsi="Times New Roman" w:eastAsia="宋体"/>
                <w:b/>
                <w:bCs/>
              </w:rPr>
              <w:t>地点</w:t>
            </w:r>
          </w:p>
        </w:tc>
        <w:tc>
          <w:tcPr>
            <w:tcW w:w="6521" w:type="dxa"/>
            <w:tcBorders>
              <w:top w:val="single" w:color="auto" w:sz="6" w:space="0"/>
              <w:left w:val="single" w:color="auto" w:sz="6" w:space="0"/>
              <w:bottom w:val="single" w:color="auto" w:sz="6" w:space="0"/>
              <w:right w:val="single" w:color="auto" w:sz="12" w:space="0"/>
            </w:tcBorders>
            <w:vAlign w:val="center"/>
          </w:tcPr>
          <w:p>
            <w:pPr>
              <w:spacing w:line="420" w:lineRule="exact"/>
              <w:jc w:val="left"/>
              <w:rPr>
                <w:rFonts w:hint="eastAsia" w:ascii="Times New Roman" w:hAnsi="Times New Roman" w:eastAsia="宋体"/>
                <w:lang w:val="en-US" w:eastAsia="zh-CN"/>
              </w:rPr>
            </w:pPr>
            <w:r>
              <w:rPr>
                <w:rFonts w:hint="eastAsia" w:ascii="Times New Roman" w:hAnsi="Times New Roman" w:eastAsia="宋体"/>
              </w:rPr>
              <w:t>进门财经线上电话会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38" w:hRule="atLeast"/>
          <w:jc w:val="center"/>
        </w:trPr>
        <w:tc>
          <w:tcPr>
            <w:tcW w:w="2395" w:type="dxa"/>
            <w:tcBorders>
              <w:top w:val="single" w:color="auto" w:sz="6" w:space="0"/>
              <w:left w:val="single" w:color="auto" w:sz="12" w:space="0"/>
              <w:bottom w:val="single" w:color="auto" w:sz="6" w:space="0"/>
              <w:right w:val="single" w:color="auto" w:sz="6" w:space="0"/>
            </w:tcBorders>
            <w:vAlign w:val="center"/>
          </w:tcPr>
          <w:p>
            <w:pPr>
              <w:spacing w:line="420" w:lineRule="exact"/>
              <w:jc w:val="center"/>
              <w:rPr>
                <w:rFonts w:ascii="Times New Roman" w:hAnsi="Times New Roman" w:eastAsia="宋体"/>
                <w:b/>
                <w:bCs/>
              </w:rPr>
            </w:pPr>
            <w:r>
              <w:rPr>
                <w:rFonts w:hint="eastAsia" w:ascii="Times New Roman" w:hAnsi="Times New Roman" w:eastAsia="宋体"/>
                <w:b/>
                <w:bCs/>
              </w:rPr>
              <w:t>接待人员姓名</w:t>
            </w:r>
          </w:p>
        </w:tc>
        <w:tc>
          <w:tcPr>
            <w:tcW w:w="6521" w:type="dxa"/>
            <w:tcBorders>
              <w:top w:val="single" w:color="auto" w:sz="6" w:space="0"/>
              <w:left w:val="single" w:color="auto" w:sz="6" w:space="0"/>
              <w:bottom w:val="single" w:color="auto" w:sz="6" w:space="0"/>
              <w:right w:val="single" w:color="auto" w:sz="12" w:space="0"/>
            </w:tcBorders>
            <w:vAlign w:val="center"/>
          </w:tcPr>
          <w:p>
            <w:pPr>
              <w:widowControl/>
              <w:jc w:val="left"/>
              <w:rPr>
                <w:rFonts w:hint="eastAsia" w:ascii="Times New Roman" w:hAnsi="Times New Roman" w:eastAsia="宋体" w:cs="宋体"/>
                <w:color w:val="000000"/>
                <w:kern w:val="0"/>
                <w:lang w:bidi="ar"/>
              </w:rPr>
            </w:pPr>
            <w:r>
              <w:rPr>
                <w:rFonts w:hint="eastAsia" w:ascii="Times New Roman" w:hAnsi="Times New Roman" w:eastAsia="宋体" w:cs="宋体"/>
                <w:color w:val="000000"/>
                <w:kern w:val="0"/>
                <w:lang w:bidi="ar"/>
              </w:rPr>
              <w:t>董事：谢思遥</w:t>
            </w:r>
          </w:p>
          <w:p>
            <w:pPr>
              <w:widowControl/>
              <w:jc w:val="left"/>
              <w:rPr>
                <w:rFonts w:hint="default" w:ascii="Times New Roman" w:hAnsi="Times New Roman" w:eastAsia="宋体" w:cs="宋体"/>
                <w:color w:val="000000"/>
                <w:kern w:val="0"/>
                <w:lang w:val="en-US" w:eastAsia="zh-CN" w:bidi="ar"/>
              </w:rPr>
            </w:pPr>
            <w:r>
              <w:rPr>
                <w:rFonts w:hint="eastAsia" w:ascii="Times New Roman" w:hAnsi="Times New Roman" w:eastAsia="宋体" w:cs="宋体"/>
                <w:color w:val="000000"/>
                <w:kern w:val="0"/>
                <w:lang w:bidi="ar"/>
              </w:rPr>
              <w:t>董事会秘书：彭娟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7" w:hRule="atLeast"/>
          <w:jc w:val="center"/>
        </w:trPr>
        <w:tc>
          <w:tcPr>
            <w:tcW w:w="2395"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Times New Roman" w:hAnsi="Times New Roman" w:eastAsia="宋体"/>
                <w:b/>
                <w:bCs/>
              </w:rPr>
            </w:pPr>
            <w:r>
              <w:rPr>
                <w:rFonts w:hint="eastAsia" w:ascii="Times New Roman" w:hAnsi="Times New Roman" w:eastAsia="宋体"/>
                <w:b/>
                <w:bCs/>
              </w:rPr>
              <w:t>投资者关系活动主要内容介绍</w:t>
            </w:r>
          </w:p>
        </w:tc>
        <w:tc>
          <w:tcPr>
            <w:tcW w:w="6521" w:type="dxa"/>
            <w:tcBorders>
              <w:top w:val="single" w:color="auto" w:sz="6" w:space="0"/>
              <w:left w:val="single" w:color="auto" w:sz="6" w:space="0"/>
              <w:bottom w:val="single" w:color="auto" w:sz="6" w:space="0"/>
              <w:right w:val="single" w:color="auto" w:sz="12" w:space="0"/>
            </w:tcBorders>
            <w:vAlign w:val="center"/>
          </w:tcPr>
          <w:p>
            <w:pPr>
              <w:pStyle w:val="1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highlight w:val="none"/>
              </w:rPr>
            </w:pPr>
            <w:r>
              <w:rPr>
                <w:rFonts w:hint="eastAsia"/>
                <w:highlight w:val="none"/>
                <w:lang w:val="en-US" w:eastAsia="zh-CN"/>
              </w:rPr>
              <w:t>一、</w:t>
            </w:r>
            <w:r>
              <w:rPr>
                <w:rFonts w:hint="eastAsia" w:ascii="Times New Roman" w:hAnsi="Times New Roman"/>
                <w:highlight w:val="none"/>
              </w:rPr>
              <w:t>公司2026年</w:t>
            </w:r>
            <w:r>
              <w:rPr>
                <w:rFonts w:hint="eastAsia"/>
                <w:highlight w:val="none"/>
                <w:lang w:val="en-US" w:eastAsia="zh-CN"/>
              </w:rPr>
              <w:t>三季度经营情况介绍</w:t>
            </w:r>
          </w:p>
          <w:p>
            <w:pPr>
              <w:spacing w:line="480" w:lineRule="exact"/>
              <w:ind w:firstLine="480" w:firstLineChars="200"/>
              <w:jc w:val="both"/>
              <w:rPr>
                <w:rFonts w:hint="eastAsia" w:eastAsia="宋体"/>
                <w:highlight w:val="none"/>
              </w:rPr>
            </w:pPr>
            <w:r>
              <w:rPr>
                <w:rFonts w:hint="eastAsia" w:eastAsia="宋体"/>
                <w:highlight w:val="none"/>
              </w:rPr>
              <w:t>2026年前三季度，公司经营业绩实现较快增长，收入规模已超过2025年全年，半导体业务是核心增长驱动。公司实现营业收入12.57亿元，同比增长66.95%；其中第三季度营业收入4.53亿元，同比增长</w:t>
            </w:r>
            <w:r>
              <w:rPr>
                <w:rFonts w:hint="eastAsia"/>
              </w:rPr>
              <w:t>46.56</w:t>
            </w:r>
            <w:r>
              <w:rPr>
                <w:rFonts w:hint="eastAsia"/>
                <w:lang w:val="en-US" w:eastAsia="zh-CN"/>
              </w:rPr>
              <w:t>%</w:t>
            </w:r>
            <w:r>
              <w:rPr>
                <w:rFonts w:hint="eastAsia" w:eastAsia="宋体"/>
                <w:highlight w:val="none"/>
              </w:rPr>
              <w:t>，为公司历史单季度收入第二高水平，仅次于2026年第二季度。半导体业务收入同比增长157%，带动整体收入快速提升。归属于上市公司股东的净利润为5,666.64万元，同比增长36.65%；归属于上市公司股东的扣除非经常性损益的净利润为5,072.74万元，同比增长34.33%。</w:t>
            </w:r>
          </w:p>
          <w:p>
            <w:pPr>
              <w:spacing w:line="480" w:lineRule="exact"/>
              <w:ind w:firstLine="480" w:firstLineChars="200"/>
              <w:jc w:val="both"/>
              <w:rPr>
                <w:rFonts w:hint="eastAsia" w:eastAsia="宋体"/>
                <w:highlight w:val="none"/>
              </w:rPr>
            </w:pPr>
            <w:r>
              <w:rPr>
                <w:rFonts w:hint="eastAsia" w:eastAsia="宋体"/>
                <w:highlight w:val="none"/>
              </w:rPr>
              <w:t>公司持续加大研发投入，前三季度研发投入2.71亿元，同比增长159.40%，占当期营业收入的21.58%。第三季度单季</w:t>
            </w:r>
            <w:r>
              <w:rPr>
                <w:rFonts w:hint="eastAsia" w:eastAsia="宋体"/>
                <w:highlight w:val="none"/>
                <w:lang w:val="en-US" w:eastAsia="zh-CN"/>
              </w:rPr>
              <w:t>度</w:t>
            </w:r>
            <w:r>
              <w:rPr>
                <w:rFonts w:hint="eastAsia" w:eastAsia="宋体"/>
                <w:highlight w:val="none"/>
              </w:rPr>
              <w:t>研发投入1.16亿元，同比增长166.85</w:t>
            </w:r>
            <w:r>
              <w:rPr>
                <w:rFonts w:hint="eastAsia" w:eastAsia="宋体"/>
                <w:highlight w:val="none"/>
                <w:lang w:val="en-US" w:eastAsia="zh-CN"/>
              </w:rPr>
              <w:t>%</w:t>
            </w:r>
            <w:r>
              <w:rPr>
                <w:rFonts w:hint="eastAsia" w:eastAsia="宋体"/>
                <w:highlight w:val="none"/>
              </w:rPr>
              <w:t>，单季</w:t>
            </w:r>
            <w:r>
              <w:rPr>
                <w:rFonts w:hint="eastAsia" w:eastAsia="宋体"/>
                <w:highlight w:val="none"/>
                <w:lang w:val="en-US" w:eastAsia="zh-CN"/>
              </w:rPr>
              <w:t>度</w:t>
            </w:r>
            <w:r>
              <w:rPr>
                <w:rFonts w:hint="eastAsia" w:eastAsia="宋体"/>
                <w:highlight w:val="none"/>
              </w:rPr>
              <w:t>研发费用率超过25%，主要系研发材料费、股份支付费用及研发人员职工薪酬增加所致。相关投入为构筑长期核心竞争壁垒、夯实技术底座提供了有力支撑。前三季度综合毛利率稳步提升，后续公司将通过优化产品结构、提高高附加值产品占比，带动毛利率水平进一步改善。</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eastAsia" w:eastAsia="宋体"/>
                <w:b w:val="0"/>
                <w:bCs w:val="0"/>
                <w:highlight w:val="none"/>
              </w:rPr>
            </w:pPr>
            <w:r>
              <w:rPr>
                <w:rFonts w:hint="eastAsia" w:eastAsia="宋体"/>
                <w:b w:val="0"/>
                <w:bCs w:val="0"/>
                <w:highlight w:val="none"/>
              </w:rPr>
              <w:t>第三季度经营活动现金流入超过7亿元，环比、同比均实现明显增长，为未来持续投入提供基础。</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eastAsia" w:eastAsia="宋体"/>
                <w:b w:val="0"/>
                <w:bCs w:val="0"/>
                <w:highlight w:val="none"/>
                <w:lang w:val="en-US" w:eastAsia="zh-CN"/>
              </w:rPr>
            </w:pPr>
            <w:bookmarkStart w:id="0" w:name="_GoBack"/>
            <w:bookmarkEnd w:id="0"/>
          </w:p>
          <w:p>
            <w:pPr>
              <w:pStyle w:val="1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default"/>
                <w:highlight w:val="none"/>
                <w:lang w:val="en-US" w:eastAsia="zh-CN"/>
              </w:rPr>
            </w:pPr>
            <w:r>
              <w:rPr>
                <w:rFonts w:hint="eastAsia"/>
                <w:highlight w:val="none"/>
                <w:lang w:val="en-US" w:eastAsia="zh-CN"/>
              </w:rPr>
              <w:t>二、公司产能布局与供应链情况</w:t>
            </w:r>
          </w:p>
          <w:p>
            <w:pPr>
              <w:spacing w:line="480" w:lineRule="exact"/>
              <w:ind w:firstLine="480" w:firstLineChars="200"/>
              <w:jc w:val="both"/>
              <w:rPr>
                <w:rFonts w:hint="eastAsia" w:ascii="Times New Roman" w:hAnsi="Times New Roman" w:eastAsia="宋体"/>
                <w:highlight w:val="none"/>
              </w:rPr>
            </w:pPr>
            <w:r>
              <w:rPr>
                <w:rFonts w:hint="eastAsia" w:ascii="Times New Roman" w:hAnsi="Times New Roman" w:eastAsia="宋体"/>
                <w:highlight w:val="none"/>
              </w:rPr>
              <w:t>当前半导体订单</w:t>
            </w:r>
            <w:r>
              <w:rPr>
                <w:rFonts w:hint="eastAsia" w:eastAsia="宋体"/>
                <w:highlight w:val="none"/>
                <w:lang w:val="en-US" w:eastAsia="zh-CN"/>
              </w:rPr>
              <w:t>饱满</w:t>
            </w:r>
            <w:r>
              <w:rPr>
                <w:rFonts w:hint="eastAsia" w:ascii="Times New Roman" w:hAnsi="Times New Roman" w:eastAsia="宋体"/>
                <w:highlight w:val="none"/>
                <w:lang w:eastAsia="zh-CN"/>
              </w:rPr>
              <w:t>，</w:t>
            </w:r>
            <w:r>
              <w:rPr>
                <w:rFonts w:hint="eastAsia" w:ascii="Times New Roman" w:hAnsi="Times New Roman" w:eastAsia="宋体"/>
                <w:highlight w:val="none"/>
              </w:rPr>
              <w:t>公司核心</w:t>
            </w:r>
            <w:r>
              <w:rPr>
                <w:rFonts w:hint="eastAsia" w:eastAsia="宋体"/>
                <w:highlight w:val="none"/>
                <w:lang w:val="en-US" w:eastAsia="zh-CN"/>
              </w:rPr>
              <w:t>产线</w:t>
            </w:r>
            <w:r>
              <w:rPr>
                <w:rFonts w:hint="eastAsia" w:ascii="Times New Roman" w:hAnsi="Times New Roman" w:eastAsia="宋体"/>
                <w:highlight w:val="none"/>
              </w:rPr>
              <w:t>已满产。精智达存储测试设备产业化智造项目</w:t>
            </w:r>
            <w:r>
              <w:rPr>
                <w:rFonts w:hint="eastAsia" w:ascii="Times New Roman" w:hAnsi="Times New Roman" w:eastAsia="宋体"/>
                <w:highlight w:val="none"/>
                <w:lang w:val="en-US" w:eastAsia="zh-CN"/>
              </w:rPr>
              <w:t>于2026年10月</w:t>
            </w:r>
            <w:r>
              <w:rPr>
                <w:rFonts w:hint="eastAsia" w:ascii="Times New Roman" w:hAnsi="Times New Roman" w:eastAsia="宋体"/>
                <w:highlight w:val="none"/>
              </w:rPr>
              <w:t>在深圳市龙华区正式开工</w:t>
            </w:r>
            <w:r>
              <w:rPr>
                <w:rFonts w:hint="eastAsia" w:ascii="Times New Roman" w:hAnsi="Times New Roman" w:eastAsia="宋体"/>
                <w:highlight w:val="none"/>
                <w:lang w:eastAsia="zh-CN"/>
              </w:rPr>
              <w:t>，</w:t>
            </w:r>
            <w:r>
              <w:rPr>
                <w:rFonts w:hint="eastAsia" w:ascii="Times New Roman" w:hAnsi="Times New Roman" w:eastAsia="宋体"/>
                <w:highlight w:val="none"/>
                <w:lang w:val="en-US" w:eastAsia="zh-CN"/>
              </w:rPr>
              <w:t>是公司</w:t>
            </w:r>
            <w:r>
              <w:rPr>
                <w:rFonts w:hint="eastAsia" w:ascii="Times New Roman" w:hAnsi="Times New Roman" w:eastAsia="宋体"/>
                <w:highlight w:val="none"/>
              </w:rPr>
              <w:t>成立以来首个自建生产基地</w:t>
            </w:r>
            <w:r>
              <w:rPr>
                <w:rFonts w:hint="eastAsia" w:ascii="Times New Roman" w:hAnsi="Times New Roman" w:eastAsia="宋体"/>
                <w:highlight w:val="none"/>
                <w:lang w:eastAsia="zh-CN"/>
              </w:rPr>
              <w:t>。</w:t>
            </w:r>
            <w:r>
              <w:rPr>
                <w:rFonts w:hint="eastAsia" w:ascii="Times New Roman" w:hAnsi="Times New Roman" w:eastAsia="宋体" w:cs="Times New Roman"/>
                <w:sz w:val="24"/>
                <w:szCs w:val="24"/>
                <w:highlight w:val="none"/>
                <w:lang w:val="en-US" w:eastAsia="zh-CN"/>
              </w:rPr>
              <w:t>项目</w:t>
            </w:r>
            <w:r>
              <w:rPr>
                <w:rFonts w:hint="eastAsia" w:ascii="Times New Roman" w:hAnsi="Times New Roman" w:eastAsia="宋体" w:cs="Times New Roman"/>
                <w:sz w:val="24"/>
                <w:szCs w:val="24"/>
                <w:highlight w:val="none"/>
              </w:rPr>
              <w:t>建成后</w:t>
            </w:r>
            <w:r>
              <w:rPr>
                <w:rFonts w:hint="eastAsia" w:ascii="Times New Roman" w:hAnsi="Times New Roman" w:eastAsia="宋体" w:cs="Times New Roman"/>
                <w:sz w:val="24"/>
                <w:szCs w:val="24"/>
                <w:highlight w:val="none"/>
                <w:lang w:val="en-US" w:eastAsia="zh-CN"/>
              </w:rPr>
              <w:t>将</w:t>
            </w:r>
            <w:r>
              <w:rPr>
                <w:rFonts w:hint="eastAsia" w:eastAsia="宋体" w:cs="Times New Roman"/>
                <w:sz w:val="24"/>
                <w:szCs w:val="24"/>
                <w:highlight w:val="none"/>
                <w:lang w:val="en-US" w:eastAsia="zh-CN"/>
              </w:rPr>
              <w:t>提升</w:t>
            </w:r>
            <w:r>
              <w:rPr>
                <w:rFonts w:hint="eastAsia" w:ascii="Times New Roman" w:hAnsi="Times New Roman" w:eastAsia="宋体" w:cs="Times New Roman"/>
                <w:i w:val="0"/>
                <w:iCs w:val="0"/>
                <w:caps w:val="0"/>
                <w:spacing w:val="0"/>
                <w:sz w:val="24"/>
                <w:szCs w:val="24"/>
                <w:highlight w:val="none"/>
              </w:rPr>
              <w:t>设备规模化生产与交付能力，为半导体测试业务的持续发展提供坚实支撑。</w:t>
            </w:r>
          </w:p>
          <w:p>
            <w:pPr>
              <w:spacing w:line="480" w:lineRule="exact"/>
              <w:ind w:firstLine="480" w:firstLineChars="200"/>
              <w:jc w:val="both"/>
              <w:rPr>
                <w:rFonts w:hint="eastAsia" w:ascii="Times New Roman" w:hAnsi="Times New Roman" w:eastAsia="宋体"/>
                <w:highlight w:val="none"/>
              </w:rPr>
            </w:pPr>
            <w:r>
              <w:rPr>
                <w:rFonts w:hint="eastAsia" w:ascii="Times New Roman" w:hAnsi="Times New Roman" w:eastAsia="宋体"/>
                <w:highlight w:val="none"/>
                <w:lang w:val="en-US" w:eastAsia="zh-CN"/>
              </w:rPr>
              <w:t>2026年</w:t>
            </w:r>
            <w:r>
              <w:rPr>
                <w:rFonts w:hint="eastAsia" w:ascii="Times New Roman" w:hAnsi="Times New Roman" w:eastAsia="宋体"/>
                <w:highlight w:val="none"/>
              </w:rPr>
              <w:t>三季度末</w:t>
            </w:r>
            <w:r>
              <w:rPr>
                <w:rFonts w:hint="eastAsia" w:ascii="Times New Roman" w:hAnsi="Times New Roman" w:eastAsia="宋体"/>
                <w:highlight w:val="none"/>
                <w:lang w:eastAsia="zh-CN"/>
              </w:rPr>
              <w:t>，</w:t>
            </w:r>
            <w:r>
              <w:rPr>
                <w:rFonts w:hint="eastAsia" w:ascii="Times New Roman" w:hAnsi="Times New Roman" w:eastAsia="宋体"/>
                <w:highlight w:val="none"/>
                <w:lang w:val="en-US" w:eastAsia="zh-CN"/>
              </w:rPr>
              <w:t>公司</w:t>
            </w:r>
            <w:r>
              <w:rPr>
                <w:rFonts w:hint="eastAsia" w:ascii="Times New Roman" w:hAnsi="Times New Roman" w:eastAsia="宋体"/>
                <w:highlight w:val="none"/>
              </w:rPr>
              <w:t>存货</w:t>
            </w:r>
            <w:r>
              <w:rPr>
                <w:rFonts w:hint="eastAsia" w:ascii="Times New Roman" w:hAnsi="Times New Roman" w:eastAsia="宋体"/>
                <w:highlight w:val="none"/>
                <w:lang w:val="en-US" w:eastAsia="zh-CN"/>
              </w:rPr>
              <w:t>账面价值</w:t>
            </w:r>
            <w:r>
              <w:rPr>
                <w:rFonts w:hint="eastAsia" w:ascii="Times New Roman" w:hAnsi="Times New Roman" w:eastAsia="宋体"/>
                <w:highlight w:val="none"/>
              </w:rPr>
              <w:t>较年初增长144.95%</w:t>
            </w:r>
            <w:r>
              <w:rPr>
                <w:rFonts w:hint="eastAsia" w:ascii="Times New Roman" w:hAnsi="Times New Roman" w:eastAsia="宋体"/>
                <w:highlight w:val="none"/>
                <w:lang w:eastAsia="zh-CN"/>
              </w:rPr>
              <w:t>。</w:t>
            </w:r>
            <w:r>
              <w:rPr>
                <w:rFonts w:hint="eastAsia" w:ascii="Times New Roman" w:hAnsi="Times New Roman" w:eastAsia="宋体"/>
                <w:highlight w:val="none"/>
              </w:rPr>
              <w:t>存货增长主要系业务规模快速提升，原材料采购</w:t>
            </w:r>
            <w:r>
              <w:rPr>
                <w:rFonts w:hint="eastAsia" w:eastAsia="宋体"/>
                <w:highlight w:val="none"/>
                <w:lang w:val="en-US" w:eastAsia="zh-CN"/>
              </w:rPr>
              <w:t>增加</w:t>
            </w:r>
            <w:r>
              <w:rPr>
                <w:rFonts w:hint="eastAsia" w:ascii="Times New Roman" w:hAnsi="Times New Roman" w:eastAsia="宋体"/>
                <w:highlight w:val="none"/>
              </w:rPr>
              <w:t>、生产规模</w:t>
            </w:r>
            <w:r>
              <w:rPr>
                <w:rFonts w:hint="eastAsia" w:eastAsia="宋体"/>
                <w:highlight w:val="none"/>
                <w:lang w:val="en-US" w:eastAsia="zh-CN"/>
              </w:rPr>
              <w:t>扩大及</w:t>
            </w:r>
            <w:r>
              <w:rPr>
                <w:rFonts w:hint="eastAsia" w:ascii="Times New Roman" w:hAnsi="Times New Roman" w:eastAsia="宋体"/>
                <w:highlight w:val="none"/>
              </w:rPr>
              <w:t>发出商品增加所致。结合在手订单及交付计划</w:t>
            </w:r>
            <w:r>
              <w:rPr>
                <w:rFonts w:hint="eastAsia" w:ascii="Times New Roman" w:hAnsi="Times New Roman" w:eastAsia="宋体"/>
                <w:highlight w:val="none"/>
                <w:lang w:val="en-US" w:eastAsia="zh-CN"/>
              </w:rPr>
              <w:t>来看</w:t>
            </w:r>
            <w:r>
              <w:rPr>
                <w:rFonts w:hint="eastAsia" w:ascii="Times New Roman" w:hAnsi="Times New Roman" w:eastAsia="宋体"/>
                <w:highlight w:val="none"/>
              </w:rPr>
              <w:t>，当前存货规模与订单节奏匹配度良好，能够保障客户订单按期交付。</w:t>
            </w:r>
          </w:p>
          <w:p>
            <w:pPr>
              <w:spacing w:line="480" w:lineRule="exact"/>
              <w:ind w:firstLine="480" w:firstLineChars="200"/>
              <w:jc w:val="both"/>
              <w:rPr>
                <w:rFonts w:hint="eastAsia" w:ascii="Times New Roman" w:hAnsi="Times New Roman" w:eastAsia="宋体"/>
                <w:b/>
                <w:bCs/>
                <w:highlight w:val="none"/>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default"/>
                <w:highlight w:val="none"/>
                <w:lang w:val="en-US" w:eastAsia="zh-CN"/>
              </w:rPr>
            </w:pPr>
            <w:r>
              <w:rPr>
                <w:rFonts w:hint="eastAsia"/>
                <w:highlight w:val="none"/>
                <w:lang w:val="en-US" w:eastAsia="zh-CN"/>
              </w:rPr>
              <w:t>三、公司新产品进展</w:t>
            </w:r>
          </w:p>
          <w:p>
            <w:pPr>
              <w:spacing w:after="0" w:line="480" w:lineRule="exact"/>
              <w:ind w:firstLine="480"/>
              <w:jc w:val="both"/>
              <w:rPr>
                <w:rFonts w:hint="default" w:ascii="Times New Roman" w:hAnsi="Times New Roman" w:eastAsia="宋体" w:cs="Times New Roman"/>
                <w:color w:val="000000"/>
                <w:szCs w:val="20"/>
                <w:highlight w:val="none"/>
              </w:rPr>
            </w:pPr>
            <w:r>
              <w:rPr>
                <w:rFonts w:hint="default" w:ascii="Times New Roman" w:hAnsi="Times New Roman" w:eastAsia="宋体" w:cs="Times New Roman"/>
                <w:color w:val="000000"/>
                <w:szCs w:val="20"/>
                <w:highlight w:val="none"/>
              </w:rPr>
              <w:t>公司自研SoC ATE测试机已于2026湾区半导体产业生态博览会（湾芯展）正式推出</w:t>
            </w:r>
            <w:r>
              <w:rPr>
                <w:rFonts w:hint="eastAsia" w:eastAsia="宋体" w:cs="Times New Roman"/>
                <w:color w:val="000000"/>
                <w:szCs w:val="20"/>
                <w:highlight w:val="none"/>
                <w:lang w:eastAsia="zh-CN"/>
              </w:rPr>
              <w:t>。</w:t>
            </w:r>
            <w:r>
              <w:rPr>
                <w:rFonts w:hint="eastAsia" w:eastAsia="宋体" w:cs="Times New Roman"/>
                <w:color w:val="000000"/>
                <w:szCs w:val="20"/>
                <w:highlight w:val="none"/>
                <w:lang w:val="en-US" w:eastAsia="zh-CN"/>
              </w:rPr>
              <w:t>该产品</w:t>
            </w:r>
            <w:r>
              <w:rPr>
                <w:rFonts w:hint="default" w:ascii="Times New Roman" w:hAnsi="Times New Roman" w:eastAsia="宋体" w:cs="Times New Roman"/>
                <w:color w:val="000000"/>
                <w:szCs w:val="20"/>
                <w:highlight w:val="none"/>
              </w:rPr>
              <w:t>最大</w:t>
            </w:r>
            <w:r>
              <w:rPr>
                <w:rFonts w:hint="eastAsia" w:eastAsia="宋体" w:cs="Times New Roman"/>
                <w:color w:val="000000"/>
                <w:szCs w:val="20"/>
                <w:highlight w:val="none"/>
                <w:lang w:val="en-US" w:eastAsia="zh-CN"/>
              </w:rPr>
              <w:t>支持</w:t>
            </w:r>
            <w:r>
              <w:rPr>
                <w:rFonts w:hint="default" w:ascii="Times New Roman" w:hAnsi="Times New Roman" w:eastAsia="宋体" w:cs="Times New Roman"/>
                <w:color w:val="000000"/>
                <w:szCs w:val="20"/>
                <w:highlight w:val="none"/>
              </w:rPr>
              <w:t>6,912路数字通道，通道带宽可达 1.6Gbps，具备大规模电源通道</w:t>
            </w:r>
            <w:r>
              <w:rPr>
                <w:rFonts w:hint="eastAsia" w:eastAsia="宋体" w:cs="Times New Roman"/>
                <w:color w:val="000000"/>
                <w:szCs w:val="20"/>
                <w:highlight w:val="none"/>
                <w:lang w:val="en-US" w:eastAsia="zh-CN"/>
              </w:rPr>
              <w:t>和</w:t>
            </w:r>
            <w:r>
              <w:rPr>
                <w:rFonts w:hint="default" w:ascii="Times New Roman" w:hAnsi="Times New Roman" w:eastAsia="宋体" w:cs="Times New Roman"/>
                <w:color w:val="000000"/>
                <w:szCs w:val="20"/>
                <w:highlight w:val="none"/>
              </w:rPr>
              <w:t>大电流供电</w:t>
            </w:r>
            <w:r>
              <w:rPr>
                <w:rFonts w:hint="eastAsia" w:eastAsia="宋体" w:cs="Times New Roman"/>
                <w:color w:val="000000"/>
                <w:szCs w:val="20"/>
                <w:highlight w:val="none"/>
                <w:lang w:val="en-US" w:eastAsia="zh-CN"/>
              </w:rPr>
              <w:t>能力，</w:t>
            </w:r>
            <w:r>
              <w:rPr>
                <w:rFonts w:hint="default" w:ascii="Times New Roman" w:hAnsi="Times New Roman" w:eastAsia="宋体" w:cs="Times New Roman"/>
                <w:color w:val="000000"/>
                <w:szCs w:val="20"/>
                <w:highlight w:val="none"/>
              </w:rPr>
              <w:t>以及微波射频、高速混合信号收发检测能力，可适配逻辑</w:t>
            </w:r>
            <w:r>
              <w:rPr>
                <w:rFonts w:hint="eastAsia" w:eastAsia="宋体" w:cs="Times New Roman"/>
                <w:color w:val="000000"/>
                <w:szCs w:val="20"/>
                <w:highlight w:val="none"/>
                <w:lang w:val="en-US" w:eastAsia="zh-CN"/>
              </w:rPr>
              <w:t>芯片</w:t>
            </w:r>
            <w:r>
              <w:rPr>
                <w:rFonts w:hint="default" w:ascii="Times New Roman" w:hAnsi="Times New Roman" w:eastAsia="宋体" w:cs="Times New Roman"/>
                <w:color w:val="000000"/>
                <w:szCs w:val="20"/>
                <w:highlight w:val="none"/>
              </w:rPr>
              <w:t>、SoC 类芯片测试。公司后续将稳步推动商业化落地，持续丰富半导体测试设备产品矩阵。</w:t>
            </w:r>
          </w:p>
          <w:p>
            <w:pPr>
              <w:spacing w:after="0" w:line="480" w:lineRule="exact"/>
              <w:ind w:firstLine="480"/>
              <w:jc w:val="both"/>
              <w:rPr>
                <w:rFonts w:hint="eastAsia" w:ascii="Times New Roman" w:hAnsi="Times New Roman" w:eastAsia="宋体" w:cs="宋体"/>
                <w:highlight w:val="none"/>
              </w:rPr>
            </w:pPr>
            <w:r>
              <w:rPr>
                <w:rFonts w:hint="eastAsia" w:ascii="Times New Roman" w:hAnsi="Times New Roman" w:eastAsia="宋体" w:cs="宋体"/>
                <w:highlight w:val="none"/>
              </w:rPr>
              <w:t>公司围绕存力、算力、运力、感知四条AI核心主线持续加大研发投入，搭建测试机底层共用技术平台，实现技术在存储、算力等不同领域测试机的复用，推动研发成果转化为高附加值产品。公司坚持以市场需求和客户验证</w:t>
            </w:r>
            <w:r>
              <w:rPr>
                <w:rFonts w:hint="eastAsia" w:eastAsia="宋体" w:cs="宋体"/>
                <w:highlight w:val="none"/>
                <w:lang w:val="en-US" w:eastAsia="zh-CN"/>
              </w:rPr>
              <w:t>为</w:t>
            </w:r>
            <w:r>
              <w:rPr>
                <w:rFonts w:hint="eastAsia" w:ascii="Times New Roman" w:hAnsi="Times New Roman" w:eastAsia="宋体" w:cs="宋体"/>
                <w:highlight w:val="none"/>
              </w:rPr>
              <w:t>导向开展研发，推动研发成果持续转化为高附加值产品，</w:t>
            </w:r>
            <w:r>
              <w:rPr>
                <w:rFonts w:hint="eastAsia" w:eastAsia="宋体" w:cs="宋体"/>
                <w:highlight w:val="none"/>
                <w:lang w:val="en-US" w:eastAsia="zh-CN"/>
              </w:rPr>
              <w:t>前三季度</w:t>
            </w:r>
            <w:r>
              <w:rPr>
                <w:rFonts w:hint="eastAsia" w:eastAsia="宋体" w:cs="宋体"/>
                <w:highlight w:val="none"/>
                <w:lang w:eastAsia="zh-CN"/>
              </w:rPr>
              <w:t>综合毛利率</w:t>
            </w:r>
            <w:r>
              <w:rPr>
                <w:rFonts w:hint="eastAsia" w:eastAsia="宋体" w:cs="宋体"/>
                <w:highlight w:val="none"/>
                <w:lang w:val="en-US" w:eastAsia="zh-CN"/>
              </w:rPr>
              <w:t>稳步</w:t>
            </w:r>
            <w:r>
              <w:rPr>
                <w:rFonts w:hint="eastAsia" w:eastAsia="宋体" w:cs="宋体"/>
                <w:highlight w:val="none"/>
                <w:lang w:eastAsia="zh-CN"/>
              </w:rPr>
              <w:t>提升，</w:t>
            </w:r>
            <w:r>
              <w:rPr>
                <w:rFonts w:hint="eastAsia" w:eastAsia="宋体" w:cs="宋体"/>
                <w:highlight w:val="none"/>
                <w:lang w:val="en-US" w:eastAsia="zh-CN"/>
              </w:rPr>
              <w:t>表明</w:t>
            </w:r>
            <w:r>
              <w:rPr>
                <w:rFonts w:hint="eastAsia" w:eastAsia="宋体" w:cs="宋体"/>
                <w:highlight w:val="none"/>
                <w:lang w:eastAsia="zh-CN"/>
              </w:rPr>
              <w:t>产品结构优化策略的成效已</w:t>
            </w:r>
            <w:r>
              <w:rPr>
                <w:rFonts w:hint="eastAsia" w:eastAsia="宋体" w:cs="宋体"/>
                <w:highlight w:val="none"/>
                <w:lang w:val="en-US" w:eastAsia="zh-CN"/>
              </w:rPr>
              <w:t>逐步显现</w:t>
            </w:r>
            <w:r>
              <w:rPr>
                <w:rFonts w:hint="eastAsia" w:ascii="Times New Roman" w:hAnsi="Times New Roman" w:eastAsia="宋体" w:cs="宋体"/>
                <w:highlight w:val="none"/>
              </w:rPr>
              <w:t>。</w:t>
            </w:r>
          </w:p>
          <w:p>
            <w:pPr>
              <w:keepNext w:val="0"/>
              <w:keepLines w:val="0"/>
              <w:widowControl/>
              <w:numPr>
                <w:ilvl w:val="-1"/>
                <w:numId w:val="0"/>
              </w:numPr>
              <w:suppressLineNumbers w:val="0"/>
              <w:spacing w:before="0" w:beforeAutospacing="0" w:after="0" w:afterAutospacing="0" w:line="480" w:lineRule="exact"/>
              <w:ind w:left="0" w:firstLine="480" w:firstLineChars="200"/>
              <w:jc w:val="both"/>
              <w:rPr>
                <w:rFonts w:hint="eastAsia" w:ascii="Times New Roman" w:hAnsi="Times New Roman" w:eastAsia="宋体" w:cs="宋体"/>
                <w:highlight w:val="none"/>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eastAsia"/>
                <w:highlight w:val="none"/>
                <w:lang w:val="en-US" w:eastAsia="zh-CN"/>
              </w:rPr>
            </w:pPr>
            <w:r>
              <w:rPr>
                <w:rFonts w:hint="eastAsia"/>
                <w:highlight w:val="none"/>
                <w:lang w:val="en-US" w:eastAsia="zh-CN"/>
              </w:rPr>
              <w:t>四、公司未来经营展望</w:t>
            </w:r>
          </w:p>
          <w:p>
            <w:pPr>
              <w:keepNext w:val="0"/>
              <w:keepLines w:val="0"/>
              <w:widowControl/>
              <w:numPr>
                <w:ilvl w:val="-1"/>
                <w:numId w:val="0"/>
              </w:numPr>
              <w:suppressLineNumbers w:val="0"/>
              <w:spacing w:before="0" w:beforeAutospacing="0" w:after="0" w:afterAutospacing="0" w:line="480" w:lineRule="exact"/>
              <w:ind w:left="0" w:firstLine="480" w:firstLineChars="200"/>
              <w:jc w:val="both"/>
              <w:rPr>
                <w:rFonts w:hint="eastAsia" w:ascii="Times New Roman" w:hAnsi="Times New Roman"/>
                <w:highlight w:val="none"/>
                <w:lang w:eastAsia="zh-CN"/>
              </w:rPr>
            </w:pPr>
            <w:r>
              <w:rPr>
                <w:rFonts w:hint="eastAsia" w:ascii="Times New Roman" w:hAnsi="Times New Roman"/>
                <w:highlight w:val="none"/>
                <w:lang w:eastAsia="zh-CN"/>
              </w:rPr>
              <w:t>公司在手订单饱满。2026年1月及9月，公司先后披露</w:t>
            </w:r>
            <w:r>
              <w:rPr>
                <w:rFonts w:hint="eastAsia"/>
                <w:highlight w:val="none"/>
                <w:lang w:val="en-US" w:eastAsia="zh-CN"/>
              </w:rPr>
              <w:t>两笔</w:t>
            </w:r>
            <w:r>
              <w:rPr>
                <w:rFonts w:hint="eastAsia" w:ascii="Times New Roman" w:hAnsi="Times New Roman"/>
                <w:highlight w:val="none"/>
                <w:lang w:eastAsia="zh-CN"/>
              </w:rPr>
              <w:t>达到信息披露标准的半导体测试设备订单，含税金额分别为人民币131,080.00万元、157,635.00万元。除前述已披露订单外，公司于日常经营中持续取得各类订单，在手订单</w:t>
            </w:r>
            <w:r>
              <w:rPr>
                <w:rFonts w:hint="eastAsia"/>
                <w:highlight w:val="none"/>
                <w:lang w:val="en-US" w:eastAsia="zh-CN"/>
              </w:rPr>
              <w:t>整体</w:t>
            </w:r>
            <w:r>
              <w:rPr>
                <w:rFonts w:hint="eastAsia" w:ascii="Times New Roman" w:hAnsi="Times New Roman"/>
                <w:highlight w:val="none"/>
                <w:lang w:eastAsia="zh-CN"/>
              </w:rPr>
              <w:t>按约定节奏推进交付，预计将对公司2026年至2028年度经营业绩产生积极影响。</w:t>
            </w:r>
          </w:p>
          <w:p>
            <w:pPr>
              <w:keepNext w:val="0"/>
              <w:keepLines w:val="0"/>
              <w:widowControl/>
              <w:numPr>
                <w:ilvl w:val="-1"/>
                <w:numId w:val="0"/>
              </w:numPr>
              <w:suppressLineNumbers w:val="0"/>
              <w:spacing w:before="0" w:beforeAutospacing="0" w:after="0" w:afterAutospacing="0" w:line="480" w:lineRule="exact"/>
              <w:ind w:left="0" w:firstLine="480" w:firstLineChars="200"/>
              <w:jc w:val="both"/>
              <w:rPr>
                <w:rFonts w:ascii="Times New Roman" w:hAnsi="Times New Roman"/>
                <w:highlight w:val="none"/>
              </w:rPr>
            </w:pPr>
            <w:r>
              <w:rPr>
                <w:rFonts w:hint="eastAsia" w:ascii="Times New Roman" w:hAnsi="Times New Roman"/>
                <w:highlight w:val="none"/>
              </w:rPr>
              <w:t>伴随国内存储产业规模快速扩容、下游客户产能持续释放，市场对高端存储测试设备的需求持续增长。依托现有产品矩阵以及在手订单，公司基本面保持稳健，具备较强的长期成长确定性</w:t>
            </w:r>
            <w:r>
              <w:rPr>
                <w:rFonts w:hint="eastAsia" w:ascii="Times New Roman" w:hAnsi="Times New Roman"/>
                <w:highlight w:val="none"/>
                <w:lang w:eastAsia="zh-CN"/>
              </w:rPr>
              <w:t>，</w:t>
            </w:r>
            <w:r>
              <w:rPr>
                <w:rFonts w:hint="eastAsia" w:ascii="Times New Roman" w:hAnsi="Times New Roman"/>
                <w:highlight w:val="none"/>
              </w:rPr>
              <w:t>管理层对公司</w:t>
            </w:r>
            <w:r>
              <w:rPr>
                <w:rFonts w:hint="eastAsia" w:ascii="Times New Roman" w:hAnsi="Times New Roman"/>
                <w:highlight w:val="none"/>
                <w:lang w:val="en-US" w:eastAsia="zh-CN"/>
              </w:rPr>
              <w:t>未来</w:t>
            </w:r>
            <w:r>
              <w:rPr>
                <w:rFonts w:hint="eastAsia" w:ascii="Times New Roman" w:hAnsi="Times New Roman"/>
                <w:highlight w:val="none"/>
              </w:rPr>
              <w:t>发展前景</w:t>
            </w:r>
            <w:r>
              <w:rPr>
                <w:rFonts w:hint="eastAsia"/>
                <w:highlight w:val="none"/>
                <w:lang w:val="en-US" w:eastAsia="zh-CN"/>
              </w:rPr>
              <w:t>充满</w:t>
            </w:r>
            <w:r>
              <w:rPr>
                <w:rFonts w:hint="eastAsia" w:ascii="Times New Roman" w:hAnsi="Times New Roman"/>
                <w:highlight w:val="none"/>
              </w:rPr>
              <w:t>信心。</w:t>
            </w:r>
          </w:p>
          <w:p>
            <w:pPr>
              <w:pStyle w:val="14"/>
              <w:widowControl w:val="0"/>
              <w:numPr>
                <w:ilvl w:val="0"/>
                <w:numId w:val="0"/>
              </w:numPr>
              <w:bidi w:val="0"/>
              <w:spacing w:line="480" w:lineRule="exact"/>
              <w:ind w:firstLine="480" w:firstLineChars="200"/>
              <w:jc w:val="both"/>
              <w:rPr>
                <w:rFonts w:hint="default" w:ascii="Times New Roman" w:hAnsi="Times New Roman" w:eastAsia="宋体" w:cs="宋体"/>
                <w:sz w:val="24"/>
                <w:szCs w:val="24"/>
                <w:lang w:val="en-US" w:eastAsia="zh-CN"/>
              </w:rPr>
            </w:pPr>
            <w:r>
              <w:rPr>
                <w:rFonts w:hint="eastAsia" w:ascii="Times New Roman" w:hAnsi="Times New Roman" w:cs="Times New Roman" w:eastAsiaTheme="minorEastAsia"/>
                <w:b w:val="0"/>
                <w:bCs w:val="0"/>
                <w:highlight w:val="none"/>
                <w:lang w:val="en-US" w:eastAsia="zh-CN"/>
              </w:rPr>
              <w:t>2026年10月28日，公司</w:t>
            </w:r>
            <w:r>
              <w:rPr>
                <w:rFonts w:hint="default" w:ascii="Times New Roman" w:hAnsi="Times New Roman" w:cs="Times New Roman" w:eastAsiaTheme="minorEastAsia"/>
                <w:b w:val="0"/>
                <w:bCs w:val="0"/>
                <w:highlight w:val="none"/>
              </w:rPr>
              <w:t>董事长张滨先生基于对公司未来发展前景的信心和对公司长期投资价值的认可</w:t>
            </w:r>
            <w:r>
              <w:rPr>
                <w:rFonts w:hint="eastAsia" w:cs="Times New Roman" w:eastAsiaTheme="minorEastAsia"/>
                <w:b w:val="0"/>
                <w:bCs w:val="0"/>
                <w:highlight w:val="none"/>
                <w:lang w:eastAsia="zh-CN"/>
              </w:rPr>
              <w:t>，</w:t>
            </w:r>
            <w:r>
              <w:rPr>
                <w:rFonts w:hint="eastAsia" w:cs="Times New Roman" w:eastAsiaTheme="minorEastAsia"/>
                <w:b w:val="0"/>
                <w:bCs w:val="0"/>
                <w:highlight w:val="none"/>
                <w:lang w:val="en-US" w:eastAsia="zh-CN"/>
              </w:rPr>
              <w:t>提出</w:t>
            </w:r>
            <w:r>
              <w:rPr>
                <w:rFonts w:hint="default" w:ascii="Times New Roman" w:hAnsi="Times New Roman" w:cs="Times New Roman" w:eastAsiaTheme="minorEastAsia"/>
                <w:b w:val="0"/>
                <w:bCs w:val="0"/>
                <w:highlight w:val="none"/>
              </w:rPr>
              <w:t>股份回购提议</w:t>
            </w:r>
            <w:r>
              <w:rPr>
                <w:rFonts w:hint="eastAsia" w:cs="Times New Roman" w:eastAsiaTheme="minorEastAsia"/>
                <w:b w:val="0"/>
                <w:bCs w:val="0"/>
                <w:highlight w:val="none"/>
                <w:lang w:eastAsia="zh-CN"/>
              </w:rPr>
              <w:t>。</w:t>
            </w:r>
            <w:r>
              <w:rPr>
                <w:rFonts w:hint="eastAsia" w:ascii="Times New Roman" w:hAnsi="Times New Roman" w:cs="Times New Roman" w:eastAsiaTheme="minorEastAsia"/>
                <w:b w:val="0"/>
                <w:bCs w:val="0"/>
                <w:highlight w:val="none"/>
                <w:lang w:val="en-US" w:eastAsia="zh-CN"/>
              </w:rPr>
              <w:t>本次拟</w:t>
            </w:r>
            <w:r>
              <w:rPr>
                <w:rFonts w:hint="default" w:ascii="Times New Roman" w:hAnsi="Times New Roman" w:eastAsiaTheme="minorEastAsia"/>
                <w:b w:val="0"/>
                <w:bCs w:val="0"/>
                <w:highlight w:val="none"/>
              </w:rPr>
              <w:t>回购资金总额不低于人民币5,000万元（含）</w:t>
            </w:r>
            <w:r>
              <w:rPr>
                <w:rFonts w:hint="eastAsia" w:eastAsiaTheme="minorEastAsia"/>
                <w:b w:val="0"/>
                <w:bCs w:val="0"/>
                <w:highlight w:val="none"/>
                <w:lang w:eastAsia="zh-CN"/>
              </w:rPr>
              <w:t>，</w:t>
            </w:r>
            <w:r>
              <w:rPr>
                <w:rFonts w:hint="eastAsia" w:ascii="Times New Roman" w:hAnsi="Times New Roman" w:eastAsiaTheme="minorEastAsia"/>
                <w:b w:val="0"/>
                <w:bCs w:val="0"/>
                <w:highlight w:val="none"/>
                <w:lang w:val="en-US" w:eastAsia="zh-CN"/>
              </w:rPr>
              <w:t>且</w:t>
            </w:r>
            <w:r>
              <w:rPr>
                <w:rFonts w:hint="default" w:ascii="Times New Roman" w:hAnsi="Times New Roman" w:eastAsiaTheme="minorEastAsia"/>
                <w:b w:val="0"/>
                <w:bCs w:val="0"/>
                <w:highlight w:val="none"/>
              </w:rPr>
              <w:t>不超过人民币10,000万元（含）</w:t>
            </w:r>
            <w:r>
              <w:rPr>
                <w:rFonts w:hint="default" w:ascii="Times New Roman" w:hAnsi="Times New Roman" w:cs="Times New Roman" w:eastAsiaTheme="minorEastAsia"/>
                <w:b w:val="0"/>
                <w:bCs w:val="0"/>
                <w:highlight w:val="none"/>
              </w:rPr>
              <w:t>。后续公司将严格按照法律法规及</w:t>
            </w:r>
            <w:r>
              <w:rPr>
                <w:rFonts w:hint="eastAsia" w:ascii="Times New Roman" w:hAnsi="Times New Roman" w:cs="Times New Roman" w:eastAsiaTheme="minorEastAsia"/>
                <w:b w:val="0"/>
                <w:bCs w:val="0"/>
                <w:highlight w:val="none"/>
                <w:lang w:eastAsia="zh-CN"/>
              </w:rPr>
              <w:t>《</w:t>
            </w:r>
            <w:r>
              <w:rPr>
                <w:rFonts w:hint="default" w:ascii="Times New Roman" w:hAnsi="Times New Roman" w:cs="Times New Roman" w:eastAsiaTheme="minorEastAsia"/>
                <w:b w:val="0"/>
                <w:bCs w:val="0"/>
                <w:highlight w:val="none"/>
              </w:rPr>
              <w:t>公司章程</w:t>
            </w:r>
            <w:r>
              <w:rPr>
                <w:rFonts w:hint="eastAsia" w:ascii="Times New Roman" w:hAnsi="Times New Roman" w:cs="Times New Roman" w:eastAsiaTheme="minorEastAsia"/>
                <w:b w:val="0"/>
                <w:bCs w:val="0"/>
                <w:highlight w:val="none"/>
                <w:lang w:eastAsia="zh-CN"/>
              </w:rPr>
              <w:t>》</w:t>
            </w:r>
            <w:r>
              <w:rPr>
                <w:rFonts w:hint="default" w:ascii="Times New Roman" w:hAnsi="Times New Roman" w:cs="Times New Roman" w:eastAsiaTheme="minorEastAsia"/>
                <w:b w:val="0"/>
                <w:bCs w:val="0"/>
                <w:highlight w:val="none"/>
              </w:rPr>
              <w:t>要求，履行</w:t>
            </w:r>
            <w:r>
              <w:rPr>
                <w:rFonts w:hint="eastAsia" w:ascii="Times New Roman" w:hAnsi="Times New Roman" w:cs="Times New Roman" w:eastAsiaTheme="minorEastAsia"/>
                <w:b w:val="0"/>
                <w:bCs w:val="0"/>
                <w:highlight w:val="none"/>
                <w:lang w:val="en-US" w:eastAsia="zh-CN"/>
              </w:rPr>
              <w:t>相应的</w:t>
            </w:r>
            <w:r>
              <w:rPr>
                <w:rFonts w:hint="default" w:ascii="Times New Roman" w:hAnsi="Times New Roman" w:cs="Times New Roman" w:eastAsiaTheme="minorEastAsia"/>
                <w:b w:val="0"/>
                <w:bCs w:val="0"/>
                <w:highlight w:val="none"/>
              </w:rPr>
              <w:t>决策</w:t>
            </w:r>
            <w:r>
              <w:rPr>
                <w:rFonts w:hint="eastAsia" w:ascii="Times New Roman" w:hAnsi="Times New Roman" w:cs="Times New Roman" w:eastAsiaTheme="minorEastAsia"/>
                <w:b w:val="0"/>
                <w:bCs w:val="0"/>
                <w:highlight w:val="none"/>
                <w:lang w:val="en-US" w:eastAsia="zh-CN"/>
              </w:rPr>
              <w:t>程序</w:t>
            </w:r>
            <w:r>
              <w:rPr>
                <w:rFonts w:hint="default" w:ascii="Times New Roman" w:hAnsi="Times New Roman" w:cs="Times New Roman" w:eastAsiaTheme="minorEastAsia"/>
                <w:b w:val="0"/>
                <w:bCs w:val="0"/>
                <w:highlight w:val="none"/>
              </w:rPr>
              <w:t>及信息披露</w:t>
            </w:r>
            <w:r>
              <w:rPr>
                <w:rFonts w:hint="eastAsia" w:ascii="Times New Roman" w:hAnsi="Times New Roman" w:cs="Times New Roman" w:eastAsiaTheme="minorEastAsia"/>
                <w:b w:val="0"/>
                <w:bCs w:val="0"/>
                <w:highlight w:val="none"/>
                <w:lang w:val="en-US" w:eastAsia="zh-CN"/>
              </w:rPr>
              <w:t>义务</w:t>
            </w:r>
            <w:r>
              <w:rPr>
                <w:rFonts w:hint="default" w:ascii="Times New Roman" w:hAnsi="Times New Roman" w:cs="Times New Roman" w:eastAsiaTheme="minorEastAsia"/>
                <w:b w:val="0"/>
                <w:bCs w:val="0"/>
                <w:highlight w:val="none"/>
              </w:rPr>
              <w:t>，相关事项以公司后续公告为准。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395" w:type="dxa"/>
            <w:tcBorders>
              <w:top w:val="single" w:color="auto" w:sz="6" w:space="0"/>
              <w:left w:val="single" w:color="auto" w:sz="12" w:space="0"/>
              <w:bottom w:val="single" w:color="auto" w:sz="6" w:space="0"/>
              <w:right w:val="single" w:color="auto" w:sz="6" w:space="0"/>
            </w:tcBorders>
            <w:vAlign w:val="center"/>
          </w:tcPr>
          <w:p>
            <w:pPr>
              <w:spacing w:line="420" w:lineRule="exact"/>
              <w:jc w:val="center"/>
              <w:rPr>
                <w:rFonts w:ascii="Times New Roman" w:hAnsi="Times New Roman" w:eastAsia="宋体"/>
                <w:b/>
                <w:bCs/>
              </w:rPr>
            </w:pPr>
            <w:r>
              <w:rPr>
                <w:rFonts w:hint="eastAsia" w:ascii="Times New Roman" w:hAnsi="Times New Roman" w:eastAsia="宋体"/>
                <w:b/>
                <w:bCs/>
              </w:rPr>
              <w:t>关于本次活动是否涉及应当披露重大信息的说明</w:t>
            </w:r>
          </w:p>
        </w:tc>
        <w:tc>
          <w:tcPr>
            <w:tcW w:w="6521" w:type="dxa"/>
            <w:tcBorders>
              <w:top w:val="single" w:color="auto" w:sz="6" w:space="0"/>
              <w:left w:val="single" w:color="auto" w:sz="6" w:space="0"/>
              <w:bottom w:val="single" w:color="auto" w:sz="6" w:space="0"/>
              <w:right w:val="single" w:color="auto" w:sz="12" w:space="0"/>
            </w:tcBorders>
            <w:vAlign w:val="center"/>
          </w:tcPr>
          <w:p>
            <w:pPr>
              <w:spacing w:line="420" w:lineRule="exact"/>
              <w:jc w:val="left"/>
              <w:rPr>
                <w:rFonts w:ascii="Times New Roman" w:hAnsi="Times New Roman" w:eastAsia="宋体"/>
              </w:rPr>
            </w:pPr>
            <w:r>
              <w:rPr>
                <w:rFonts w:hint="eastAsia" w:ascii="Times New Roman" w:hAnsi="Times New Roman" w:eastAsia="宋体"/>
              </w:rPr>
              <w:t>本次活动不涉及应当披露重大信息。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9" w:hRule="atLeast"/>
          <w:jc w:val="center"/>
        </w:trPr>
        <w:tc>
          <w:tcPr>
            <w:tcW w:w="2395" w:type="dxa"/>
            <w:tcBorders>
              <w:top w:val="single" w:color="auto" w:sz="6" w:space="0"/>
              <w:left w:val="single" w:color="auto" w:sz="12" w:space="0"/>
              <w:bottom w:val="single" w:color="auto" w:sz="6" w:space="0"/>
              <w:right w:val="single" w:color="auto" w:sz="6" w:space="0"/>
            </w:tcBorders>
            <w:vAlign w:val="center"/>
          </w:tcPr>
          <w:p>
            <w:pPr>
              <w:spacing w:line="420" w:lineRule="exact"/>
              <w:jc w:val="center"/>
              <w:rPr>
                <w:rFonts w:ascii="Times New Roman" w:hAnsi="Times New Roman" w:eastAsia="宋体"/>
                <w:b/>
                <w:bCs/>
              </w:rPr>
            </w:pPr>
            <w:r>
              <w:rPr>
                <w:rFonts w:hint="eastAsia" w:ascii="Times New Roman" w:hAnsi="Times New Roman" w:eastAsia="宋体"/>
                <w:b/>
                <w:bCs/>
              </w:rPr>
              <w:t>附件清单（如有）</w:t>
            </w:r>
          </w:p>
        </w:tc>
        <w:tc>
          <w:tcPr>
            <w:tcW w:w="6521" w:type="dxa"/>
            <w:tcBorders>
              <w:top w:val="single" w:color="auto" w:sz="6" w:space="0"/>
              <w:left w:val="single" w:color="auto" w:sz="6" w:space="0"/>
              <w:bottom w:val="single" w:color="auto" w:sz="6" w:space="0"/>
              <w:right w:val="single" w:color="auto" w:sz="12" w:space="0"/>
            </w:tcBorders>
            <w:vAlign w:val="center"/>
          </w:tcPr>
          <w:p>
            <w:pPr>
              <w:spacing w:line="420" w:lineRule="exact"/>
              <w:jc w:val="left"/>
              <w:rPr>
                <w:rFonts w:ascii="Times New Roman" w:hAnsi="Times New Roman" w:eastAsia="宋体"/>
              </w:rPr>
            </w:pPr>
            <w:r>
              <w:rPr>
                <w:rFonts w:hint="eastAsia" w:ascii="Times New Roman" w:hAnsi="Times New Roman" w:eastAsia="宋体"/>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2395" w:type="dxa"/>
            <w:tcBorders>
              <w:top w:val="single" w:color="auto" w:sz="6" w:space="0"/>
              <w:left w:val="single" w:color="auto" w:sz="12" w:space="0"/>
              <w:bottom w:val="single" w:color="auto" w:sz="12" w:space="0"/>
              <w:right w:val="single" w:color="auto" w:sz="6" w:space="0"/>
            </w:tcBorders>
            <w:vAlign w:val="center"/>
          </w:tcPr>
          <w:p>
            <w:pPr>
              <w:spacing w:line="420" w:lineRule="exact"/>
              <w:jc w:val="center"/>
              <w:rPr>
                <w:rFonts w:ascii="Times New Roman" w:hAnsi="Times New Roman" w:eastAsia="宋体"/>
                <w:b/>
                <w:bCs/>
              </w:rPr>
            </w:pPr>
            <w:r>
              <w:rPr>
                <w:rFonts w:hint="eastAsia" w:ascii="Times New Roman" w:hAnsi="Times New Roman" w:eastAsia="宋体"/>
                <w:b/>
                <w:bCs/>
              </w:rPr>
              <w:t>日期</w:t>
            </w:r>
          </w:p>
        </w:tc>
        <w:tc>
          <w:tcPr>
            <w:tcW w:w="6521" w:type="dxa"/>
            <w:tcBorders>
              <w:top w:val="single" w:color="auto" w:sz="6" w:space="0"/>
              <w:left w:val="single" w:color="auto" w:sz="6" w:space="0"/>
              <w:bottom w:val="single" w:color="auto" w:sz="12" w:space="0"/>
              <w:right w:val="single" w:color="auto" w:sz="12" w:space="0"/>
            </w:tcBorders>
            <w:vAlign w:val="center"/>
          </w:tcPr>
          <w:p>
            <w:pPr>
              <w:spacing w:line="420" w:lineRule="exact"/>
              <w:jc w:val="left"/>
              <w:rPr>
                <w:rFonts w:ascii="Times New Roman" w:hAnsi="Times New Roman" w:eastAsia="宋体"/>
              </w:rPr>
            </w:pPr>
            <w:r>
              <w:rPr>
                <w:rFonts w:hint="eastAsia" w:ascii="Times New Roman" w:hAnsi="Times New Roman" w:eastAsia="宋体"/>
              </w:rPr>
              <w:t>202</w:t>
            </w:r>
            <w:r>
              <w:rPr>
                <w:rFonts w:hint="eastAsia" w:ascii="Times New Roman" w:hAnsi="Times New Roman" w:eastAsia="宋体"/>
                <w:lang w:val="en-US" w:eastAsia="zh-CN"/>
              </w:rPr>
              <w:t>6</w:t>
            </w:r>
            <w:r>
              <w:rPr>
                <w:rFonts w:hint="eastAsia" w:ascii="Times New Roman" w:hAnsi="Times New Roman" w:eastAsia="宋体"/>
              </w:rPr>
              <w:t>年1</w:t>
            </w:r>
            <w:r>
              <w:rPr>
                <w:rFonts w:hint="eastAsia" w:ascii="Times New Roman" w:hAnsi="Times New Roman" w:eastAsia="宋体"/>
                <w:lang w:val="en-US" w:eastAsia="zh-CN"/>
              </w:rPr>
              <w:t>0</w:t>
            </w:r>
            <w:r>
              <w:rPr>
                <w:rFonts w:hint="eastAsia" w:ascii="Times New Roman" w:hAnsi="Times New Roman" w:eastAsia="宋体"/>
              </w:rPr>
              <w:t>月</w:t>
            </w:r>
            <w:r>
              <w:rPr>
                <w:rFonts w:hint="eastAsia" w:ascii="Times New Roman" w:hAnsi="Times New Roman" w:eastAsia="宋体"/>
                <w:lang w:val="en-US" w:eastAsia="zh-CN"/>
              </w:rPr>
              <w:t>30</w:t>
            </w:r>
            <w:r>
              <w:rPr>
                <w:rFonts w:hint="eastAsia" w:ascii="Times New Roman" w:hAnsi="Times New Roman" w:eastAsia="宋体"/>
              </w:rPr>
              <w:t>日</w:t>
            </w:r>
          </w:p>
        </w:tc>
      </w:tr>
    </w:tbl>
    <w:p>
      <w:pPr>
        <w:spacing w:line="460" w:lineRule="exact"/>
        <w:rPr>
          <w:rFonts w:hint="eastAsia" w:eastAsia="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楷体">
    <w:altName w:val="汉仪楷体KW"/>
    <w:panose1 w:val="02010609060101010101"/>
    <w:charset w:val="86"/>
    <w:family w:val="modern"/>
    <w:pitch w:val="default"/>
    <w:sig w:usb0="00000000" w:usb1="00000000" w:usb2="00000016" w:usb3="00000000" w:csb0="00040001" w:csb1="00000000"/>
  </w:font>
  <w:font w:name="Wingdings 2">
    <w:altName w:val="Kingsoft Mark"/>
    <w:panose1 w:val="05020102010507070707"/>
    <w:charset w:val="02"/>
    <w:family w:val="roman"/>
    <w:pitch w:val="default"/>
    <w:sig w:usb0="00000000" w:usb1="00000000" w:usb2="00000000" w:usb3="00000000" w:csb0="80000000" w:csb1="00000000"/>
  </w:font>
  <w:font w:name="汉仪楷体KW">
    <w:panose1 w:val="00020600040101010101"/>
    <w:charset w:val="86"/>
    <w:family w:val="auto"/>
    <w:pitch w:val="default"/>
    <w:sig w:usb0="A00002BF" w:usb1="18EF7CFA" w:usb2="00000016" w:usb3="00000000" w:csb0="00040000" w:csb1="00000000"/>
  </w:font>
  <w:font w:name="Kingsoft Mark">
    <w:panose1 w:val="05030102010509060703"/>
    <w:charset w:val="00"/>
    <w:family w:val="auto"/>
    <w:pitch w:val="default"/>
    <w:sig w:usb0="00000000" w:usb1="00000000" w:usb2="00000000" w:usb3="00000000" w:csb0="80000000" w:csb1="00000000"/>
  </w:font>
  <w:font w:name="汉仪君黑KW 55J">
    <w:panose1 w:val="00020600040101010101"/>
    <w:charset w:val="86"/>
    <w:family w:val="auto"/>
    <w:pitch w:val="default"/>
    <w:sig w:usb0="A00002BF" w:usb1="0A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81606D"/>
    <w:multiLevelType w:val="multilevel"/>
    <w:tmpl w:val="5A81606D"/>
    <w:lvl w:ilvl="0" w:tentative="0">
      <w:start w:val="1"/>
      <w:numFmt w:val="japaneseCounting"/>
      <w:pStyle w:val="14"/>
      <w:lvlText w:val="%1、"/>
      <w:lvlJc w:val="left"/>
      <w:pPr>
        <w:ind w:left="500" w:hanging="50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I3MGNiNmZiNjU0MWRhMzA3MGM4NThlMjUxOTM1ZTYifQ=="/>
  </w:docVars>
  <w:rsids>
    <w:rsidRoot w:val="009A3F50"/>
    <w:rsid w:val="0000102A"/>
    <w:rsid w:val="00007163"/>
    <w:rsid w:val="000143ED"/>
    <w:rsid w:val="000809C6"/>
    <w:rsid w:val="000B11FB"/>
    <w:rsid w:val="00116D03"/>
    <w:rsid w:val="001B6AB3"/>
    <w:rsid w:val="001F36A3"/>
    <w:rsid w:val="00224F18"/>
    <w:rsid w:val="002570D5"/>
    <w:rsid w:val="002A6741"/>
    <w:rsid w:val="002C18CD"/>
    <w:rsid w:val="003162BD"/>
    <w:rsid w:val="003A55FD"/>
    <w:rsid w:val="003C084D"/>
    <w:rsid w:val="003C167C"/>
    <w:rsid w:val="003D42F8"/>
    <w:rsid w:val="00434D79"/>
    <w:rsid w:val="00436082"/>
    <w:rsid w:val="004D0354"/>
    <w:rsid w:val="004D2008"/>
    <w:rsid w:val="004D61A5"/>
    <w:rsid w:val="004E3CEB"/>
    <w:rsid w:val="004F4433"/>
    <w:rsid w:val="00580FCE"/>
    <w:rsid w:val="006404FB"/>
    <w:rsid w:val="00673D2E"/>
    <w:rsid w:val="007563BB"/>
    <w:rsid w:val="007926C1"/>
    <w:rsid w:val="007C1A30"/>
    <w:rsid w:val="007E40A4"/>
    <w:rsid w:val="0081021E"/>
    <w:rsid w:val="008332BF"/>
    <w:rsid w:val="008A74F2"/>
    <w:rsid w:val="00995811"/>
    <w:rsid w:val="009A3F50"/>
    <w:rsid w:val="009B2C69"/>
    <w:rsid w:val="00AD6F00"/>
    <w:rsid w:val="00B22F5F"/>
    <w:rsid w:val="00B41E01"/>
    <w:rsid w:val="00B478BB"/>
    <w:rsid w:val="00B61A3F"/>
    <w:rsid w:val="00C04C42"/>
    <w:rsid w:val="00C2151A"/>
    <w:rsid w:val="00C422FB"/>
    <w:rsid w:val="00C7271F"/>
    <w:rsid w:val="00CA0A4C"/>
    <w:rsid w:val="00CA0BCB"/>
    <w:rsid w:val="00CC585E"/>
    <w:rsid w:val="00D24809"/>
    <w:rsid w:val="00D3361D"/>
    <w:rsid w:val="00D461BC"/>
    <w:rsid w:val="00D648DB"/>
    <w:rsid w:val="00DF04ED"/>
    <w:rsid w:val="00E04124"/>
    <w:rsid w:val="00ED1B49"/>
    <w:rsid w:val="00F83E03"/>
    <w:rsid w:val="00FC68A5"/>
    <w:rsid w:val="011E3D92"/>
    <w:rsid w:val="02B35C1D"/>
    <w:rsid w:val="02D432A2"/>
    <w:rsid w:val="03015719"/>
    <w:rsid w:val="03BF4636"/>
    <w:rsid w:val="03E51F28"/>
    <w:rsid w:val="04B9539C"/>
    <w:rsid w:val="04D07A99"/>
    <w:rsid w:val="06672F9A"/>
    <w:rsid w:val="07F76FDC"/>
    <w:rsid w:val="0883674A"/>
    <w:rsid w:val="0892083F"/>
    <w:rsid w:val="094620D8"/>
    <w:rsid w:val="09566309"/>
    <w:rsid w:val="097C1F9D"/>
    <w:rsid w:val="09CA2D09"/>
    <w:rsid w:val="09D750A5"/>
    <w:rsid w:val="0B0C7351"/>
    <w:rsid w:val="0B440899"/>
    <w:rsid w:val="0BBA4FFF"/>
    <w:rsid w:val="0BBE064B"/>
    <w:rsid w:val="0BF57DE5"/>
    <w:rsid w:val="0C8606C3"/>
    <w:rsid w:val="0CD1735C"/>
    <w:rsid w:val="0CDF5E60"/>
    <w:rsid w:val="0D053EEB"/>
    <w:rsid w:val="0D194B6D"/>
    <w:rsid w:val="0DF50570"/>
    <w:rsid w:val="0E0109D3"/>
    <w:rsid w:val="0E4B1F3E"/>
    <w:rsid w:val="0E5055E0"/>
    <w:rsid w:val="0E8F62FB"/>
    <w:rsid w:val="0F7D25CB"/>
    <w:rsid w:val="0FB86718"/>
    <w:rsid w:val="0FFE24A1"/>
    <w:rsid w:val="10246863"/>
    <w:rsid w:val="10346D7C"/>
    <w:rsid w:val="106A6FF4"/>
    <w:rsid w:val="10C36ACD"/>
    <w:rsid w:val="110357B4"/>
    <w:rsid w:val="1166258B"/>
    <w:rsid w:val="118714DF"/>
    <w:rsid w:val="118C4D48"/>
    <w:rsid w:val="11A025A1"/>
    <w:rsid w:val="1211524D"/>
    <w:rsid w:val="12850115"/>
    <w:rsid w:val="12A92AF0"/>
    <w:rsid w:val="12CF7B44"/>
    <w:rsid w:val="13525B1D"/>
    <w:rsid w:val="13940AFE"/>
    <w:rsid w:val="14A5684C"/>
    <w:rsid w:val="151B6448"/>
    <w:rsid w:val="154716B1"/>
    <w:rsid w:val="15A73A04"/>
    <w:rsid w:val="166013F8"/>
    <w:rsid w:val="168D3A3C"/>
    <w:rsid w:val="17313EC8"/>
    <w:rsid w:val="174720B3"/>
    <w:rsid w:val="17926790"/>
    <w:rsid w:val="187C6F87"/>
    <w:rsid w:val="18A63BCA"/>
    <w:rsid w:val="18D86AC4"/>
    <w:rsid w:val="19630A84"/>
    <w:rsid w:val="19A14B4E"/>
    <w:rsid w:val="19AB71E7"/>
    <w:rsid w:val="19D93400"/>
    <w:rsid w:val="19DC1649"/>
    <w:rsid w:val="1A3B37AF"/>
    <w:rsid w:val="1A472154"/>
    <w:rsid w:val="1AC704E3"/>
    <w:rsid w:val="1AE14356"/>
    <w:rsid w:val="1BB2184F"/>
    <w:rsid w:val="1C47468D"/>
    <w:rsid w:val="1CF7548B"/>
    <w:rsid w:val="1D077862"/>
    <w:rsid w:val="1D3C5874"/>
    <w:rsid w:val="1D814A16"/>
    <w:rsid w:val="1DF443A0"/>
    <w:rsid w:val="1E2935D2"/>
    <w:rsid w:val="1E396614"/>
    <w:rsid w:val="1E761259"/>
    <w:rsid w:val="1F6966C8"/>
    <w:rsid w:val="1FEC5FF4"/>
    <w:rsid w:val="200E4229"/>
    <w:rsid w:val="201523AC"/>
    <w:rsid w:val="202C40EB"/>
    <w:rsid w:val="20B87907"/>
    <w:rsid w:val="221F0D41"/>
    <w:rsid w:val="22C75BE0"/>
    <w:rsid w:val="2422439F"/>
    <w:rsid w:val="247212EF"/>
    <w:rsid w:val="249B37C8"/>
    <w:rsid w:val="24E3748B"/>
    <w:rsid w:val="2556645E"/>
    <w:rsid w:val="25766125"/>
    <w:rsid w:val="26834513"/>
    <w:rsid w:val="26F95E44"/>
    <w:rsid w:val="27BD6C9C"/>
    <w:rsid w:val="27CB43C4"/>
    <w:rsid w:val="28071479"/>
    <w:rsid w:val="285C5774"/>
    <w:rsid w:val="2A8041BE"/>
    <w:rsid w:val="2ABE3D6C"/>
    <w:rsid w:val="2B836D64"/>
    <w:rsid w:val="2C177723"/>
    <w:rsid w:val="2C3761A3"/>
    <w:rsid w:val="2C743D62"/>
    <w:rsid w:val="2CA62D0A"/>
    <w:rsid w:val="2DA31D3A"/>
    <w:rsid w:val="2E0A72C8"/>
    <w:rsid w:val="2E5167EE"/>
    <w:rsid w:val="2E662F01"/>
    <w:rsid w:val="2E6E7857"/>
    <w:rsid w:val="2FC01D17"/>
    <w:rsid w:val="2FC455D7"/>
    <w:rsid w:val="30316D8E"/>
    <w:rsid w:val="30C33764"/>
    <w:rsid w:val="31254850"/>
    <w:rsid w:val="31776DE1"/>
    <w:rsid w:val="319A0963"/>
    <w:rsid w:val="31DE6AA2"/>
    <w:rsid w:val="321626E0"/>
    <w:rsid w:val="3276224D"/>
    <w:rsid w:val="32F3657D"/>
    <w:rsid w:val="33414684"/>
    <w:rsid w:val="34951FE2"/>
    <w:rsid w:val="34A55F9D"/>
    <w:rsid w:val="35354896"/>
    <w:rsid w:val="355C77BE"/>
    <w:rsid w:val="35C61D5E"/>
    <w:rsid w:val="35D46B3A"/>
    <w:rsid w:val="35F07D9F"/>
    <w:rsid w:val="362B4280"/>
    <w:rsid w:val="37050429"/>
    <w:rsid w:val="37667C65"/>
    <w:rsid w:val="378974B0"/>
    <w:rsid w:val="38141F91"/>
    <w:rsid w:val="38C70290"/>
    <w:rsid w:val="393F076E"/>
    <w:rsid w:val="399A3BE1"/>
    <w:rsid w:val="3A595C16"/>
    <w:rsid w:val="3A687850"/>
    <w:rsid w:val="3B257393"/>
    <w:rsid w:val="3B3E000B"/>
    <w:rsid w:val="3B590B13"/>
    <w:rsid w:val="3BB84D0D"/>
    <w:rsid w:val="3C1001A0"/>
    <w:rsid w:val="3C2974B3"/>
    <w:rsid w:val="3C822A61"/>
    <w:rsid w:val="3CEF24AB"/>
    <w:rsid w:val="3EBC63BD"/>
    <w:rsid w:val="402266F3"/>
    <w:rsid w:val="40345770"/>
    <w:rsid w:val="412C1E99"/>
    <w:rsid w:val="41967399"/>
    <w:rsid w:val="41A970CC"/>
    <w:rsid w:val="42767083"/>
    <w:rsid w:val="42E156C9"/>
    <w:rsid w:val="433B01F8"/>
    <w:rsid w:val="43D7658C"/>
    <w:rsid w:val="442432D6"/>
    <w:rsid w:val="444C3D3F"/>
    <w:rsid w:val="45FE72BB"/>
    <w:rsid w:val="46454EEA"/>
    <w:rsid w:val="465D66D7"/>
    <w:rsid w:val="46F838C7"/>
    <w:rsid w:val="477B2FAE"/>
    <w:rsid w:val="479245F9"/>
    <w:rsid w:val="47A02844"/>
    <w:rsid w:val="47C3256A"/>
    <w:rsid w:val="47D92AF8"/>
    <w:rsid w:val="48912668"/>
    <w:rsid w:val="49155047"/>
    <w:rsid w:val="493A123D"/>
    <w:rsid w:val="49492F43"/>
    <w:rsid w:val="4A5B7349"/>
    <w:rsid w:val="4A7E276D"/>
    <w:rsid w:val="4AE118F5"/>
    <w:rsid w:val="4B1464EC"/>
    <w:rsid w:val="4C0F7417"/>
    <w:rsid w:val="4C7C4C4C"/>
    <w:rsid w:val="4C8906FF"/>
    <w:rsid w:val="4C8C6177"/>
    <w:rsid w:val="4DAB41CC"/>
    <w:rsid w:val="4DF23BA9"/>
    <w:rsid w:val="4EEE25C2"/>
    <w:rsid w:val="4F1D6A04"/>
    <w:rsid w:val="4F6C34E7"/>
    <w:rsid w:val="50A0169A"/>
    <w:rsid w:val="50B415EA"/>
    <w:rsid w:val="5156444F"/>
    <w:rsid w:val="51F6201A"/>
    <w:rsid w:val="533A600A"/>
    <w:rsid w:val="54C358E3"/>
    <w:rsid w:val="54C47921"/>
    <w:rsid w:val="5546203F"/>
    <w:rsid w:val="55F73341"/>
    <w:rsid w:val="56424FA2"/>
    <w:rsid w:val="567A6E1F"/>
    <w:rsid w:val="56D976B4"/>
    <w:rsid w:val="573C40E7"/>
    <w:rsid w:val="575E22AF"/>
    <w:rsid w:val="58A35C5E"/>
    <w:rsid w:val="5A186745"/>
    <w:rsid w:val="5A3A490E"/>
    <w:rsid w:val="5B8028DC"/>
    <w:rsid w:val="5BFA60FE"/>
    <w:rsid w:val="5C0F1DCA"/>
    <w:rsid w:val="5CB62246"/>
    <w:rsid w:val="5D02548B"/>
    <w:rsid w:val="5D762C66"/>
    <w:rsid w:val="5DE80B25"/>
    <w:rsid w:val="5E61553A"/>
    <w:rsid w:val="5EAF096B"/>
    <w:rsid w:val="5F993E84"/>
    <w:rsid w:val="618E4F17"/>
    <w:rsid w:val="6249141B"/>
    <w:rsid w:val="6288306E"/>
    <w:rsid w:val="62992202"/>
    <w:rsid w:val="63027F93"/>
    <w:rsid w:val="63780255"/>
    <w:rsid w:val="63984453"/>
    <w:rsid w:val="639D5F0D"/>
    <w:rsid w:val="63B70D7D"/>
    <w:rsid w:val="646031C3"/>
    <w:rsid w:val="649B069F"/>
    <w:rsid w:val="65D73958"/>
    <w:rsid w:val="66AB64F3"/>
    <w:rsid w:val="6916161A"/>
    <w:rsid w:val="694035C3"/>
    <w:rsid w:val="69FA5E67"/>
    <w:rsid w:val="6ACD3676"/>
    <w:rsid w:val="6B5A6FBD"/>
    <w:rsid w:val="6BEE37AA"/>
    <w:rsid w:val="6C705F6D"/>
    <w:rsid w:val="6C845EBC"/>
    <w:rsid w:val="6CF51267"/>
    <w:rsid w:val="6D35260A"/>
    <w:rsid w:val="6DA50B0D"/>
    <w:rsid w:val="6DBC6B1F"/>
    <w:rsid w:val="6E1B015A"/>
    <w:rsid w:val="6E6C2863"/>
    <w:rsid w:val="6E80566A"/>
    <w:rsid w:val="6ED32D5B"/>
    <w:rsid w:val="6F993A2D"/>
    <w:rsid w:val="705D3AD4"/>
    <w:rsid w:val="707A11CB"/>
    <w:rsid w:val="707D334E"/>
    <w:rsid w:val="70C64A2C"/>
    <w:rsid w:val="70D50A94"/>
    <w:rsid w:val="70EF7378"/>
    <w:rsid w:val="710C57F1"/>
    <w:rsid w:val="714F4CEB"/>
    <w:rsid w:val="718C3C42"/>
    <w:rsid w:val="71A7700E"/>
    <w:rsid w:val="727F4C6A"/>
    <w:rsid w:val="72CB03A1"/>
    <w:rsid w:val="730833A3"/>
    <w:rsid w:val="73B07597"/>
    <w:rsid w:val="7645046A"/>
    <w:rsid w:val="76BC3EBD"/>
    <w:rsid w:val="76EE7A05"/>
    <w:rsid w:val="76EF2683"/>
    <w:rsid w:val="776A3F82"/>
    <w:rsid w:val="77EA73B3"/>
    <w:rsid w:val="77FD7CED"/>
    <w:rsid w:val="783C3AEF"/>
    <w:rsid w:val="78551933"/>
    <w:rsid w:val="7A633FE0"/>
    <w:rsid w:val="7B3C1668"/>
    <w:rsid w:val="7B6E3FBF"/>
    <w:rsid w:val="7B94453A"/>
    <w:rsid w:val="7C0E7550"/>
    <w:rsid w:val="7C22507F"/>
    <w:rsid w:val="7C7D510B"/>
    <w:rsid w:val="7C80303F"/>
    <w:rsid w:val="7CAD6D69"/>
    <w:rsid w:val="7D0A7011"/>
    <w:rsid w:val="7D621902"/>
    <w:rsid w:val="7E6A31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jc w:val="both"/>
    </w:pPr>
    <w:rPr>
      <w:rFonts w:ascii="Times New Roman" w:hAnsi="Times New Roman" w:cs="Times New Roman" w:eastAsiaTheme="minorEastAsia"/>
      <w:kern w:val="2"/>
      <w:sz w:val="24"/>
      <w:szCs w:val="24"/>
      <w:lang w:val="en-US" w:eastAsia="zh-CN" w:bidi="ar-SA"/>
    </w:rPr>
  </w:style>
  <w:style w:type="character" w:default="1" w:styleId="10">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qFormat/>
    <w:uiPriority w:val="0"/>
    <w:pPr>
      <w:jc w:val="left"/>
    </w:pPr>
  </w:style>
  <w:style w:type="paragraph" w:styleId="3">
    <w:name w:val="Body Text"/>
    <w:basedOn w:val="1"/>
    <w:semiHidden/>
    <w:unhideWhenUsed/>
    <w:qFormat/>
    <w:uiPriority w:val="99"/>
    <w:pPr>
      <w:kinsoku w:val="0"/>
      <w:autoSpaceDE w:val="0"/>
      <w:autoSpaceDN w:val="0"/>
      <w:adjustRightInd w:val="0"/>
      <w:snapToGrid w:val="0"/>
      <w:jc w:val="left"/>
      <w:textAlignment w:val="baseline"/>
    </w:pPr>
    <w:rPr>
      <w:rFonts w:ascii="楷体" w:hAnsi="楷体" w:eastAsia="楷体"/>
      <w:color w:val="000000"/>
      <w:kern w:val="0"/>
    </w:rPr>
  </w:style>
  <w:style w:type="paragraph" w:styleId="4">
    <w:name w:val="Balloon Text"/>
    <w:basedOn w:val="1"/>
    <w:link w:val="18"/>
    <w:qFormat/>
    <w:uiPriority w:val="0"/>
    <w:rPr>
      <w:sz w:val="18"/>
      <w:szCs w:val="18"/>
    </w:rPr>
  </w:style>
  <w:style w:type="paragraph" w:styleId="5">
    <w:name w:val="footer"/>
    <w:basedOn w:val="1"/>
    <w:link w:val="17"/>
    <w:qFormat/>
    <w:uiPriority w:val="0"/>
    <w:pPr>
      <w:tabs>
        <w:tab w:val="center" w:pos="4153"/>
        <w:tab w:val="right" w:pos="8306"/>
      </w:tabs>
      <w:snapToGrid w:val="0"/>
      <w:jc w:val="left"/>
    </w:pPr>
    <w:rPr>
      <w:sz w:val="18"/>
      <w:szCs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Autospacing="1" w:afterAutospacing="1"/>
      <w:jc w:val="left"/>
    </w:pPr>
    <w:rPr>
      <w:rFonts w:ascii="Calibri" w:hAnsi="Calibri" w:eastAsia="宋体"/>
      <w:kern w:val="0"/>
    </w:rPr>
  </w:style>
  <w:style w:type="paragraph" w:styleId="8">
    <w:name w:val="annotation subject"/>
    <w:basedOn w:val="2"/>
    <w:next w:val="2"/>
    <w:link w:val="20"/>
    <w:qFormat/>
    <w:uiPriority w:val="0"/>
    <w:rPr>
      <w:b/>
      <w:bCs/>
    </w:rPr>
  </w:style>
  <w:style w:type="character" w:styleId="11">
    <w:name w:val="Strong"/>
    <w:basedOn w:val="10"/>
    <w:qFormat/>
    <w:uiPriority w:val="0"/>
    <w:rPr>
      <w:b/>
    </w:rPr>
  </w:style>
  <w:style w:type="character" w:styleId="12">
    <w:name w:val="Hyperlink"/>
    <w:basedOn w:val="10"/>
    <w:unhideWhenUsed/>
    <w:qFormat/>
    <w:uiPriority w:val="99"/>
    <w:rPr>
      <w:color w:val="0000FF"/>
      <w:u w:val="single"/>
    </w:rPr>
  </w:style>
  <w:style w:type="character" w:styleId="13">
    <w:name w:val="annotation reference"/>
    <w:basedOn w:val="10"/>
    <w:qFormat/>
    <w:uiPriority w:val="0"/>
    <w:rPr>
      <w:sz w:val="21"/>
      <w:szCs w:val="21"/>
    </w:rPr>
  </w:style>
  <w:style w:type="paragraph" w:styleId="14">
    <w:name w:val="List Paragraph"/>
    <w:basedOn w:val="1"/>
    <w:qFormat/>
    <w:uiPriority w:val="34"/>
    <w:pPr>
      <w:numPr>
        <w:ilvl w:val="0"/>
        <w:numId w:val="1"/>
      </w:numPr>
      <w:spacing w:line="360" w:lineRule="auto"/>
    </w:pPr>
    <w:rPr>
      <w:rFonts w:eastAsia="宋体"/>
      <w:b/>
      <w:bCs/>
    </w:rPr>
  </w:style>
  <w:style w:type="paragraph" w:customStyle="1" w:styleId="15">
    <w:name w:val="005正文"/>
    <w:basedOn w:val="1"/>
    <w:qFormat/>
    <w:uiPriority w:val="0"/>
    <w:pPr>
      <w:spacing w:before="50" w:beforeLines="50" w:line="360" w:lineRule="auto"/>
      <w:ind w:firstLine="200" w:firstLineChars="200"/>
    </w:pPr>
  </w:style>
  <w:style w:type="character" w:customStyle="1" w:styleId="16">
    <w:name w:val="页眉 字符"/>
    <w:basedOn w:val="10"/>
    <w:link w:val="6"/>
    <w:qFormat/>
    <w:uiPriority w:val="0"/>
    <w:rPr>
      <w:rFonts w:eastAsiaTheme="minorEastAsia"/>
      <w:kern w:val="2"/>
      <w:sz w:val="18"/>
      <w:szCs w:val="18"/>
    </w:rPr>
  </w:style>
  <w:style w:type="character" w:customStyle="1" w:styleId="17">
    <w:name w:val="页脚 字符"/>
    <w:basedOn w:val="10"/>
    <w:link w:val="5"/>
    <w:qFormat/>
    <w:uiPriority w:val="0"/>
    <w:rPr>
      <w:rFonts w:eastAsiaTheme="minorEastAsia"/>
      <w:kern w:val="2"/>
      <w:sz w:val="18"/>
      <w:szCs w:val="18"/>
    </w:rPr>
  </w:style>
  <w:style w:type="character" w:customStyle="1" w:styleId="18">
    <w:name w:val="批注框文本 字符"/>
    <w:basedOn w:val="10"/>
    <w:link w:val="4"/>
    <w:qFormat/>
    <w:uiPriority w:val="0"/>
    <w:rPr>
      <w:rFonts w:eastAsiaTheme="minorEastAsia"/>
      <w:kern w:val="2"/>
      <w:sz w:val="18"/>
      <w:szCs w:val="18"/>
    </w:rPr>
  </w:style>
  <w:style w:type="character" w:customStyle="1" w:styleId="19">
    <w:name w:val="批注文字 字符"/>
    <w:basedOn w:val="10"/>
    <w:link w:val="2"/>
    <w:qFormat/>
    <w:uiPriority w:val="0"/>
    <w:rPr>
      <w:rFonts w:eastAsiaTheme="minorEastAsia"/>
      <w:kern w:val="2"/>
      <w:sz w:val="24"/>
      <w:szCs w:val="24"/>
    </w:rPr>
  </w:style>
  <w:style w:type="character" w:customStyle="1" w:styleId="20">
    <w:name w:val="批注主题 字符"/>
    <w:basedOn w:val="19"/>
    <w:link w:val="8"/>
    <w:qFormat/>
    <w:uiPriority w:val="0"/>
    <w:rPr>
      <w:rFonts w:eastAsiaTheme="minorEastAsia"/>
      <w:b/>
      <w:bCs/>
      <w:kern w:val="2"/>
      <w:sz w:val="24"/>
      <w:szCs w:val="24"/>
    </w:rPr>
  </w:style>
  <w:style w:type="paragraph" w:customStyle="1" w:styleId="21">
    <w:name w:val="修订1"/>
    <w:hidden/>
    <w:semiHidden/>
    <w:qFormat/>
    <w:uiPriority w:val="99"/>
    <w:rPr>
      <w:rFonts w:ascii="Times New Roman" w:hAnsi="Times New Roman" w:cs="Times New Roman" w:eastAsiaTheme="minorEastAsia"/>
      <w:kern w:val="2"/>
      <w:sz w:val="24"/>
      <w:szCs w:val="24"/>
      <w:lang w:val="en-US" w:eastAsia="zh-CN" w:bidi="ar-SA"/>
    </w:rPr>
  </w:style>
  <w:style w:type="paragraph" w:customStyle="1" w:styleId="22">
    <w:name w:val="修订2"/>
    <w:hidden/>
    <w:semiHidden/>
    <w:qFormat/>
    <w:uiPriority w:val="99"/>
    <w:rPr>
      <w:rFonts w:ascii="Times New Roman" w:hAnsi="Times New Roman" w:cs="Times New Roman" w:eastAsiaTheme="minorEastAsia"/>
      <w:kern w:val="2"/>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2719</Words>
  <Characters>3033</Characters>
  <Lines>44</Lines>
  <Paragraphs>47</Paragraphs>
  <TotalTime>84</TotalTime>
  <ScaleCrop>false</ScaleCrop>
  <LinksUpToDate>false</LinksUpToDate>
  <CharactersWithSpaces>3123</CharactersWithSpaces>
  <Application>WPS Office WWO_dingtalk_20240221035043-c523bba0e7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2025-09-02T14:48:00Z</dcterms:created>
  <dc:creator>Thinkpad</dc:creator>
  <cp:lastModifiedBy>Lyn</cp:lastModifiedBy>
  <dcterms:modified xsi:type="dcterms:W3CDTF">2026-10-30T21:05:09Z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6951A59631674254B266524460492D9E_13</vt:lpwstr>
  </property>
  <property fmtid="{D5CDD505-2E9C-101B-9397-08002B2CF9AE}" pid="4" name="KSOTemplateDocerSaveRecord">
    <vt:lpwstr>eyJoZGlkIjoiNDgxMDExMDU3MmE0MjNkYTlkNmZjOGRhYjE5MTRhYTIiLCJ1c2VySWQiOiIzNDQzMTM4MzgifQ==</vt:lpwstr>
  </property>
</Properties>
</file>