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A2578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杭州柯林电气股份有限公司</w:t>
      </w:r>
    </w:p>
    <w:p w14:paraId="0E2699A9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投资者关系活动记录表</w:t>
      </w:r>
    </w:p>
    <w:p w14:paraId="72F69B23">
      <w:pPr>
        <w:rPr>
          <w:rFonts w:hint="eastAsia" w:eastAsia="宋体"/>
          <w:lang w:val="en-US" w:eastAsia="zh-CN"/>
        </w:rPr>
      </w:pPr>
      <w:r>
        <w:rPr>
          <w:rFonts w:hint="eastAsia"/>
        </w:rPr>
        <w:t xml:space="preserve">证券简称：杭州柯林 </w:t>
      </w:r>
      <w:r>
        <w:t xml:space="preserve">           </w:t>
      </w:r>
      <w:r>
        <w:rPr>
          <w:rFonts w:hint="eastAsia"/>
        </w:rPr>
        <w:t xml:space="preserve">证券代码：688611 </w:t>
      </w:r>
      <w:r>
        <w:t xml:space="preserve">      </w:t>
      </w:r>
      <w:r>
        <w:rPr>
          <w:rFonts w:hint="eastAsia"/>
        </w:rPr>
        <w:t>编号：202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-0</w:t>
      </w:r>
      <w:r>
        <w:rPr>
          <w:rFonts w:hint="eastAsia"/>
          <w:lang w:val="en-US" w:eastAsia="zh-CN"/>
        </w:rPr>
        <w:t>2</w:t>
      </w:r>
    </w:p>
    <w:tbl>
      <w:tblPr>
        <w:tblStyle w:val="3"/>
        <w:tblW w:w="81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6"/>
        <w:gridCol w:w="5903"/>
      </w:tblGrid>
      <w:tr w14:paraId="38FC7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6" w:type="dxa"/>
            <w:vAlign w:val="center"/>
          </w:tcPr>
          <w:p w14:paraId="5150535C">
            <w:pPr>
              <w:jc w:val="center"/>
            </w:pPr>
            <w:r>
              <w:rPr>
                <w:rFonts w:hint="eastAsia"/>
              </w:rPr>
              <w:t>投资者关系活动</w:t>
            </w:r>
          </w:p>
          <w:p w14:paraId="1658C4C0">
            <w:pPr>
              <w:jc w:val="center"/>
            </w:pPr>
            <w:r>
              <w:rPr>
                <w:rFonts w:hint="eastAsia"/>
              </w:rPr>
              <w:t>类别</w:t>
            </w:r>
          </w:p>
        </w:tc>
        <w:tc>
          <w:tcPr>
            <w:tcW w:w="5903" w:type="dxa"/>
            <w:vAlign w:val="top"/>
          </w:tcPr>
          <w:p w14:paraId="4FF4D2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auto"/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□</w:t>
            </w:r>
            <w:r>
              <w:rPr>
                <w:rFonts w:hint="eastAsia"/>
                <w:b w:val="0"/>
                <w:bCs w:val="0"/>
              </w:rPr>
              <w:t xml:space="preserve">特定对象调研 </w:t>
            </w:r>
            <w:r>
              <w:rPr>
                <w:b w:val="0"/>
                <w:bCs w:val="0"/>
              </w:rPr>
              <w:t xml:space="preserve">   </w:t>
            </w:r>
            <w:r>
              <w:rPr>
                <w:rFonts w:hint="eastAsia"/>
                <w:b w:val="0"/>
                <w:bCs w:val="0"/>
                <w:lang w:eastAsia="zh-CN"/>
              </w:rPr>
              <w:t>☑</w:t>
            </w:r>
            <w:r>
              <w:rPr>
                <w:rFonts w:hint="eastAsia"/>
                <w:b w:val="0"/>
                <w:bCs w:val="0"/>
              </w:rPr>
              <w:t>分析师会议</w:t>
            </w:r>
          </w:p>
          <w:p w14:paraId="73D0EE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auto"/>
              <w:rPr>
                <w:b w:val="0"/>
                <w:bCs w:val="0"/>
              </w:rPr>
            </w:pPr>
            <w:r>
              <w:rPr>
                <w:rFonts w:hint="default"/>
                <w:b w:val="0"/>
                <w:bCs w:val="0"/>
                <w:lang w:val="en-US"/>
              </w:rPr>
              <w:t>□</w:t>
            </w:r>
            <w:r>
              <w:rPr>
                <w:rFonts w:hint="eastAsia"/>
                <w:b w:val="0"/>
                <w:bCs w:val="0"/>
              </w:rPr>
              <w:t xml:space="preserve">媒体采访 </w:t>
            </w:r>
            <w:r>
              <w:rPr>
                <w:b w:val="0"/>
                <w:bCs w:val="0"/>
              </w:rPr>
              <w:t xml:space="preserve">       </w:t>
            </w:r>
            <w:r>
              <w:rPr>
                <w:rFonts w:hint="eastAsia"/>
                <w:b w:val="0"/>
                <w:bCs w:val="0"/>
              </w:rPr>
              <w:t>□业绩说明会</w:t>
            </w:r>
          </w:p>
          <w:p w14:paraId="0F0A6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auto"/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 xml:space="preserve">□新闻发布会 </w:t>
            </w:r>
            <w:r>
              <w:rPr>
                <w:b w:val="0"/>
                <w:bCs w:val="0"/>
              </w:rPr>
              <w:t xml:space="preserve">     </w:t>
            </w:r>
            <w:r>
              <w:rPr>
                <w:rFonts w:hint="eastAsia"/>
                <w:b w:val="0"/>
                <w:bCs w:val="0"/>
                <w:lang w:eastAsia="zh-CN"/>
              </w:rPr>
              <w:t>☑</w:t>
            </w:r>
            <w:r>
              <w:rPr>
                <w:rFonts w:hint="eastAsia"/>
                <w:b w:val="0"/>
                <w:bCs w:val="0"/>
              </w:rPr>
              <w:t>路演活动</w:t>
            </w:r>
          </w:p>
          <w:p w14:paraId="6A0513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left"/>
              <w:textAlignment w:val="auto"/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  <w:lang w:eastAsia="zh-CN"/>
              </w:rPr>
              <w:t>□</w:t>
            </w:r>
            <w:r>
              <w:rPr>
                <w:rFonts w:hint="eastAsia"/>
                <w:b w:val="0"/>
                <w:bCs w:val="0"/>
              </w:rPr>
              <w:t>现场参观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 xml:space="preserve">   □</w:t>
            </w:r>
            <w:r>
              <w:rPr>
                <w:rFonts w:hint="eastAsia"/>
                <w:b w:val="0"/>
                <w:bCs w:val="0"/>
              </w:rPr>
              <w:t>其他（</w:t>
            </w:r>
            <w:r>
              <w:rPr>
                <w:rFonts w:hint="eastAsia"/>
                <w:b w:val="0"/>
                <w:bCs w:val="0"/>
                <w:u w:val="thick"/>
              </w:rPr>
              <w:t>请文字说明其他活动内容</w:t>
            </w:r>
            <w:r>
              <w:rPr>
                <w:rFonts w:hint="eastAsia"/>
                <w:b w:val="0"/>
                <w:bCs w:val="0"/>
              </w:rPr>
              <w:t>）</w:t>
            </w:r>
          </w:p>
        </w:tc>
      </w:tr>
      <w:tr w14:paraId="5D1D3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2286" w:type="dxa"/>
            <w:vAlign w:val="center"/>
          </w:tcPr>
          <w:p w14:paraId="7B3427D7">
            <w:pPr>
              <w:jc w:val="center"/>
            </w:pPr>
            <w:r>
              <w:rPr>
                <w:rFonts w:hint="eastAsia"/>
              </w:rPr>
              <w:t>参与单位名称</w:t>
            </w:r>
          </w:p>
          <w:p w14:paraId="5172B0AE">
            <w:pPr>
              <w:jc w:val="center"/>
            </w:pPr>
            <w:r>
              <w:rPr>
                <w:rFonts w:hint="eastAsia"/>
              </w:rPr>
              <w:t>（排名不分先后）</w:t>
            </w:r>
          </w:p>
        </w:tc>
        <w:tc>
          <w:tcPr>
            <w:tcW w:w="5903" w:type="dxa"/>
            <w:shd w:val="clear" w:color="auto" w:fill="auto"/>
            <w:vAlign w:val="center"/>
          </w:tcPr>
          <w:p w14:paraId="5C3DADCC">
            <w:pPr>
              <w:ind w:firstLine="480" w:firstLineChars="200"/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详见附件清单</w:t>
            </w:r>
          </w:p>
        </w:tc>
      </w:tr>
      <w:tr w14:paraId="3212F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2286" w:type="dxa"/>
            <w:vAlign w:val="center"/>
          </w:tcPr>
          <w:p w14:paraId="69590B9A"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5903" w:type="dxa"/>
            <w:shd w:val="clear" w:color="auto" w:fill="auto"/>
            <w:vAlign w:val="top"/>
          </w:tcPr>
          <w:p w14:paraId="36D8F6D9">
            <w:pPr>
              <w:ind w:left="0" w:leftChars="0" w:firstLine="480" w:firstLineChars="200"/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</w:rPr>
              <w:t>202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6</w:t>
            </w:r>
            <w:r>
              <w:rPr>
                <w:rFonts w:hint="eastAsia"/>
                <w:b w:val="0"/>
                <w:bCs w:val="0"/>
              </w:rPr>
              <w:t>年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10</w:t>
            </w:r>
            <w:r>
              <w:rPr>
                <w:rFonts w:hint="eastAsia"/>
                <w:b w:val="0"/>
                <w:bCs w:val="0"/>
              </w:rPr>
              <w:t>月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29日至2026年10月30日</w:t>
            </w:r>
          </w:p>
        </w:tc>
      </w:tr>
      <w:tr w14:paraId="50BD2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6" w:type="dxa"/>
            <w:vAlign w:val="center"/>
          </w:tcPr>
          <w:p w14:paraId="33F7C096">
            <w:pPr>
              <w:jc w:val="center"/>
            </w:pPr>
            <w:r>
              <w:rPr>
                <w:rFonts w:hint="eastAsia"/>
              </w:rPr>
              <w:t>上市公司接待人员</w:t>
            </w:r>
          </w:p>
          <w:p w14:paraId="5B652804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5903" w:type="dxa"/>
            <w:shd w:val="clear" w:color="auto" w:fill="auto"/>
            <w:vAlign w:val="top"/>
          </w:tcPr>
          <w:p w14:paraId="6CAA7678">
            <w:pPr>
              <w:ind w:left="0" w:leftChars="0" w:firstLine="480" w:firstLineChars="200"/>
              <w:jc w:val="left"/>
              <w:rPr>
                <w:rFonts w:hint="eastAsia"/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董事/副总/董秘：张艳萍</w:t>
            </w:r>
          </w:p>
          <w:p w14:paraId="684038A7">
            <w:pPr>
              <w:ind w:left="0" w:leftChars="0" w:firstLine="480" w:firstLineChars="200"/>
              <w:jc w:val="left"/>
              <w:rPr>
                <w:rFonts w:hint="default" w:eastAsia="宋体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董事长助理：饶舜然</w:t>
            </w:r>
          </w:p>
          <w:p w14:paraId="667BAAD6">
            <w:pPr>
              <w:ind w:firstLine="480" w:firstLineChars="200"/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投关总监：潘文韬</w:t>
            </w:r>
          </w:p>
        </w:tc>
      </w:tr>
      <w:tr w14:paraId="1689D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1" w:hRule="atLeast"/>
        </w:trPr>
        <w:tc>
          <w:tcPr>
            <w:tcW w:w="2286" w:type="dxa"/>
            <w:vAlign w:val="center"/>
          </w:tcPr>
          <w:p w14:paraId="7D7F0976">
            <w:pPr>
              <w:jc w:val="center"/>
            </w:pPr>
          </w:p>
          <w:p w14:paraId="4698C662">
            <w:pPr>
              <w:jc w:val="center"/>
            </w:pPr>
          </w:p>
          <w:p w14:paraId="72999828">
            <w:pPr>
              <w:jc w:val="center"/>
            </w:pPr>
          </w:p>
          <w:p w14:paraId="5B1F5E69">
            <w:pPr>
              <w:jc w:val="center"/>
            </w:pPr>
            <w:r>
              <w:rPr>
                <w:rFonts w:hint="eastAsia"/>
              </w:rPr>
              <w:t>投资者关系活动主要内容介绍</w:t>
            </w:r>
          </w:p>
        </w:tc>
        <w:tc>
          <w:tcPr>
            <w:tcW w:w="5903" w:type="dxa"/>
            <w:shd w:val="clear" w:color="auto" w:fill="auto"/>
            <w:vAlign w:val="top"/>
          </w:tcPr>
          <w:p w14:paraId="58C06B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Q：公司今年三季报亏损的原因？</w:t>
            </w:r>
          </w:p>
          <w:p w14:paraId="697AD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A：公司今年前三季度实现营收1.07亿元，归母净利润-4172.96万元，较去年同期发生较大幅度下滑，主要原因在于：</w:t>
            </w:r>
          </w:p>
          <w:p w14:paraId="06AE0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一、本期销售额较上年同期下降，投入使用的固定资产折旧费用增加。</w:t>
            </w:r>
          </w:p>
          <w:p w14:paraId="1E6FF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二、上海开普勒机器人作为新控股子公司，其相关费用并表带来阶段性财务影响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。</w:t>
            </w:r>
          </w:p>
          <w:p w14:paraId="76B5F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</w:p>
          <w:p w14:paraId="4D7FD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Q：公司机器人及核心部件业务的最新进展</w:t>
            </w:r>
          </w:p>
          <w:p w14:paraId="59F55A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A：以定期报告披露为准。</w:t>
            </w:r>
          </w:p>
          <w:p w14:paraId="53C1D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</w:p>
          <w:p w14:paraId="046F3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Q：开普勒机器人的产品特点</w:t>
            </w:r>
          </w:p>
          <w:p w14:paraId="38DF2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A：开普勒机器人产品当前主要聚焦全场景工业应用方向，核心产品为“大黄蜂”系列人形机器人，采用国内同行业稀缺的滚柱丝杠驱动方案，产品作业续航、载重能力等各项性能参数突出，能够实现机器人在工业移动岗位上的精细操作，真正让“人机协同”从理念走向产线现实。</w:t>
            </w:r>
          </w:p>
          <w:p w14:paraId="2499CB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  <w:bookmarkStart w:id="0" w:name="_GoBack"/>
            <w:bookmarkEnd w:id="0"/>
          </w:p>
          <w:p w14:paraId="21847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Q：公司机器人业务与英伟达合作展望</w:t>
            </w:r>
          </w:p>
          <w:p w14:paraId="15CEF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A：关于双方具体合作情况，请详看英伟达中国官方公众号发布的相关消息为准。</w:t>
            </w:r>
          </w:p>
          <w:p w14:paraId="18B98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jc w:val="both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</w:p>
        </w:tc>
      </w:tr>
      <w:tr w14:paraId="5947D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6" w:type="dxa"/>
          </w:tcPr>
          <w:p w14:paraId="66F05AE8"/>
          <w:p w14:paraId="40A0DA93">
            <w:pPr>
              <w:jc w:val="center"/>
            </w:pPr>
            <w:r>
              <w:rPr>
                <w:rFonts w:hint="eastAsia"/>
              </w:rPr>
              <w:t>附件清单（如有）</w:t>
            </w:r>
          </w:p>
          <w:p w14:paraId="088C808C"/>
        </w:tc>
        <w:tc>
          <w:tcPr>
            <w:tcW w:w="5903" w:type="dxa"/>
            <w:vAlign w:val="center"/>
          </w:tcPr>
          <w:p w14:paraId="61A231A9">
            <w:pPr>
              <w:jc w:val="center"/>
              <w:rPr>
                <w:rFonts w:hint="eastAsia" w:eastAsia="宋体"/>
                <w:b w:val="0"/>
                <w:bCs w:val="0"/>
                <w:lang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见附件</w:t>
            </w:r>
          </w:p>
        </w:tc>
      </w:tr>
    </w:tbl>
    <w:p w14:paraId="3478C232"/>
    <w:p w14:paraId="60CE071C"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附件：</w:t>
      </w:r>
    </w:p>
    <w:tbl>
      <w:tblPr>
        <w:tblStyle w:val="2"/>
        <w:tblW w:w="819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0"/>
        <w:gridCol w:w="5884"/>
      </w:tblGrid>
      <w:tr w14:paraId="54854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9E4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3FB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  <w:t>参会机构（按首字母排序）</w:t>
            </w:r>
          </w:p>
        </w:tc>
      </w:tr>
      <w:tr w14:paraId="0A34A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1B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E1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IDG Capital Management</w:t>
            </w:r>
          </w:p>
        </w:tc>
      </w:tr>
      <w:tr w14:paraId="17891A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8B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59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安联保险资产管理有限公司</w:t>
            </w:r>
          </w:p>
        </w:tc>
      </w:tr>
      <w:tr w14:paraId="498EE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59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B9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安信基金管理有限责任公司</w:t>
            </w:r>
          </w:p>
        </w:tc>
      </w:tr>
      <w:tr w14:paraId="1C968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C4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4C4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波克科技股份有限公司</w:t>
            </w:r>
          </w:p>
        </w:tc>
      </w:tr>
      <w:tr w14:paraId="42140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D5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EE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创金合信基金管理有限公司</w:t>
            </w:r>
          </w:p>
        </w:tc>
      </w:tr>
      <w:tr w14:paraId="64599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5B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B4C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长城基金管理有限公司</w:t>
            </w:r>
          </w:p>
        </w:tc>
      </w:tr>
      <w:tr w14:paraId="112E5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50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CC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长江证券股份有限公司</w:t>
            </w:r>
          </w:p>
        </w:tc>
      </w:tr>
      <w:tr w14:paraId="62297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18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0E3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东方阿尔法基金管理有限公司</w:t>
            </w:r>
          </w:p>
        </w:tc>
      </w:tr>
      <w:tr w14:paraId="62076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7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3C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东方基金管理股份有限公司</w:t>
            </w:r>
          </w:p>
        </w:tc>
      </w:tr>
      <w:tr w14:paraId="4AE88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26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5B4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富国基金管理有限公司</w:t>
            </w:r>
          </w:p>
        </w:tc>
      </w:tr>
      <w:tr w14:paraId="2A519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D1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2A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光大永明资产管理股份有限公司</w:t>
            </w:r>
          </w:p>
        </w:tc>
      </w:tr>
      <w:tr w14:paraId="16BF0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AD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6F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国金基金管理有限公司</w:t>
            </w:r>
          </w:p>
        </w:tc>
      </w:tr>
      <w:tr w14:paraId="5ED6F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96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3E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国联基金管理有限公司</w:t>
            </w:r>
          </w:p>
        </w:tc>
      </w:tr>
      <w:tr w14:paraId="18DE8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70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E51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海富通基金管理有限公司</w:t>
            </w:r>
          </w:p>
        </w:tc>
      </w:tr>
      <w:tr w14:paraId="37B85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72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A6D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海通证券股份有限公司</w:t>
            </w:r>
          </w:p>
        </w:tc>
      </w:tr>
      <w:tr w14:paraId="20313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00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8C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华安基金管理有限公司</w:t>
            </w:r>
          </w:p>
        </w:tc>
      </w:tr>
      <w:tr w14:paraId="73EC6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2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2FE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华宝基金管理有限公司</w:t>
            </w:r>
          </w:p>
        </w:tc>
      </w:tr>
      <w:tr w14:paraId="0158F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3D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EF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华泰证券(上海)资产管理有限公司</w:t>
            </w:r>
          </w:p>
        </w:tc>
      </w:tr>
      <w:tr w14:paraId="6F10A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B1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96B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华夏基金管理有限公司</w:t>
            </w:r>
          </w:p>
        </w:tc>
      </w:tr>
      <w:tr w14:paraId="54442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96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21C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华夏理财有限责任公司</w:t>
            </w:r>
          </w:p>
        </w:tc>
      </w:tr>
      <w:tr w14:paraId="2B237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21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9C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汇丰晋信基金管理有限公司</w:t>
            </w:r>
          </w:p>
        </w:tc>
      </w:tr>
      <w:tr w14:paraId="5ED23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CE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83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嘉实基金管理有限公司</w:t>
            </w:r>
          </w:p>
        </w:tc>
      </w:tr>
      <w:tr w14:paraId="0D199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1B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D1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建信基金管理有限责任公司</w:t>
            </w:r>
          </w:p>
        </w:tc>
      </w:tr>
      <w:tr w14:paraId="44645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C7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49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建信理财有限责任公司</w:t>
            </w:r>
          </w:p>
        </w:tc>
      </w:tr>
      <w:tr w14:paraId="2986A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CD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77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江苏瑞华投资控股集团有限公司</w:t>
            </w:r>
          </w:p>
        </w:tc>
      </w:tr>
      <w:tr w14:paraId="64A1C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55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9A6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江信基金管理有限公司</w:t>
            </w:r>
          </w:p>
        </w:tc>
      </w:tr>
      <w:tr w14:paraId="2B93E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0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A1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摩根士丹利基金管理(中国)有限公司</w:t>
            </w:r>
          </w:p>
        </w:tc>
      </w:tr>
      <w:tr w14:paraId="4529F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2F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ED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南方基金管理股份有限公司</w:t>
            </w:r>
          </w:p>
        </w:tc>
      </w:tr>
      <w:tr w14:paraId="64517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8B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F06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宁银理财有限责任公司</w:t>
            </w:r>
          </w:p>
        </w:tc>
      </w:tr>
      <w:tr w14:paraId="734DC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A9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04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诺安基金管理有限公司</w:t>
            </w:r>
          </w:p>
        </w:tc>
      </w:tr>
      <w:tr w14:paraId="37E93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D7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91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鹏华基金管理有限公司</w:t>
            </w:r>
          </w:p>
        </w:tc>
      </w:tr>
      <w:tr w14:paraId="085C8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5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9F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平安基金管理有限公司</w:t>
            </w:r>
          </w:p>
        </w:tc>
      </w:tr>
      <w:tr w14:paraId="1AB12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FB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DA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浦银安盛基金管理有限公司</w:t>
            </w:r>
          </w:p>
        </w:tc>
      </w:tr>
      <w:tr w14:paraId="6745D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43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D1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浦银理财有限责任公司</w:t>
            </w:r>
          </w:p>
        </w:tc>
      </w:tr>
      <w:tr w14:paraId="6F2E2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18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03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前海开源基金管理有限公司</w:t>
            </w:r>
          </w:p>
        </w:tc>
      </w:tr>
      <w:tr w14:paraId="669E7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23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95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融通基金管理有限公司</w:t>
            </w:r>
          </w:p>
        </w:tc>
      </w:tr>
      <w:tr w14:paraId="6743E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3E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8E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睿远基金管理有限公司</w:t>
            </w:r>
          </w:p>
        </w:tc>
      </w:tr>
      <w:tr w14:paraId="43A40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85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449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上海常春藤私募基金管理有限公司</w:t>
            </w:r>
          </w:p>
        </w:tc>
      </w:tr>
      <w:tr w14:paraId="0F239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7F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99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上海东方证券资产管理有限公司</w:t>
            </w:r>
          </w:p>
        </w:tc>
      </w:tr>
      <w:tr w14:paraId="2E8212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EF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7E6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上海歌汝私募基金管理有限公司</w:t>
            </w:r>
          </w:p>
        </w:tc>
      </w:tr>
      <w:tr w14:paraId="0ECEB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A2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1B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上海鹤禧私募基金管理有限公司</w:t>
            </w:r>
          </w:p>
        </w:tc>
      </w:tr>
      <w:tr w14:paraId="7E70F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3C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F3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上海玖鹏资产管理中心(有限合伙)</w:t>
            </w:r>
          </w:p>
        </w:tc>
      </w:tr>
      <w:tr w14:paraId="2D626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BE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F72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上海聚鸣投资管理有限公司</w:t>
            </w:r>
          </w:p>
        </w:tc>
      </w:tr>
      <w:tr w14:paraId="3BA2F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C1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78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上海云门投资管理有限公司</w:t>
            </w:r>
          </w:p>
        </w:tc>
      </w:tr>
      <w:tr w14:paraId="1EF1F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4C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E30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申万菱信基金管理有限公司</w:t>
            </w:r>
          </w:p>
        </w:tc>
      </w:tr>
      <w:tr w14:paraId="6CD99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39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21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太平养老保险股份有限公司</w:t>
            </w:r>
          </w:p>
        </w:tc>
      </w:tr>
      <w:tr w14:paraId="0566C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25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8A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太平资产管理有限公司</w:t>
            </w:r>
          </w:p>
        </w:tc>
      </w:tr>
      <w:tr w14:paraId="3F4F9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F1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A6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西部利得基金管理有限公司</w:t>
            </w:r>
          </w:p>
        </w:tc>
      </w:tr>
      <w:tr w14:paraId="749DD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DA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09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信达澳亚基金管理有限公司</w:t>
            </w:r>
          </w:p>
        </w:tc>
      </w:tr>
      <w:tr w14:paraId="3D81E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D9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D0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信银理财有限责任公司</w:t>
            </w:r>
          </w:p>
        </w:tc>
      </w:tr>
      <w:tr w14:paraId="58698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91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A6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兴业基金管理有限公司</w:t>
            </w:r>
          </w:p>
        </w:tc>
      </w:tr>
      <w:tr w14:paraId="6EBFD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F1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0E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阳光资产管理股份有限公司</w:t>
            </w:r>
          </w:p>
        </w:tc>
      </w:tr>
      <w:tr w14:paraId="6FBEF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26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24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易方达基金管理有限公司</w:t>
            </w:r>
          </w:p>
        </w:tc>
      </w:tr>
      <w:tr w14:paraId="32D8E4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33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390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银河基金管理有限公司</w:t>
            </w:r>
          </w:p>
        </w:tc>
      </w:tr>
      <w:tr w14:paraId="46D10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F8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EE8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永赢基金管理有限公司</w:t>
            </w:r>
          </w:p>
        </w:tc>
      </w:tr>
      <w:tr w14:paraId="32E23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7A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7D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圆信永丰基金管理有限公司</w:t>
            </w:r>
          </w:p>
        </w:tc>
      </w:tr>
      <w:tr w14:paraId="6DA61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99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A8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浙江银万斯特投资管理有限公司</w:t>
            </w:r>
          </w:p>
        </w:tc>
      </w:tr>
      <w:tr w14:paraId="42713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1C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7AC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浙江浙商证券资产管理有限公司</w:t>
            </w:r>
          </w:p>
        </w:tc>
      </w:tr>
      <w:tr w14:paraId="607A3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32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00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浙商证券股份有限公司</w:t>
            </w:r>
          </w:p>
        </w:tc>
      </w:tr>
      <w:tr w14:paraId="14272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3F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52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中国人寿养老保险股份有限公司</w:t>
            </w:r>
          </w:p>
        </w:tc>
      </w:tr>
      <w:tr w14:paraId="7AF12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AE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C4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中欧基金管理有限公司</w:t>
            </w:r>
          </w:p>
        </w:tc>
      </w:tr>
      <w:tr w14:paraId="3E147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0F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656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中信保诚基金管理有限公司</w:t>
            </w:r>
          </w:p>
        </w:tc>
      </w:tr>
      <w:tr w14:paraId="72A24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27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71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中银基金管理有限公司</w:t>
            </w:r>
          </w:p>
        </w:tc>
      </w:tr>
      <w:tr w14:paraId="29B31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8F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5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76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中银资产管理有限公司</w:t>
            </w:r>
          </w:p>
        </w:tc>
      </w:tr>
    </w:tbl>
    <w:p w14:paraId="7A8C9B89"/>
    <w:p w14:paraId="3F1631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2725D7"/>
    <w:rsid w:val="01E61A41"/>
    <w:rsid w:val="02126E59"/>
    <w:rsid w:val="03BC472B"/>
    <w:rsid w:val="03C15335"/>
    <w:rsid w:val="03D74649"/>
    <w:rsid w:val="04001FDD"/>
    <w:rsid w:val="05234C94"/>
    <w:rsid w:val="054A0ABD"/>
    <w:rsid w:val="06322197"/>
    <w:rsid w:val="06B568AB"/>
    <w:rsid w:val="07573544"/>
    <w:rsid w:val="075A7C6E"/>
    <w:rsid w:val="088C1FEC"/>
    <w:rsid w:val="094E5251"/>
    <w:rsid w:val="095A6AE5"/>
    <w:rsid w:val="0AA92E8E"/>
    <w:rsid w:val="0B1C6350"/>
    <w:rsid w:val="0B2B221A"/>
    <w:rsid w:val="0B4777A2"/>
    <w:rsid w:val="0B645163"/>
    <w:rsid w:val="0B9042A3"/>
    <w:rsid w:val="0CD8658F"/>
    <w:rsid w:val="0E5D11A2"/>
    <w:rsid w:val="0E8373D3"/>
    <w:rsid w:val="0F8252B3"/>
    <w:rsid w:val="0F966813"/>
    <w:rsid w:val="102A5120"/>
    <w:rsid w:val="10B6082D"/>
    <w:rsid w:val="11B20E1C"/>
    <w:rsid w:val="120A53EB"/>
    <w:rsid w:val="128072E8"/>
    <w:rsid w:val="12BD04B6"/>
    <w:rsid w:val="12C34A1A"/>
    <w:rsid w:val="15BF4301"/>
    <w:rsid w:val="15DD539F"/>
    <w:rsid w:val="166F5409"/>
    <w:rsid w:val="17475F75"/>
    <w:rsid w:val="17C24B0D"/>
    <w:rsid w:val="183F68AD"/>
    <w:rsid w:val="184F00E5"/>
    <w:rsid w:val="18517A73"/>
    <w:rsid w:val="190B4DF5"/>
    <w:rsid w:val="196074CB"/>
    <w:rsid w:val="197A10D9"/>
    <w:rsid w:val="1B2A78B1"/>
    <w:rsid w:val="1B343BD2"/>
    <w:rsid w:val="1CC70B67"/>
    <w:rsid w:val="1CCC4322"/>
    <w:rsid w:val="1EA737B5"/>
    <w:rsid w:val="1FB72AD7"/>
    <w:rsid w:val="205B6ADC"/>
    <w:rsid w:val="20E91595"/>
    <w:rsid w:val="22366528"/>
    <w:rsid w:val="22700C0D"/>
    <w:rsid w:val="22FB04BD"/>
    <w:rsid w:val="24205111"/>
    <w:rsid w:val="25D44039"/>
    <w:rsid w:val="27DD1259"/>
    <w:rsid w:val="27E45F19"/>
    <w:rsid w:val="29FE3C9A"/>
    <w:rsid w:val="2AD45A4C"/>
    <w:rsid w:val="2B3A1BFB"/>
    <w:rsid w:val="2B611186"/>
    <w:rsid w:val="2B6A75E8"/>
    <w:rsid w:val="2CF236B8"/>
    <w:rsid w:val="2E507DC0"/>
    <w:rsid w:val="2EA5479B"/>
    <w:rsid w:val="2EDB12A7"/>
    <w:rsid w:val="2F825956"/>
    <w:rsid w:val="2F843C85"/>
    <w:rsid w:val="302469E2"/>
    <w:rsid w:val="31FE05FD"/>
    <w:rsid w:val="32BA6604"/>
    <w:rsid w:val="32EE219B"/>
    <w:rsid w:val="32F00188"/>
    <w:rsid w:val="33C839D8"/>
    <w:rsid w:val="33CA11A0"/>
    <w:rsid w:val="341003C2"/>
    <w:rsid w:val="35006703"/>
    <w:rsid w:val="35617D8E"/>
    <w:rsid w:val="365E3973"/>
    <w:rsid w:val="37317067"/>
    <w:rsid w:val="38301A84"/>
    <w:rsid w:val="38B469EA"/>
    <w:rsid w:val="38C55C7F"/>
    <w:rsid w:val="39C85E6E"/>
    <w:rsid w:val="3A981AF4"/>
    <w:rsid w:val="3B2B0D9A"/>
    <w:rsid w:val="3B3E3090"/>
    <w:rsid w:val="3C1F579C"/>
    <w:rsid w:val="3D5F26F4"/>
    <w:rsid w:val="3F3070E0"/>
    <w:rsid w:val="3F380AC7"/>
    <w:rsid w:val="40670BA0"/>
    <w:rsid w:val="40D27BFC"/>
    <w:rsid w:val="417250C0"/>
    <w:rsid w:val="41FC7949"/>
    <w:rsid w:val="442E4383"/>
    <w:rsid w:val="44B60F8F"/>
    <w:rsid w:val="44F71A58"/>
    <w:rsid w:val="46602DB8"/>
    <w:rsid w:val="48842117"/>
    <w:rsid w:val="491E4566"/>
    <w:rsid w:val="49794A7F"/>
    <w:rsid w:val="49A433C0"/>
    <w:rsid w:val="4B0C4729"/>
    <w:rsid w:val="4B552895"/>
    <w:rsid w:val="4BA1504C"/>
    <w:rsid w:val="4C773C21"/>
    <w:rsid w:val="4DAE6A48"/>
    <w:rsid w:val="4EA52FCA"/>
    <w:rsid w:val="4EC120C0"/>
    <w:rsid w:val="4EDA0230"/>
    <w:rsid w:val="4FBB5099"/>
    <w:rsid w:val="4FE6285E"/>
    <w:rsid w:val="506D7D27"/>
    <w:rsid w:val="50C64FC3"/>
    <w:rsid w:val="514733E5"/>
    <w:rsid w:val="51B24341"/>
    <w:rsid w:val="52933407"/>
    <w:rsid w:val="53FA6AD6"/>
    <w:rsid w:val="55397597"/>
    <w:rsid w:val="558347E6"/>
    <w:rsid w:val="56A70AE9"/>
    <w:rsid w:val="56CC183E"/>
    <w:rsid w:val="56F25C2D"/>
    <w:rsid w:val="575934DF"/>
    <w:rsid w:val="585D3520"/>
    <w:rsid w:val="5B452CFB"/>
    <w:rsid w:val="5B920F1D"/>
    <w:rsid w:val="5C1268BE"/>
    <w:rsid w:val="5C596CDF"/>
    <w:rsid w:val="5CB239D0"/>
    <w:rsid w:val="5D0511AA"/>
    <w:rsid w:val="5EFC1E4F"/>
    <w:rsid w:val="609848B1"/>
    <w:rsid w:val="61354E45"/>
    <w:rsid w:val="61506ECD"/>
    <w:rsid w:val="61F30B9C"/>
    <w:rsid w:val="62601455"/>
    <w:rsid w:val="62FA78C2"/>
    <w:rsid w:val="64624F6F"/>
    <w:rsid w:val="64990171"/>
    <w:rsid w:val="65223614"/>
    <w:rsid w:val="65C11B3B"/>
    <w:rsid w:val="670944DC"/>
    <w:rsid w:val="69672FEA"/>
    <w:rsid w:val="6A352BF8"/>
    <w:rsid w:val="6A8B21C6"/>
    <w:rsid w:val="6AB41781"/>
    <w:rsid w:val="6C273DA2"/>
    <w:rsid w:val="6CCF3A49"/>
    <w:rsid w:val="6CE25DB1"/>
    <w:rsid w:val="6DCE2716"/>
    <w:rsid w:val="6E281055"/>
    <w:rsid w:val="6E4120D7"/>
    <w:rsid w:val="6F842B01"/>
    <w:rsid w:val="703C2D4E"/>
    <w:rsid w:val="723C64CE"/>
    <w:rsid w:val="729F796B"/>
    <w:rsid w:val="732725D7"/>
    <w:rsid w:val="741B37B4"/>
    <w:rsid w:val="749849EC"/>
    <w:rsid w:val="749A6403"/>
    <w:rsid w:val="753F504C"/>
    <w:rsid w:val="754D1C5D"/>
    <w:rsid w:val="761A576C"/>
    <w:rsid w:val="771E7EFD"/>
    <w:rsid w:val="79386723"/>
    <w:rsid w:val="798C7345"/>
    <w:rsid w:val="7A0908D2"/>
    <w:rsid w:val="7AD36678"/>
    <w:rsid w:val="7B9207C8"/>
    <w:rsid w:val="7BD94669"/>
    <w:rsid w:val="7DF8387A"/>
    <w:rsid w:val="7F236EDA"/>
    <w:rsid w:val="7F69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360" w:lineRule="auto"/>
    </w:pPr>
    <w:rPr>
      <w:rFonts w:ascii="宋体" w:hAnsi="宋体" w:eastAsia="宋体" w:cs="宋体"/>
      <w:b/>
      <w:bCs/>
      <w:sz w:val="24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2026-11-04T10:05:00Z</dcterms:created>
  <dc:creator>梨呀</dc:creator>
  <cp:lastModifiedBy>梨呀</cp:lastModifiedBy>
  <dcterms:modified xsi:type="dcterms:W3CDTF">2026-11-04T10:09:49Z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A0DE8C1DAE0F408AADA5A3DAC17F9C36_11</vt:lpwstr>
  </property>
  <property fmtid="{D5CDD505-2E9C-101B-9397-08002B2CF9AE}" pid="4" name="KSOTemplateDocerSaveRecord">
    <vt:lpwstr>eyJoZGlkIjoiOGI4NjI5OTBmMDM1ODFlMDkzNDFlZTFiMWNhZWU5ZTMiLCJ1c2VySWQiOiI4ODA1OTczODAifQ==</vt:lpwstr>
  </property>
</Properties>
</file>