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0609D">
      <w:pPr>
        <w:autoSpaceDE/>
        <w:autoSpaceDN/>
        <w:spacing w:line="360" w:lineRule="auto"/>
        <w:jc w:val="center"/>
        <w:outlineLvl w:val="0"/>
        <w:rPr>
          <w:rFonts w:ascii="Times New Roman" w:hAnsi="Times New Roman" w:eastAsia="宋体" w:cs="宋体"/>
          <w:b/>
          <w:bCs/>
          <w:spacing w:val="-3"/>
          <w:sz w:val="28"/>
          <w:szCs w:val="28"/>
          <w:lang w:eastAsia="zh-CN"/>
        </w:rPr>
      </w:pPr>
      <w:r>
        <w:rPr>
          <w:rFonts w:ascii="Times New Roman" w:hAnsi="Times New Roman" w:eastAsia="宋体" w:cs="宋体"/>
          <w:b/>
          <w:bCs/>
          <w:spacing w:val="-3"/>
          <w:sz w:val="28"/>
          <w:szCs w:val="28"/>
          <w:lang w:eastAsia="zh-CN"/>
        </w:rPr>
        <w:t>北京九州一轨环境科技股份有限公司</w:t>
      </w:r>
    </w:p>
    <w:p w14:paraId="5682AACC">
      <w:pPr>
        <w:autoSpaceDE/>
        <w:autoSpaceDN/>
        <w:spacing w:line="360" w:lineRule="auto"/>
        <w:jc w:val="center"/>
        <w:outlineLvl w:val="0"/>
        <w:rPr>
          <w:rFonts w:ascii="Times New Roman" w:hAnsi="Times New Roman" w:eastAsia="宋体" w:cs="宋体"/>
          <w:sz w:val="28"/>
          <w:szCs w:val="28"/>
          <w:lang w:eastAsia="zh-CN"/>
        </w:rPr>
      </w:pPr>
      <w:r>
        <w:rPr>
          <w:rFonts w:ascii="Times New Roman" w:hAnsi="Times New Roman" w:eastAsia="宋体" w:cs="宋体"/>
          <w:b/>
          <w:bCs/>
          <w:spacing w:val="-4"/>
          <w:sz w:val="28"/>
          <w:szCs w:val="28"/>
          <w:lang w:eastAsia="zh-CN"/>
        </w:rPr>
        <w:t>投资者关系活动记录表</w:t>
      </w:r>
    </w:p>
    <w:p w14:paraId="6DDF452C">
      <w:pPr>
        <w:spacing w:after="120" w:afterLines="50" w:line="360" w:lineRule="auto"/>
        <w:jc w:val="both"/>
        <w:rPr>
          <w:rFonts w:ascii="Times New Roman" w:hAnsi="Times New Roman" w:cs="Times New Roman" w:eastAsiaTheme="minorEastAsia"/>
          <w:sz w:val="24"/>
          <w:szCs w:val="24"/>
          <w:highlight w:val="yellow"/>
          <w:lang w:eastAsia="zh-CN"/>
        </w:rPr>
      </w:pPr>
      <w:r>
        <w:rPr>
          <w:rFonts w:ascii="Times New Roman" w:hAnsi="Times New Roman" w:eastAsia="宋体" w:cs="宋体"/>
          <w:b/>
          <w:bCs/>
          <w:sz w:val="24"/>
          <w:szCs w:val="24"/>
          <w:lang w:eastAsia="zh-CN"/>
        </w:rPr>
        <w:t>证券简称：</w:t>
      </w:r>
      <w:r>
        <w:rPr>
          <w:rFonts w:ascii="Times New Roman" w:hAnsi="Times New Roman" w:eastAsia="宋体" w:cs="宋体"/>
          <w:sz w:val="24"/>
          <w:szCs w:val="24"/>
          <w:lang w:eastAsia="zh-CN"/>
        </w:rPr>
        <w:t>九州一轨</w:t>
      </w:r>
      <w:r>
        <w:rPr>
          <w:rFonts w:hint="eastAsia" w:ascii="Times New Roman" w:hAnsi="Times New Roman" w:eastAsia="宋体" w:cs="宋体"/>
          <w:b/>
          <w:bCs/>
          <w:sz w:val="24"/>
          <w:szCs w:val="24"/>
          <w:lang w:eastAsia="zh-CN"/>
        </w:rPr>
        <w:t xml:space="preserve">         </w:t>
      </w:r>
      <w:r>
        <w:rPr>
          <w:rFonts w:ascii="Times New Roman" w:hAnsi="Times New Roman" w:eastAsia="宋体" w:cs="宋体"/>
          <w:b/>
          <w:bCs/>
          <w:sz w:val="24"/>
          <w:szCs w:val="24"/>
          <w:lang w:eastAsia="zh-CN"/>
        </w:rPr>
        <w:t>证券代</w:t>
      </w:r>
      <w:r>
        <w:rPr>
          <w:rFonts w:ascii="Times New Roman" w:hAnsi="Times New Roman" w:eastAsia="宋体" w:cs="宋体"/>
          <w:b/>
          <w:bCs/>
          <w:spacing w:val="-1"/>
          <w:sz w:val="24"/>
          <w:szCs w:val="24"/>
          <w:lang w:eastAsia="zh-CN"/>
        </w:rPr>
        <w:t>码：</w:t>
      </w:r>
      <w:r>
        <w:rPr>
          <w:rFonts w:ascii="Times New Roman" w:hAnsi="Times New Roman" w:eastAsia="Times New Roman" w:cs="Times New Roman"/>
          <w:spacing w:val="-1"/>
          <w:sz w:val="24"/>
          <w:szCs w:val="24"/>
          <w:lang w:eastAsia="zh-CN"/>
        </w:rPr>
        <w:t>688485</w:t>
      </w:r>
      <w:r>
        <w:rPr>
          <w:rFonts w:hint="eastAsia" w:ascii="Times New Roman" w:hAnsi="Times New Roman" w:eastAsia="宋体" w:cs="Times New Roman"/>
          <w:b/>
          <w:bCs/>
          <w:spacing w:val="-1"/>
          <w:sz w:val="24"/>
          <w:szCs w:val="24"/>
          <w:lang w:eastAsia="zh-CN"/>
        </w:rPr>
        <w:t xml:space="preserve">             </w:t>
      </w:r>
      <w:r>
        <w:rPr>
          <w:rFonts w:ascii="Times New Roman" w:hAnsi="Times New Roman" w:eastAsia="宋体" w:cs="宋体"/>
          <w:b/>
          <w:bCs/>
          <w:spacing w:val="-1"/>
          <w:sz w:val="24"/>
          <w:szCs w:val="24"/>
          <w:lang w:eastAsia="zh-CN"/>
        </w:rPr>
        <w:t>编号：</w:t>
      </w:r>
      <w:r>
        <w:rPr>
          <w:rFonts w:ascii="Times New Roman" w:hAnsi="Times New Roman" w:eastAsia="宋体" w:cs="Times New Roman"/>
          <w:spacing w:val="-1"/>
          <w:sz w:val="24"/>
          <w:szCs w:val="24"/>
          <w:lang w:eastAsia="zh-CN"/>
        </w:rPr>
        <w:t>202</w:t>
      </w:r>
      <w:r>
        <w:rPr>
          <w:rFonts w:hint="eastAsia" w:ascii="Times New Roman" w:hAnsi="Times New Roman" w:eastAsia="宋体" w:cs="Times New Roman"/>
          <w:spacing w:val="-1"/>
          <w:sz w:val="24"/>
          <w:szCs w:val="24"/>
          <w:lang w:eastAsia="zh-CN"/>
        </w:rPr>
        <w:t>6</w:t>
      </w:r>
      <w:r>
        <w:rPr>
          <w:rFonts w:ascii="Times New Roman" w:hAnsi="Times New Roman" w:eastAsia="宋体" w:cs="Times New Roman"/>
          <w:spacing w:val="-1"/>
          <w:sz w:val="24"/>
          <w:szCs w:val="24"/>
          <w:lang w:eastAsia="zh-CN"/>
        </w:rPr>
        <w:t>-0</w:t>
      </w:r>
      <w:r>
        <w:rPr>
          <w:rFonts w:hint="eastAsia" w:ascii="Times New Roman" w:hAnsi="Times New Roman" w:eastAsia="宋体" w:cs="Times New Roman"/>
          <w:spacing w:val="-1"/>
          <w:sz w:val="24"/>
          <w:szCs w:val="24"/>
          <w:lang w:eastAsia="zh-CN"/>
        </w:rPr>
        <w:t>06</w:t>
      </w:r>
    </w:p>
    <w:tbl>
      <w:tblPr>
        <w:tblStyle w:val="15"/>
        <w:tblW w:w="8295" w:type="dxa"/>
        <w:tblInd w:w="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71"/>
        <w:gridCol w:w="3189"/>
        <w:gridCol w:w="2935"/>
      </w:tblGrid>
      <w:tr w14:paraId="7AD1C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2171" w:type="dxa"/>
            <w:vAlign w:val="center"/>
          </w:tcPr>
          <w:p w14:paraId="6F8D41C5">
            <w:pPr>
              <w:pStyle w:val="16"/>
              <w:spacing w:line="360" w:lineRule="auto"/>
              <w:jc w:val="center"/>
              <w:rPr>
                <w:rFonts w:ascii="Times New Roman" w:hAnsi="Times New Roman"/>
                <w:b/>
                <w:bCs/>
              </w:rPr>
            </w:pPr>
            <w:r>
              <w:rPr>
                <w:rFonts w:hint="eastAsia" w:ascii="Times New Roman" w:hAnsi="Times New Roman"/>
                <w:b/>
                <w:bCs/>
              </w:rPr>
              <w:t>投资者关系活动类别</w:t>
            </w:r>
          </w:p>
        </w:tc>
        <w:tc>
          <w:tcPr>
            <w:tcW w:w="3189" w:type="dxa"/>
            <w:tcBorders>
              <w:bottom w:val="nil"/>
              <w:right w:val="nil"/>
            </w:tcBorders>
            <w:vAlign w:val="center"/>
          </w:tcPr>
          <w:p w14:paraId="6CD66F7D">
            <w:pPr>
              <w:pStyle w:val="16"/>
              <w:autoSpaceDE/>
              <w:autoSpaceDN/>
              <w:spacing w:before="120" w:beforeLines="50" w:after="120" w:afterLines="50"/>
              <w:ind w:firstLine="480" w:firstLineChars="200"/>
              <w:jc w:val="both"/>
              <w:rPr>
                <w:rFonts w:ascii="Times New Roman" w:hAnsi="Times New Roman"/>
                <w:lang w:eastAsia="zh-CN"/>
              </w:rPr>
            </w:pPr>
            <w:r>
              <w:rPr>
                <w:rFonts w:hint="eastAsia" w:ascii="Times New Roman" w:hAnsi="Times New Roman"/>
              </w:rPr>
              <w:sym w:font="Wingdings 2" w:char="0052"/>
            </w:r>
            <w:r>
              <w:rPr>
                <w:rFonts w:hint="eastAsia" w:ascii="Times New Roman" w:hAnsi="Times New Roman"/>
                <w:lang w:eastAsia="zh-CN"/>
              </w:rPr>
              <w:t>特定对象调研</w:t>
            </w:r>
          </w:p>
          <w:p w14:paraId="3C799993">
            <w:pPr>
              <w:pStyle w:val="16"/>
              <w:autoSpaceDE/>
              <w:autoSpaceDN/>
              <w:spacing w:before="120" w:beforeLines="50" w:after="120" w:afterLines="50"/>
              <w:ind w:firstLine="480" w:firstLineChars="200"/>
              <w:jc w:val="both"/>
              <w:rPr>
                <w:rFonts w:ascii="Times New Roman" w:hAnsi="Times New Roman"/>
                <w:lang w:eastAsia="zh-CN"/>
              </w:rPr>
            </w:pPr>
            <w:r>
              <w:rPr>
                <w:rFonts w:hint="eastAsia" w:ascii="Times New Roman" w:hAnsi="Times New Roman"/>
              </w:rPr>
              <w:sym w:font="Wingdings 2" w:char="00A3"/>
            </w:r>
            <w:r>
              <w:rPr>
                <w:rFonts w:hint="eastAsia" w:ascii="Times New Roman" w:hAnsi="Times New Roman"/>
                <w:lang w:eastAsia="zh-CN"/>
              </w:rPr>
              <w:t>媒体采访</w:t>
            </w:r>
          </w:p>
          <w:p w14:paraId="0D74F8FF">
            <w:pPr>
              <w:pStyle w:val="16"/>
              <w:autoSpaceDE/>
              <w:autoSpaceDN/>
              <w:spacing w:before="120" w:beforeLines="50" w:after="120" w:afterLines="50"/>
              <w:ind w:firstLine="480" w:firstLineChars="200"/>
              <w:jc w:val="both"/>
              <w:rPr>
                <w:rFonts w:ascii="Times New Roman" w:hAnsi="Times New Roman"/>
                <w:lang w:eastAsia="zh-CN"/>
              </w:rPr>
            </w:pPr>
            <w:r>
              <w:rPr>
                <w:rFonts w:hint="eastAsia" w:ascii="Times New Roman" w:hAnsi="Times New Roman"/>
              </w:rPr>
              <w:sym w:font="Wingdings 2" w:char="00A3"/>
            </w:r>
            <w:r>
              <w:rPr>
                <w:rFonts w:hint="eastAsia" w:ascii="Times New Roman" w:hAnsi="Times New Roman"/>
                <w:lang w:eastAsia="zh-CN"/>
              </w:rPr>
              <w:t>新闻发布会</w:t>
            </w:r>
          </w:p>
          <w:p w14:paraId="19211835">
            <w:pPr>
              <w:pStyle w:val="16"/>
              <w:autoSpaceDE/>
              <w:autoSpaceDN/>
              <w:spacing w:before="120" w:beforeLines="50" w:after="120" w:afterLines="50"/>
              <w:ind w:firstLine="480" w:firstLineChars="200"/>
              <w:jc w:val="both"/>
              <w:rPr>
                <w:rFonts w:ascii="Times New Roman" w:hAnsi="Times New Roman"/>
                <w:lang w:eastAsia="zh-CN"/>
              </w:rPr>
            </w:pPr>
            <w:r>
              <w:rPr>
                <w:rFonts w:hint="eastAsia" w:ascii="Times New Roman" w:hAnsi="Times New Roman"/>
              </w:rPr>
              <w:sym w:font="Wingdings 2" w:char="00A3"/>
            </w:r>
            <w:r>
              <w:rPr>
                <w:rFonts w:hint="eastAsia" w:ascii="Times New Roman" w:hAnsi="Times New Roman"/>
              </w:rPr>
              <w:t>现场参观</w:t>
            </w:r>
          </w:p>
        </w:tc>
        <w:tc>
          <w:tcPr>
            <w:tcW w:w="2935" w:type="dxa"/>
            <w:tcBorders>
              <w:left w:val="nil"/>
              <w:bottom w:val="nil"/>
            </w:tcBorders>
            <w:vAlign w:val="center"/>
          </w:tcPr>
          <w:p w14:paraId="4F009989">
            <w:pPr>
              <w:pStyle w:val="16"/>
              <w:autoSpaceDE/>
              <w:autoSpaceDN/>
              <w:spacing w:before="120" w:beforeLines="50" w:after="120" w:afterLines="50"/>
              <w:jc w:val="both"/>
              <w:rPr>
                <w:rFonts w:ascii="Times New Roman" w:hAnsi="Times New Roman"/>
                <w:lang w:eastAsia="zh-CN"/>
              </w:rPr>
            </w:pPr>
            <w:r>
              <w:rPr>
                <w:rFonts w:hint="eastAsia" w:ascii="Times New Roman" w:hAnsi="Times New Roman"/>
              </w:rPr>
              <w:sym w:font="Wingdings 2" w:char="0052"/>
            </w:r>
            <w:r>
              <w:rPr>
                <w:rFonts w:hint="eastAsia" w:ascii="Times New Roman" w:hAnsi="Times New Roman"/>
                <w:lang w:eastAsia="zh-CN"/>
              </w:rPr>
              <w:t>分析师会议</w:t>
            </w:r>
          </w:p>
          <w:p w14:paraId="01616EAD">
            <w:pPr>
              <w:pStyle w:val="16"/>
              <w:autoSpaceDE/>
              <w:autoSpaceDN/>
              <w:spacing w:before="120" w:beforeLines="50" w:after="120" w:afterLines="50"/>
              <w:jc w:val="both"/>
              <w:rPr>
                <w:rFonts w:ascii="Times New Roman" w:hAnsi="Times New Roman"/>
                <w:lang w:eastAsia="zh-CN"/>
              </w:rPr>
            </w:pPr>
            <w:r>
              <w:rPr>
                <w:rFonts w:hint="eastAsia" w:ascii="Times New Roman" w:hAnsi="Times New Roman"/>
              </w:rPr>
              <w:sym w:font="Wingdings 2" w:char="00A3"/>
            </w:r>
            <w:r>
              <w:rPr>
                <w:rFonts w:hint="eastAsia" w:ascii="Times New Roman" w:hAnsi="Times New Roman"/>
                <w:lang w:eastAsia="zh-CN"/>
              </w:rPr>
              <w:t>业绩说明会</w:t>
            </w:r>
          </w:p>
          <w:p w14:paraId="762AEE12">
            <w:pPr>
              <w:pStyle w:val="16"/>
              <w:autoSpaceDE/>
              <w:autoSpaceDN/>
              <w:spacing w:before="120" w:beforeLines="50" w:after="120" w:afterLines="50"/>
              <w:jc w:val="both"/>
              <w:rPr>
                <w:rFonts w:ascii="Times New Roman" w:hAnsi="Times New Roman"/>
                <w:lang w:eastAsia="zh-CN"/>
              </w:rPr>
            </w:pPr>
            <w:r>
              <w:rPr>
                <w:rFonts w:hint="eastAsia" w:ascii="Times New Roman" w:hAnsi="Times New Roman"/>
              </w:rPr>
              <w:sym w:font="Wingdings 2" w:char="0052"/>
            </w:r>
            <w:r>
              <w:rPr>
                <w:rFonts w:hint="eastAsia" w:ascii="Times New Roman" w:hAnsi="Times New Roman"/>
                <w:lang w:eastAsia="zh-CN"/>
              </w:rPr>
              <w:t>路演活动</w:t>
            </w:r>
          </w:p>
          <w:p w14:paraId="397800D4">
            <w:pPr>
              <w:pStyle w:val="16"/>
              <w:autoSpaceDE/>
              <w:autoSpaceDN/>
              <w:spacing w:before="120" w:beforeLines="50" w:after="120" w:afterLines="50"/>
              <w:jc w:val="both"/>
              <w:rPr>
                <w:rFonts w:ascii="Times New Roman" w:hAnsi="Times New Roman"/>
                <w:lang w:eastAsia="zh-CN"/>
              </w:rPr>
            </w:pPr>
            <w:r>
              <w:rPr>
                <w:rFonts w:hint="eastAsia" w:ascii="Times New Roman" w:hAnsi="Times New Roman"/>
              </w:rPr>
              <w:sym w:font="Wingdings 2" w:char="00A3"/>
            </w:r>
            <w:r>
              <w:rPr>
                <w:rFonts w:hint="eastAsia" w:ascii="Times New Roman" w:hAnsi="Times New Roman"/>
                <w:lang w:eastAsia="zh-CN"/>
              </w:rPr>
              <w:t>其他</w:t>
            </w:r>
          </w:p>
        </w:tc>
      </w:tr>
      <w:tr w14:paraId="73928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171" w:type="dxa"/>
            <w:vAlign w:val="center"/>
          </w:tcPr>
          <w:p w14:paraId="6615185F">
            <w:pPr>
              <w:pStyle w:val="16"/>
              <w:spacing w:line="360" w:lineRule="auto"/>
              <w:jc w:val="center"/>
              <w:rPr>
                <w:rFonts w:ascii="Times New Roman" w:hAnsi="Times New Roman"/>
                <w:lang w:eastAsia="zh-CN"/>
              </w:rPr>
            </w:pPr>
            <w:r>
              <w:rPr>
                <w:rFonts w:hint="eastAsia" w:ascii="Times New Roman" w:hAnsi="Times New Roman"/>
                <w:b/>
                <w:bCs/>
                <w:lang w:eastAsia="zh-CN"/>
              </w:rPr>
              <w:t>参与单位名称</w:t>
            </w:r>
          </w:p>
          <w:p w14:paraId="5254F3E4">
            <w:pPr>
              <w:pStyle w:val="16"/>
              <w:spacing w:line="360" w:lineRule="auto"/>
              <w:jc w:val="center"/>
              <w:rPr>
                <w:rFonts w:ascii="Times New Roman" w:hAnsi="Times New Roman"/>
                <w:lang w:eastAsia="zh-CN"/>
              </w:rPr>
            </w:pPr>
            <w:r>
              <w:rPr>
                <w:rFonts w:hint="eastAsia" w:ascii="Times New Roman" w:hAnsi="Times New Roman"/>
                <w:b/>
                <w:bCs/>
                <w:lang w:eastAsia="zh-CN"/>
              </w:rPr>
              <w:t>及人员姓名</w:t>
            </w:r>
          </w:p>
        </w:tc>
        <w:tc>
          <w:tcPr>
            <w:tcW w:w="6124" w:type="dxa"/>
            <w:gridSpan w:val="2"/>
            <w:vAlign w:val="center"/>
          </w:tcPr>
          <w:p w14:paraId="4EC0B70A">
            <w:pPr>
              <w:pStyle w:val="16"/>
              <w:autoSpaceDE/>
              <w:autoSpaceDN/>
              <w:spacing w:line="360" w:lineRule="auto"/>
              <w:jc w:val="center"/>
              <w:rPr>
                <w:rFonts w:hint="eastAsia"/>
                <w:lang w:eastAsia="zh-CN"/>
              </w:rPr>
            </w:pPr>
            <w:r>
              <w:rPr>
                <w:rFonts w:hint="eastAsia"/>
                <w:lang w:eastAsia="zh-CN"/>
              </w:rPr>
              <w:t>平安资管 马继愈</w:t>
            </w:r>
            <w:r>
              <w:rPr>
                <w:rFonts w:hint="eastAsia"/>
                <w:lang w:eastAsia="zh-CN"/>
              </w:rPr>
              <w:br w:type="textWrapping"/>
            </w:r>
            <w:r>
              <w:rPr>
                <w:rFonts w:hint="eastAsia"/>
                <w:lang w:eastAsia="zh-CN"/>
              </w:rPr>
              <w:t>平安资管 蒋正山</w:t>
            </w:r>
          </w:p>
          <w:p w14:paraId="4607B97D">
            <w:pPr>
              <w:pStyle w:val="16"/>
              <w:autoSpaceDE/>
              <w:autoSpaceDN/>
              <w:spacing w:line="360" w:lineRule="auto"/>
              <w:jc w:val="center"/>
              <w:rPr>
                <w:rFonts w:hint="eastAsia"/>
                <w:lang w:eastAsia="zh-CN"/>
              </w:rPr>
            </w:pPr>
            <w:r>
              <w:rPr>
                <w:rFonts w:hint="eastAsia"/>
                <w:lang w:eastAsia="zh-CN"/>
              </w:rPr>
              <w:t>平安资管 周斌</w:t>
            </w:r>
          </w:p>
          <w:p w14:paraId="7C6D222B">
            <w:pPr>
              <w:pStyle w:val="16"/>
              <w:autoSpaceDE/>
              <w:autoSpaceDN/>
              <w:spacing w:line="360" w:lineRule="auto"/>
              <w:jc w:val="center"/>
              <w:rPr>
                <w:rFonts w:hint="eastAsia"/>
                <w:lang w:eastAsia="zh-CN"/>
              </w:rPr>
            </w:pPr>
            <w:r>
              <w:rPr>
                <w:rFonts w:hint="eastAsia"/>
                <w:lang w:eastAsia="zh-CN"/>
              </w:rPr>
              <w:t>国寿养老 刘统</w:t>
            </w:r>
          </w:p>
          <w:p w14:paraId="28F787B3">
            <w:pPr>
              <w:pStyle w:val="16"/>
              <w:autoSpaceDE/>
              <w:autoSpaceDN/>
              <w:spacing w:line="360" w:lineRule="auto"/>
              <w:jc w:val="center"/>
              <w:rPr>
                <w:rFonts w:hint="eastAsia"/>
                <w:lang w:eastAsia="zh-CN"/>
              </w:rPr>
            </w:pPr>
            <w:r>
              <w:rPr>
                <w:rFonts w:hint="eastAsia"/>
                <w:lang w:eastAsia="zh-CN"/>
              </w:rPr>
              <w:t>建信养老 王国信</w:t>
            </w:r>
          </w:p>
          <w:p w14:paraId="0F360438">
            <w:pPr>
              <w:pStyle w:val="16"/>
              <w:autoSpaceDE/>
              <w:autoSpaceDN/>
              <w:spacing w:line="360" w:lineRule="auto"/>
              <w:jc w:val="center"/>
              <w:rPr>
                <w:rFonts w:hint="eastAsia"/>
                <w:lang w:eastAsia="zh-CN" w:bidi="ar"/>
              </w:rPr>
            </w:pPr>
            <w:r>
              <w:rPr>
                <w:rFonts w:hint="eastAsia"/>
                <w:lang w:eastAsia="zh-CN"/>
              </w:rPr>
              <w:t xml:space="preserve">富国基金 </w:t>
            </w:r>
            <w:r>
              <w:rPr>
                <w:rFonts w:hint="eastAsia"/>
                <w:lang w:eastAsia="zh-CN" w:bidi="ar"/>
              </w:rPr>
              <w:t>吴栋栋</w:t>
            </w:r>
          </w:p>
          <w:p w14:paraId="572568CC">
            <w:pPr>
              <w:pStyle w:val="16"/>
              <w:autoSpaceDE/>
              <w:autoSpaceDN/>
              <w:spacing w:line="360" w:lineRule="auto"/>
              <w:jc w:val="center"/>
              <w:rPr>
                <w:rFonts w:hint="eastAsia"/>
                <w:lang w:eastAsia="zh-CN" w:bidi="ar"/>
              </w:rPr>
            </w:pPr>
            <w:r>
              <w:rPr>
                <w:rFonts w:hint="eastAsia"/>
                <w:lang w:eastAsia="zh-CN" w:bidi="ar"/>
              </w:rPr>
              <w:t>富国基金 邹杰伟</w:t>
            </w:r>
          </w:p>
          <w:p w14:paraId="298FE108">
            <w:pPr>
              <w:pStyle w:val="16"/>
              <w:autoSpaceDE/>
              <w:autoSpaceDN/>
              <w:spacing w:line="360" w:lineRule="auto"/>
              <w:jc w:val="center"/>
              <w:rPr>
                <w:rFonts w:hint="eastAsia"/>
                <w:lang w:eastAsia="zh-CN" w:bidi="ar"/>
              </w:rPr>
            </w:pPr>
            <w:r>
              <w:rPr>
                <w:rFonts w:hint="eastAsia"/>
                <w:lang w:eastAsia="zh-CN" w:bidi="ar"/>
              </w:rPr>
              <w:t>华宝基金 孙鸢</w:t>
            </w:r>
          </w:p>
        </w:tc>
      </w:tr>
      <w:tr w14:paraId="6A225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2171" w:type="dxa"/>
            <w:vAlign w:val="center"/>
          </w:tcPr>
          <w:p w14:paraId="579C780A">
            <w:pPr>
              <w:pStyle w:val="16"/>
              <w:autoSpaceDE/>
              <w:autoSpaceDN/>
              <w:jc w:val="center"/>
              <w:rPr>
                <w:rFonts w:ascii="Times New Roman" w:hAnsi="Times New Roman"/>
              </w:rPr>
            </w:pPr>
            <w:r>
              <w:rPr>
                <w:rFonts w:hint="eastAsia" w:ascii="Times New Roman" w:hAnsi="Times New Roman"/>
                <w:b/>
                <w:bCs/>
              </w:rPr>
              <w:t>时间</w:t>
            </w:r>
          </w:p>
        </w:tc>
        <w:tc>
          <w:tcPr>
            <w:tcW w:w="6124" w:type="dxa"/>
            <w:gridSpan w:val="2"/>
          </w:tcPr>
          <w:p w14:paraId="28B60674">
            <w:pPr>
              <w:pStyle w:val="16"/>
              <w:autoSpaceDE/>
              <w:autoSpaceDN/>
              <w:spacing w:before="139" w:line="221" w:lineRule="auto"/>
              <w:jc w:val="center"/>
              <w:rPr>
                <w:rFonts w:ascii="Times New Roman" w:hAnsi="Times New Roman"/>
                <w:lang w:eastAsia="zh-CN"/>
              </w:rPr>
            </w:pPr>
            <w:r>
              <w:rPr>
                <w:rFonts w:hint="eastAsia" w:ascii="Times New Roman" w:hAnsi="Times New Roman"/>
                <w:lang w:eastAsia="zh-CN"/>
              </w:rPr>
              <w:t>2026年11月4日</w:t>
            </w:r>
          </w:p>
        </w:tc>
      </w:tr>
      <w:tr w14:paraId="1491B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2171" w:type="dxa"/>
            <w:vAlign w:val="center"/>
          </w:tcPr>
          <w:p w14:paraId="43404B43">
            <w:pPr>
              <w:pStyle w:val="16"/>
              <w:autoSpaceDE/>
              <w:autoSpaceDN/>
              <w:jc w:val="center"/>
              <w:rPr>
                <w:rFonts w:ascii="Times New Roman" w:hAnsi="Times New Roman"/>
              </w:rPr>
            </w:pPr>
            <w:r>
              <w:rPr>
                <w:rFonts w:hint="eastAsia" w:ascii="Times New Roman" w:hAnsi="Times New Roman"/>
                <w:b/>
                <w:bCs/>
              </w:rPr>
              <w:t>地点</w:t>
            </w:r>
          </w:p>
        </w:tc>
        <w:tc>
          <w:tcPr>
            <w:tcW w:w="6124" w:type="dxa"/>
            <w:gridSpan w:val="2"/>
            <w:vAlign w:val="center"/>
          </w:tcPr>
          <w:p w14:paraId="149433BE">
            <w:pPr>
              <w:pStyle w:val="16"/>
              <w:spacing w:before="78" w:line="219" w:lineRule="auto"/>
              <w:jc w:val="center"/>
              <w:rPr>
                <w:rFonts w:ascii="Times New Roman" w:hAnsi="Times New Roman"/>
                <w:lang w:eastAsia="zh-CN"/>
              </w:rPr>
            </w:pPr>
            <w:r>
              <w:rPr>
                <w:rFonts w:hint="eastAsia"/>
                <w:lang w:eastAsia="zh-CN"/>
              </w:rPr>
              <w:t>上海</w:t>
            </w:r>
          </w:p>
        </w:tc>
      </w:tr>
      <w:tr w14:paraId="3AAFB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2171" w:type="dxa"/>
            <w:vAlign w:val="center"/>
          </w:tcPr>
          <w:p w14:paraId="7859184F">
            <w:pPr>
              <w:pStyle w:val="16"/>
              <w:autoSpaceDE/>
              <w:autoSpaceDN/>
              <w:jc w:val="center"/>
              <w:rPr>
                <w:rFonts w:ascii="Times New Roman" w:hAnsi="Times New Roman"/>
                <w:lang w:eastAsia="zh-CN"/>
              </w:rPr>
            </w:pPr>
            <w:r>
              <w:rPr>
                <w:rFonts w:hint="eastAsia" w:ascii="Times New Roman" w:hAnsi="Times New Roman"/>
                <w:b/>
                <w:bCs/>
                <w:lang w:eastAsia="zh-CN"/>
              </w:rPr>
              <w:t>上市公司接待人员姓名</w:t>
            </w:r>
          </w:p>
        </w:tc>
        <w:tc>
          <w:tcPr>
            <w:tcW w:w="6124" w:type="dxa"/>
            <w:gridSpan w:val="2"/>
            <w:vAlign w:val="center"/>
          </w:tcPr>
          <w:p w14:paraId="58D997A9">
            <w:pPr>
              <w:pStyle w:val="16"/>
              <w:autoSpaceDE/>
              <w:autoSpaceDN/>
              <w:spacing w:line="360" w:lineRule="auto"/>
              <w:ind w:firstLine="840" w:firstLineChars="350"/>
              <w:rPr>
                <w:rFonts w:ascii="Times New Roman" w:hAnsi="Times New Roman"/>
                <w:lang w:eastAsia="zh-CN"/>
              </w:rPr>
            </w:pPr>
            <w:r>
              <w:rPr>
                <w:rFonts w:hint="eastAsia" w:ascii="Times New Roman" w:hAnsi="Times New Roman"/>
                <w:lang w:eastAsia="zh-CN"/>
              </w:rPr>
              <w:t>副总裁、子公司晶禧半导体总经理 陶为银</w:t>
            </w:r>
          </w:p>
          <w:p w14:paraId="2C58231A">
            <w:pPr>
              <w:pStyle w:val="16"/>
              <w:autoSpaceDE/>
              <w:autoSpaceDN/>
              <w:spacing w:line="360" w:lineRule="auto"/>
              <w:ind w:firstLine="840" w:firstLineChars="350"/>
              <w:rPr>
                <w:rFonts w:ascii="Times New Roman" w:hAnsi="Times New Roman"/>
                <w:lang w:eastAsia="zh-CN"/>
              </w:rPr>
            </w:pPr>
            <w:r>
              <w:rPr>
                <w:rFonts w:hint="eastAsia" w:ascii="Times New Roman" w:hAnsi="Times New Roman"/>
                <w:lang w:eastAsia="zh-CN"/>
              </w:rPr>
              <w:t>副总裁、财务总监兼董事会秘书 张侃</w:t>
            </w:r>
          </w:p>
          <w:p w14:paraId="52E76DB0">
            <w:pPr>
              <w:pStyle w:val="16"/>
              <w:autoSpaceDE/>
              <w:autoSpaceDN/>
              <w:spacing w:line="360" w:lineRule="auto"/>
              <w:ind w:firstLine="840" w:firstLineChars="350"/>
              <w:rPr>
                <w:rFonts w:ascii="Times New Roman" w:hAnsi="Times New Roman"/>
                <w:lang w:eastAsia="zh-CN"/>
              </w:rPr>
            </w:pPr>
            <w:r>
              <w:rPr>
                <w:rFonts w:hint="eastAsia" w:ascii="Times New Roman" w:hAnsi="Times New Roman"/>
                <w:lang w:eastAsia="zh-CN"/>
              </w:rPr>
              <w:t>子公司晶禧半导体执行董事兼常务副总经理 林静</w:t>
            </w:r>
          </w:p>
          <w:p w14:paraId="68413A68">
            <w:pPr>
              <w:pStyle w:val="16"/>
              <w:autoSpaceDE/>
              <w:autoSpaceDN/>
              <w:spacing w:line="360" w:lineRule="auto"/>
              <w:ind w:firstLine="840" w:firstLineChars="350"/>
              <w:rPr>
                <w:rFonts w:ascii="Times New Roman" w:hAnsi="Times New Roman"/>
                <w:lang w:eastAsia="zh-CN"/>
              </w:rPr>
            </w:pPr>
            <w:r>
              <w:rPr>
                <w:rFonts w:hint="eastAsia" w:ascii="Times New Roman" w:hAnsi="Times New Roman"/>
                <w:lang w:eastAsia="zh-CN"/>
              </w:rPr>
              <w:t>董事会办公室副主任、证券事务代表 衡欢乐</w:t>
            </w:r>
          </w:p>
        </w:tc>
      </w:tr>
      <w:tr w14:paraId="248583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2171" w:type="dxa"/>
            <w:vAlign w:val="center"/>
          </w:tcPr>
          <w:p w14:paraId="076E5011">
            <w:pPr>
              <w:pStyle w:val="16"/>
              <w:autoSpaceDE/>
              <w:autoSpaceDN/>
              <w:jc w:val="center"/>
              <w:rPr>
                <w:rFonts w:ascii="Times New Roman" w:hAnsi="Times New Roman"/>
                <w:lang w:eastAsia="zh-CN"/>
              </w:rPr>
            </w:pPr>
            <w:r>
              <w:rPr>
                <w:rFonts w:hint="eastAsia" w:ascii="Times New Roman" w:hAnsi="Times New Roman"/>
                <w:b/>
                <w:bCs/>
                <w:lang w:eastAsia="zh-CN"/>
              </w:rPr>
              <w:t>投资者关系活动主要内容介绍</w:t>
            </w:r>
          </w:p>
        </w:tc>
        <w:tc>
          <w:tcPr>
            <w:tcW w:w="6124" w:type="dxa"/>
            <w:gridSpan w:val="2"/>
          </w:tcPr>
          <w:p w14:paraId="5C5A5C94">
            <w:pPr>
              <w:kinsoku/>
              <w:overflowPunct w:val="0"/>
              <w:ind w:firstLine="482" w:firstLineChars="200"/>
              <w:jc w:val="both"/>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一、请介绍公司的基本情况及主要业务领域？</w:t>
            </w:r>
          </w:p>
          <w:p w14:paraId="264A2017">
            <w:pPr>
              <w:kinsoku/>
              <w:overflowPunct w:val="0"/>
              <w:ind w:firstLine="480" w:firstLineChars="200"/>
              <w:jc w:val="both"/>
              <w:rPr>
                <w:rFonts w:hint="eastAsia" w:ascii="宋体" w:hAnsi="宋体" w:eastAsia="宋体"/>
                <w:sz w:val="24"/>
                <w:lang w:eastAsia="zh-CN"/>
              </w:rPr>
            </w:pPr>
            <w:r>
              <w:rPr>
                <w:rFonts w:ascii="宋体" w:hAnsi="宋体" w:eastAsia="宋体"/>
                <w:sz w:val="24"/>
                <w:lang w:eastAsia="zh-CN"/>
              </w:rPr>
              <w:t>回复：</w:t>
            </w:r>
          </w:p>
          <w:p w14:paraId="7B566976">
            <w:pPr>
              <w:kinsoku/>
              <w:overflowPunct w:val="0"/>
              <w:ind w:firstLine="480" w:firstLineChars="200"/>
              <w:jc w:val="both"/>
              <w:rPr>
                <w:rFonts w:hint="eastAsia" w:ascii="宋体" w:hAnsi="宋体" w:eastAsia="宋体"/>
                <w:sz w:val="24"/>
                <w:lang w:eastAsia="zh-CN"/>
              </w:rPr>
            </w:pPr>
            <w:r>
              <w:rPr>
                <w:rFonts w:hint="eastAsia" w:ascii="宋体" w:hAnsi="宋体" w:eastAsia="宋体"/>
                <w:sz w:val="24"/>
                <w:lang w:eastAsia="zh-CN"/>
              </w:rPr>
              <w:t>北京九州一轨环境科技股份有限公司（以下简称“公司”）是一家以声学研究为基础，围绕噪声振动物理防治和声纹数字化监测开展业务的科创板上市企业。在减振降噪领域，公司主要面向城市轨道交通、工业及民用建筑、TOD上盖开发项目(轨道结构、建筑结构及设备结构)等领域提供钢弹簧浮置道床减振系统、预制式钢弹簧浮置板、隔离式高弹性减振垫、聚氨酯减振垫等产品及相关技术服务；在声纹数字化监测领域，公司运用人工智能技术、声纹数据和状态监测体系，针对城市轨道交通、油田井筒等领域开展智慧运维、病害治理和结构安全方面的研究、开发和专业服务。</w:t>
            </w:r>
          </w:p>
          <w:p w14:paraId="0350C844">
            <w:pPr>
              <w:kinsoku/>
              <w:overflowPunct w:val="0"/>
              <w:ind w:firstLine="480" w:firstLineChars="200"/>
              <w:jc w:val="both"/>
              <w:rPr>
                <w:rFonts w:hint="eastAsia" w:ascii="宋体" w:hAnsi="宋体" w:eastAsia="宋体"/>
                <w:sz w:val="24"/>
                <w:lang w:eastAsia="zh-CN"/>
              </w:rPr>
            </w:pPr>
            <w:r>
              <w:rPr>
                <w:rFonts w:hint="eastAsia" w:ascii="宋体" w:hAnsi="宋体" w:eastAsia="宋体"/>
                <w:sz w:val="24"/>
                <w:lang w:eastAsia="zh-CN"/>
              </w:rPr>
              <w:t>2026年，公司完成对</w:t>
            </w:r>
            <w:r>
              <w:rPr>
                <w:rFonts w:ascii="宋体" w:hAnsi="宋体" w:eastAsia="宋体"/>
                <w:sz w:val="24"/>
                <w:lang w:eastAsia="zh-CN"/>
              </w:rPr>
              <w:t>苏州晶禧半导体科技有限公司（以下简称“晶禧半导体”）</w:t>
            </w:r>
            <w:r>
              <w:rPr>
                <w:rFonts w:hint="eastAsia" w:ascii="宋体" w:hAnsi="宋体" w:eastAsia="宋体"/>
                <w:sz w:val="24"/>
                <w:lang w:eastAsia="zh-CN"/>
              </w:rPr>
              <w:t>100%股权的收购，在原有减振降噪、声纹监测及智慧运维等业务基础上，进一步拓展半导体精密加工业务，逐步丰富公司的产品与服务体系。</w:t>
            </w:r>
          </w:p>
          <w:p w14:paraId="44E53AB8">
            <w:pPr>
              <w:kinsoku/>
              <w:overflowPunct w:val="0"/>
              <w:ind w:firstLine="482" w:firstLineChars="200"/>
              <w:jc w:val="both"/>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二、公司轨道交通减振降噪业务的经营模式是怎样的？</w:t>
            </w:r>
          </w:p>
          <w:p w14:paraId="0A697B42">
            <w:pPr>
              <w:kinsoku/>
              <w:overflowPunct w:val="0"/>
              <w:ind w:firstLine="480" w:firstLineChars="200"/>
              <w:jc w:val="both"/>
              <w:rPr>
                <w:rFonts w:hint="eastAsia" w:ascii="宋体" w:hAnsi="宋体" w:eastAsia="宋体"/>
                <w:sz w:val="24"/>
                <w:lang w:eastAsia="zh-CN"/>
              </w:rPr>
            </w:pPr>
            <w:r>
              <w:rPr>
                <w:rFonts w:ascii="宋体" w:hAnsi="宋体" w:eastAsia="宋体"/>
                <w:sz w:val="24"/>
                <w:lang w:eastAsia="zh-CN"/>
              </w:rPr>
              <w:t>回复：</w:t>
            </w:r>
          </w:p>
          <w:p w14:paraId="1A86FF9E">
            <w:pPr>
              <w:kinsoku/>
              <w:overflowPunct w:val="0"/>
              <w:ind w:firstLine="480" w:firstLineChars="200"/>
              <w:jc w:val="both"/>
              <w:rPr>
                <w:rFonts w:hint="eastAsia" w:ascii="宋体" w:hAnsi="宋体" w:eastAsia="宋体"/>
                <w:sz w:val="24"/>
                <w:lang w:eastAsia="zh-CN"/>
              </w:rPr>
            </w:pPr>
            <w:r>
              <w:rPr>
                <w:rFonts w:ascii="宋体" w:hAnsi="宋体" w:eastAsia="宋体"/>
                <w:sz w:val="24"/>
                <w:lang w:eastAsia="zh-CN"/>
              </w:rPr>
              <w:t>在采购方面，公司采取</w:t>
            </w:r>
            <w:r>
              <w:rPr>
                <w:rFonts w:hint="eastAsia" w:ascii="宋体" w:hAnsi="宋体" w:eastAsia="宋体"/>
                <w:sz w:val="24"/>
                <w:lang w:eastAsia="zh-CN"/>
              </w:rPr>
              <w:t>“以销定采、适度备货”</w:t>
            </w:r>
            <w:r>
              <w:rPr>
                <w:rFonts w:ascii="宋体" w:hAnsi="宋体" w:eastAsia="宋体"/>
                <w:sz w:val="24"/>
                <w:lang w:eastAsia="zh-CN"/>
              </w:rPr>
              <w:t>的采购模式，</w:t>
            </w:r>
            <w:r>
              <w:rPr>
                <w:rFonts w:hint="eastAsia" w:ascii="宋体" w:hAnsi="宋体" w:eastAsia="宋体"/>
                <w:sz w:val="24"/>
                <w:lang w:eastAsia="zh-CN"/>
              </w:rPr>
              <w:t>根据项目需求、生产计划及安全库存安排开展物资采购。</w:t>
            </w:r>
            <w:r>
              <w:rPr>
                <w:rFonts w:ascii="宋体" w:hAnsi="宋体" w:eastAsia="宋体"/>
                <w:sz w:val="24"/>
                <w:lang w:eastAsia="zh-CN"/>
              </w:rPr>
              <w:t>由于减振降噪治理方案需要根据场景进行个性化设计，</w:t>
            </w:r>
            <w:r>
              <w:rPr>
                <w:rFonts w:hint="eastAsia" w:ascii="宋体" w:hAnsi="宋体" w:eastAsia="宋体"/>
                <w:sz w:val="24"/>
                <w:lang w:eastAsia="zh-CN"/>
              </w:rPr>
              <w:t>因此</w:t>
            </w:r>
            <w:r>
              <w:rPr>
                <w:rFonts w:ascii="宋体" w:hAnsi="宋体" w:eastAsia="宋体"/>
                <w:sz w:val="24"/>
                <w:lang w:eastAsia="zh-CN"/>
              </w:rPr>
              <w:t>物资采购具有较强的定制化特点，原则上选择不少于3家供应商进行询价、比价</w:t>
            </w:r>
            <w:r>
              <w:rPr>
                <w:rFonts w:hint="eastAsia" w:ascii="宋体" w:hAnsi="宋体" w:eastAsia="宋体"/>
                <w:sz w:val="24"/>
                <w:lang w:eastAsia="zh-CN"/>
              </w:rPr>
              <w:t>和</w:t>
            </w:r>
            <w:r>
              <w:rPr>
                <w:rFonts w:ascii="宋体" w:hAnsi="宋体" w:eastAsia="宋体"/>
                <w:sz w:val="24"/>
                <w:lang w:eastAsia="zh-CN"/>
              </w:rPr>
              <w:t>议价；在生产方面，公司推行以销定产的生产模式，结合各产品销售计划、月度发货数据，联动库存动态与生产执行进度，对生产计划进行制定与动态调整</w:t>
            </w:r>
            <w:r>
              <w:rPr>
                <w:rFonts w:hint="eastAsia" w:ascii="宋体" w:hAnsi="宋体" w:eastAsia="宋体"/>
                <w:sz w:val="24"/>
                <w:lang w:eastAsia="zh-CN"/>
              </w:rPr>
              <w:t>；</w:t>
            </w:r>
            <w:r>
              <w:rPr>
                <w:rFonts w:ascii="宋体" w:hAnsi="宋体" w:eastAsia="宋体"/>
                <w:sz w:val="24"/>
                <w:lang w:eastAsia="zh-CN"/>
              </w:rPr>
              <w:t>在销售方面，公司已在国内建成以北京总部为核心，覆盖广州、郑州、上海、深圳等地的营销网络与售后服务体系，业务主要通过招投标、竞争性谈判等市场竞争方式取得，并逐步由产品销售向解决方案式销售转型。</w:t>
            </w:r>
          </w:p>
          <w:p w14:paraId="290A8B59">
            <w:pPr>
              <w:kinsoku/>
              <w:overflowPunct w:val="0"/>
              <w:ind w:firstLine="482" w:firstLineChars="200"/>
              <w:jc w:val="both"/>
              <w:rPr>
                <w:rFonts w:hint="eastAsia" w:ascii="宋体" w:hAnsi="宋体" w:eastAsia="宋体" w:cs="宋体"/>
                <w:b/>
                <w:bCs/>
                <w:sz w:val="24"/>
                <w:szCs w:val="24"/>
                <w:lang w:eastAsia="zh-CN"/>
              </w:rPr>
            </w:pPr>
            <w:r>
              <w:rPr>
                <w:rFonts w:ascii="宋体" w:hAnsi="宋体" w:eastAsia="宋体" w:cs="宋体"/>
                <w:b/>
                <w:bCs/>
                <w:sz w:val="24"/>
                <w:szCs w:val="24"/>
                <w:lang w:eastAsia="zh-CN"/>
              </w:rPr>
              <w:t>三、</w:t>
            </w:r>
            <w:r>
              <w:rPr>
                <w:rFonts w:hint="eastAsia" w:ascii="宋体" w:hAnsi="宋体" w:eastAsia="宋体" w:cs="宋体"/>
                <w:b/>
                <w:bCs/>
                <w:sz w:val="24"/>
                <w:szCs w:val="24"/>
                <w:lang w:eastAsia="zh-CN"/>
              </w:rPr>
              <w:t>请介绍一下公司目前的股东结构和前十大股东情况？</w:t>
            </w:r>
          </w:p>
          <w:p w14:paraId="14909B65">
            <w:pPr>
              <w:kinsoku/>
              <w:overflowPunct w:val="0"/>
              <w:ind w:firstLine="480" w:firstLineChars="200"/>
              <w:jc w:val="both"/>
              <w:rPr>
                <w:rFonts w:hint="eastAsia" w:ascii="宋体" w:hAnsi="宋体" w:eastAsia="宋体"/>
                <w:sz w:val="24"/>
                <w:lang w:eastAsia="zh-CN"/>
              </w:rPr>
            </w:pPr>
            <w:r>
              <w:rPr>
                <w:rFonts w:ascii="宋体" w:hAnsi="宋体" w:eastAsia="宋体"/>
                <w:sz w:val="24"/>
                <w:lang w:eastAsia="zh-CN"/>
              </w:rPr>
              <w:t>回复：</w:t>
            </w:r>
          </w:p>
          <w:p w14:paraId="0AA61ECD">
            <w:pPr>
              <w:kinsoku/>
              <w:overflowPunct w:val="0"/>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公司股权结构较为多元，</w:t>
            </w:r>
            <w:r>
              <w:rPr>
                <w:rFonts w:ascii="宋体" w:hAnsi="宋体" w:eastAsia="宋体" w:cs="宋体"/>
                <w:sz w:val="24"/>
                <w:szCs w:val="24"/>
                <w:lang w:eastAsia="zh-CN"/>
              </w:rPr>
              <w:t>无控股股东、实际控制人</w:t>
            </w:r>
            <w:r>
              <w:rPr>
                <w:rFonts w:hint="eastAsia" w:ascii="宋体" w:hAnsi="宋体" w:eastAsia="宋体" w:cs="宋体"/>
                <w:sz w:val="24"/>
                <w:szCs w:val="24"/>
                <w:lang w:eastAsia="zh-CN"/>
              </w:rPr>
              <w:t>，形成了国有资本、轨道交通产业资本、科研院所、市场化基金、管理层及核心骨干等共同参与的混合所有制格局。</w:t>
            </w:r>
            <w:r>
              <w:rPr>
                <w:rFonts w:ascii="宋体" w:hAnsi="宋体" w:eastAsia="宋体" w:cs="宋体"/>
                <w:sz w:val="24"/>
                <w:szCs w:val="24"/>
                <w:lang w:eastAsia="zh-CN"/>
              </w:rPr>
              <w:t>截至</w:t>
            </w:r>
            <w:r>
              <w:rPr>
                <w:rFonts w:hint="eastAsia" w:ascii="宋体" w:hAnsi="宋体" w:eastAsia="宋体" w:cs="宋体"/>
                <w:sz w:val="24"/>
                <w:szCs w:val="24"/>
                <w:lang w:eastAsia="zh-CN"/>
              </w:rPr>
              <w:t>2026年</w:t>
            </w:r>
            <w:r>
              <w:rPr>
                <w:rFonts w:hint="eastAsia" w:ascii="宋体" w:hAnsi="宋体" w:cs="宋体"/>
                <w:sz w:val="24"/>
                <w:szCs w:val="24"/>
                <w:lang w:eastAsia="zh-CN"/>
              </w:rPr>
              <w:t>9</w:t>
            </w:r>
            <w:r>
              <w:rPr>
                <w:rFonts w:hint="eastAsia" w:ascii="宋体" w:hAnsi="宋体" w:eastAsia="宋体" w:cs="宋体"/>
                <w:sz w:val="24"/>
                <w:szCs w:val="24"/>
                <w:lang w:eastAsia="zh-CN"/>
              </w:rPr>
              <w:t>月</w:t>
            </w:r>
            <w:r>
              <w:rPr>
                <w:rFonts w:hint="eastAsia" w:ascii="宋体" w:hAnsi="宋体" w:cs="宋体"/>
                <w:sz w:val="24"/>
                <w:szCs w:val="24"/>
                <w:lang w:eastAsia="zh-CN"/>
              </w:rPr>
              <w:t>30</w:t>
            </w:r>
            <w:r>
              <w:rPr>
                <w:rFonts w:hint="eastAsia" w:ascii="宋体" w:hAnsi="宋体" w:eastAsia="宋体" w:cs="宋体"/>
                <w:sz w:val="24"/>
                <w:szCs w:val="24"/>
                <w:lang w:eastAsia="zh-CN"/>
              </w:rPr>
              <w:t>日</w:t>
            </w:r>
            <w:r>
              <w:rPr>
                <w:rFonts w:ascii="宋体" w:hAnsi="宋体" w:eastAsia="宋体" w:cs="宋体"/>
                <w:sz w:val="24"/>
                <w:szCs w:val="24"/>
                <w:lang w:eastAsia="zh-CN"/>
              </w:rPr>
              <w:t>，公司前</w:t>
            </w:r>
            <w:r>
              <w:rPr>
                <w:rFonts w:hint="eastAsia" w:ascii="宋体" w:hAnsi="宋体" w:eastAsia="宋体" w:cs="宋体"/>
                <w:sz w:val="24"/>
                <w:szCs w:val="24"/>
                <w:lang w:eastAsia="zh-CN"/>
              </w:rPr>
              <w:t>十</w:t>
            </w:r>
            <w:r>
              <w:rPr>
                <w:rFonts w:ascii="宋体" w:hAnsi="宋体" w:eastAsia="宋体" w:cs="宋体"/>
                <w:sz w:val="24"/>
                <w:szCs w:val="24"/>
                <w:lang w:eastAsia="zh-CN"/>
              </w:rPr>
              <w:t>大股东分别为北京市基础设施投资有限公司、广州轨道交通产业投资发展基金</w:t>
            </w:r>
            <w:r>
              <w:rPr>
                <w:rFonts w:hint="eastAsia" w:ascii="宋体" w:hAnsi="宋体" w:eastAsia="宋体" w:cs="宋体"/>
                <w:sz w:val="24"/>
                <w:szCs w:val="24"/>
                <w:lang w:eastAsia="zh-CN"/>
              </w:rPr>
              <w:t>（有限合伙）</w:t>
            </w:r>
            <w:r>
              <w:rPr>
                <w:rFonts w:ascii="宋体" w:hAnsi="宋体" w:eastAsia="宋体" w:cs="宋体"/>
                <w:sz w:val="24"/>
                <w:szCs w:val="24"/>
                <w:lang w:eastAsia="zh-CN"/>
              </w:rPr>
              <w:t>、北京国奥时代新能源技术发展有限公司、北京市科学技术研究院城市安全与环境科学研究所（北京市劳动保护科学研究所）、曹卫东</w:t>
            </w:r>
            <w:r>
              <w:rPr>
                <w:rFonts w:hint="eastAsia" w:ascii="宋体" w:hAnsi="宋体" w:eastAsia="宋体" w:cs="宋体"/>
                <w:sz w:val="24"/>
                <w:szCs w:val="24"/>
                <w:lang w:eastAsia="zh-CN"/>
              </w:rPr>
              <w:t>、李凡华、吴艳春、章志坚、陶为银、北京基石仲盈创业投资中心（有限合伙）。具体详见公司于2026年10月31日披露的《</w:t>
            </w:r>
            <w:r>
              <w:rPr>
                <w:rFonts w:hint="eastAsia" w:ascii="宋体" w:hAnsi="宋体"/>
                <w:sz w:val="24"/>
                <w:szCs w:val="24"/>
                <w:lang w:eastAsia="zh-CN"/>
              </w:rPr>
              <w:t>北京九州一轨环境科技股份有限公司</w:t>
            </w:r>
            <w:r>
              <w:rPr>
                <w:rFonts w:hint="eastAsia" w:ascii="宋体" w:hAnsi="宋体" w:eastAsia="宋体" w:cs="宋体"/>
                <w:sz w:val="24"/>
                <w:szCs w:val="24"/>
                <w:lang w:eastAsia="zh-CN"/>
              </w:rPr>
              <w:t>2026年第三季度报告》。</w:t>
            </w:r>
          </w:p>
          <w:p w14:paraId="2C4606A1">
            <w:pPr>
              <w:kinsoku/>
              <w:overflowPunct w:val="0"/>
              <w:ind w:firstLine="482" w:firstLineChars="200"/>
              <w:jc w:val="both"/>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四、晶禧半导体近期签订的日常经营重大合同主要内容是什么？</w:t>
            </w:r>
          </w:p>
          <w:p w14:paraId="534686A8">
            <w:pPr>
              <w:kinsoku/>
              <w:overflowPunct w:val="0"/>
              <w:ind w:firstLine="480" w:firstLineChars="200"/>
              <w:jc w:val="both"/>
              <w:rPr>
                <w:rFonts w:hint="eastAsia" w:ascii="宋体" w:hAnsi="宋体" w:eastAsia="宋体"/>
                <w:sz w:val="24"/>
                <w:lang w:eastAsia="zh-CN"/>
              </w:rPr>
            </w:pPr>
            <w:r>
              <w:rPr>
                <w:rFonts w:ascii="宋体" w:hAnsi="宋体" w:eastAsia="宋体"/>
                <w:sz w:val="24"/>
                <w:lang w:eastAsia="zh-CN"/>
              </w:rPr>
              <w:t>回复：</w:t>
            </w:r>
          </w:p>
          <w:p w14:paraId="18D8840A">
            <w:pPr>
              <w:kinsoku/>
              <w:overflowPunct w:val="0"/>
              <w:ind w:firstLine="480" w:firstLineChars="200"/>
              <w:jc w:val="both"/>
              <w:rPr>
                <w:rFonts w:hint="eastAsia" w:ascii="宋体" w:hAnsi="宋体" w:eastAsia="宋体"/>
                <w:sz w:val="24"/>
                <w:lang w:eastAsia="zh-CN"/>
              </w:rPr>
            </w:pPr>
            <w:r>
              <w:rPr>
                <w:rFonts w:ascii="宋体" w:hAnsi="宋体" w:eastAsia="宋体"/>
                <w:sz w:val="24"/>
                <w:lang w:eastAsia="zh-CN"/>
              </w:rPr>
              <w:t>晶禧半导体与光模块领域头部客户签订晶圆划片代加工服务</w:t>
            </w:r>
            <w:r>
              <w:rPr>
                <w:rFonts w:hint="eastAsia" w:ascii="宋体" w:hAnsi="宋体" w:eastAsia="宋体"/>
                <w:sz w:val="24"/>
                <w:lang w:eastAsia="zh-CN"/>
              </w:rPr>
              <w:t>项目</w:t>
            </w:r>
            <w:r>
              <w:rPr>
                <w:rFonts w:ascii="宋体" w:hAnsi="宋体" w:eastAsia="宋体"/>
                <w:sz w:val="24"/>
                <w:lang w:eastAsia="zh-CN"/>
              </w:rPr>
              <w:t>合同，合同总金额为3,407.21万元（含税）。因</w:t>
            </w:r>
            <w:r>
              <w:rPr>
                <w:rFonts w:ascii="宋体" w:hAnsi="宋体" w:eastAsia="宋体" w:cs="宋体"/>
                <w:sz w:val="24"/>
                <w:szCs w:val="24"/>
                <w:lang w:eastAsia="zh-CN"/>
              </w:rPr>
              <w:t>本次交易中客户名称涉及商业秘密</w:t>
            </w:r>
            <w:r>
              <w:rPr>
                <w:rFonts w:ascii="宋体" w:hAnsi="宋体" w:eastAsia="宋体"/>
                <w:sz w:val="24"/>
                <w:lang w:eastAsia="zh-CN"/>
              </w:rPr>
              <w:t>，</w:t>
            </w:r>
            <w:r>
              <w:rPr>
                <w:rFonts w:ascii="宋体" w:hAnsi="宋体" w:eastAsia="宋体" w:cs="宋体"/>
                <w:sz w:val="24"/>
                <w:szCs w:val="24"/>
                <w:lang w:eastAsia="zh-CN"/>
              </w:rPr>
              <w:t>公司在履行内部信息披露豁免程序后，对本次客户名称进行了豁免披露。</w:t>
            </w:r>
            <w:r>
              <w:rPr>
                <w:rFonts w:ascii="宋体" w:hAnsi="宋体" w:eastAsia="宋体"/>
                <w:sz w:val="24"/>
                <w:lang w:eastAsia="zh-CN"/>
              </w:rPr>
              <w:t>公司</w:t>
            </w:r>
            <w:r>
              <w:rPr>
                <w:rFonts w:hint="eastAsia" w:ascii="宋体" w:hAnsi="宋体" w:eastAsia="宋体"/>
                <w:sz w:val="24"/>
                <w:lang w:eastAsia="zh-CN"/>
              </w:rPr>
              <w:t>及晶禧半导体</w:t>
            </w:r>
            <w:r>
              <w:rPr>
                <w:rFonts w:ascii="宋体" w:hAnsi="宋体" w:eastAsia="宋体"/>
                <w:sz w:val="24"/>
                <w:lang w:eastAsia="zh-CN"/>
              </w:rPr>
              <w:t>与合同对方不存在关联关系。</w:t>
            </w:r>
          </w:p>
          <w:p w14:paraId="21F85F4A">
            <w:pPr>
              <w:kinsoku/>
              <w:overflowPunct w:val="0"/>
              <w:ind w:firstLine="480" w:firstLineChars="200"/>
              <w:jc w:val="both"/>
              <w:rPr>
                <w:rFonts w:hint="eastAsia" w:ascii="宋体" w:hAnsi="宋体" w:eastAsia="宋体"/>
                <w:sz w:val="24"/>
                <w:lang w:eastAsia="zh-CN"/>
              </w:rPr>
            </w:pPr>
            <w:r>
              <w:rPr>
                <w:rFonts w:hint="eastAsia" w:ascii="宋体" w:hAnsi="宋体" w:eastAsia="宋体"/>
                <w:sz w:val="24"/>
                <w:lang w:eastAsia="zh-CN"/>
              </w:rPr>
              <w:t>如本合同顺利实施，预计将对公司整体经营业绩产生积极影响，公司将根据合同的相关规定以及收入确认原则在相应的会计期间确认收入（最终以经会计师事务所审计的数据为准）。合同履行过程中仍可能受到不可抗力或其他因素影响，具体执行情况存在一定不确定性。具体</w:t>
            </w:r>
            <w:r>
              <w:rPr>
                <w:rFonts w:ascii="宋体" w:hAnsi="宋体" w:eastAsia="宋体"/>
                <w:sz w:val="24"/>
                <w:lang w:eastAsia="zh-CN"/>
              </w:rPr>
              <w:t>详见公司于2026年10月24日</w:t>
            </w:r>
            <w:r>
              <w:rPr>
                <w:rFonts w:hint="eastAsia" w:ascii="宋体" w:hAnsi="宋体" w:eastAsia="宋体"/>
                <w:sz w:val="24"/>
                <w:lang w:eastAsia="zh-CN"/>
              </w:rPr>
              <w:t>在上海证券交易所网站（www.sse.com.cn）</w:t>
            </w:r>
            <w:r>
              <w:rPr>
                <w:rFonts w:ascii="宋体" w:hAnsi="宋体" w:eastAsia="宋体"/>
                <w:sz w:val="24"/>
                <w:lang w:eastAsia="zh-CN"/>
              </w:rPr>
              <w:t>披露的《北京九州一轨环境科技股份有限公司关于全资子公司签订日常经营重大合同的公告》（公告编号：</w:t>
            </w:r>
            <w:r>
              <w:rPr>
                <w:rFonts w:hint="eastAsia" w:ascii="宋体" w:hAnsi="宋体" w:eastAsia="宋体"/>
                <w:sz w:val="24"/>
                <w:lang w:eastAsia="zh-CN"/>
              </w:rPr>
              <w:t>2026-069</w:t>
            </w:r>
            <w:r>
              <w:rPr>
                <w:rFonts w:ascii="宋体" w:hAnsi="宋体" w:eastAsia="宋体"/>
                <w:sz w:val="24"/>
                <w:lang w:eastAsia="zh-CN"/>
              </w:rPr>
              <w:t>）。</w:t>
            </w:r>
          </w:p>
          <w:p w14:paraId="74086024">
            <w:pPr>
              <w:kinsoku/>
              <w:overflowPunct w:val="0"/>
              <w:ind w:firstLine="482" w:firstLineChars="200"/>
              <w:jc w:val="both"/>
              <w:rPr>
                <w:rFonts w:hint="eastAsia" w:ascii="宋体" w:hAnsi="宋体" w:eastAsia="宋体"/>
                <w:b/>
                <w:bCs/>
                <w:sz w:val="24"/>
                <w:szCs w:val="24"/>
                <w:lang w:eastAsia="zh-CN"/>
              </w:rPr>
            </w:pPr>
            <w:r>
              <w:rPr>
                <w:rFonts w:hint="eastAsia" w:ascii="宋体" w:hAnsi="宋体" w:eastAsia="宋体" w:cs="宋体"/>
                <w:b/>
                <w:bCs/>
                <w:sz w:val="24"/>
                <w:szCs w:val="24"/>
                <w:lang w:eastAsia="zh-CN" w:bidi="ar"/>
              </w:rPr>
              <w:t>五、晶禧半导体纳入公司合并报表后的经营业绩情况如何？</w:t>
            </w:r>
          </w:p>
          <w:p w14:paraId="5445C5CE">
            <w:pPr>
              <w:kinsoku/>
              <w:overflowPunct w:val="0"/>
              <w:ind w:firstLine="480" w:firstLineChars="200"/>
              <w:jc w:val="both"/>
              <w:rPr>
                <w:rFonts w:hint="eastAsia" w:ascii="宋体" w:hAnsi="宋体" w:eastAsia="宋体"/>
                <w:sz w:val="24"/>
                <w:szCs w:val="24"/>
                <w:lang w:eastAsia="zh-CN"/>
              </w:rPr>
            </w:pPr>
            <w:r>
              <w:rPr>
                <w:rFonts w:hint="eastAsia" w:ascii="宋体" w:hAnsi="宋体" w:eastAsia="宋体" w:cs="宋体"/>
                <w:sz w:val="24"/>
                <w:szCs w:val="24"/>
                <w:lang w:eastAsia="zh-CN" w:bidi="ar"/>
              </w:rPr>
              <w:t>回复：</w:t>
            </w:r>
          </w:p>
          <w:p w14:paraId="1796EA76">
            <w:pPr>
              <w:kinsoku/>
              <w:overflowPunct w:val="0"/>
              <w:ind w:firstLine="480" w:firstLineChars="200"/>
              <w:jc w:val="both"/>
              <w:rPr>
                <w:rFonts w:hint="eastAsia" w:ascii="宋体" w:hAnsi="宋体" w:eastAsia="宋体"/>
                <w:sz w:val="24"/>
                <w:szCs w:val="24"/>
                <w:lang w:eastAsia="zh-CN"/>
              </w:rPr>
            </w:pPr>
            <w:r>
              <w:rPr>
                <w:rFonts w:hint="eastAsia" w:ascii="宋体" w:hAnsi="宋体" w:eastAsia="宋体" w:cs="宋体"/>
                <w:sz w:val="24"/>
                <w:szCs w:val="24"/>
                <w:lang w:eastAsia="zh-CN" w:bidi="ar"/>
              </w:rPr>
              <w:t>晶禧半导体于</w:t>
            </w:r>
            <w:r>
              <w:rPr>
                <w:rFonts w:hint="eastAsia" w:ascii="宋体" w:hAnsi="宋体" w:eastAsia="宋体"/>
                <w:sz w:val="24"/>
                <w:szCs w:val="24"/>
                <w:lang w:eastAsia="zh-CN" w:bidi="ar"/>
              </w:rPr>
              <w:t>2026年6月10日完成股权工商变更登记，成为公司全资子公司，自2026年6月起纳入公司合并报表范围。截至2026年9月30日，晶禧半导体计入公司合并报表范围的营业收入为4,598.20万元，净利润为2,511.53万元，对公司报告期内营业收入及净利润形成一定贡献，</w:t>
            </w:r>
            <w:r>
              <w:rPr>
                <w:rFonts w:ascii="宋体" w:hAnsi="宋体" w:eastAsia="宋体"/>
                <w:sz w:val="24"/>
                <w:szCs w:val="24"/>
                <w:lang w:eastAsia="zh-CN" w:bidi="ar"/>
              </w:rPr>
              <w:t>最终</w:t>
            </w:r>
            <w:r>
              <w:rPr>
                <w:rFonts w:hint="eastAsia" w:ascii="宋体" w:hAnsi="宋体" w:eastAsia="宋体"/>
                <w:sz w:val="24"/>
                <w:szCs w:val="24"/>
                <w:lang w:eastAsia="zh-CN" w:bidi="ar"/>
              </w:rPr>
              <w:t>数据及影响情况</w:t>
            </w:r>
            <w:r>
              <w:rPr>
                <w:rFonts w:ascii="宋体" w:hAnsi="宋体" w:eastAsia="宋体"/>
                <w:sz w:val="24"/>
                <w:szCs w:val="24"/>
                <w:lang w:eastAsia="zh-CN" w:bidi="ar"/>
              </w:rPr>
              <w:t>以会计师事务所年度审计的</w:t>
            </w:r>
            <w:r>
              <w:rPr>
                <w:rFonts w:hint="eastAsia" w:ascii="宋体" w:hAnsi="宋体" w:eastAsia="宋体"/>
                <w:sz w:val="24"/>
                <w:szCs w:val="24"/>
                <w:lang w:eastAsia="zh-CN" w:bidi="ar"/>
              </w:rPr>
              <w:t>财务数据</w:t>
            </w:r>
            <w:r>
              <w:rPr>
                <w:rFonts w:ascii="宋体" w:hAnsi="宋体" w:eastAsia="宋体"/>
                <w:sz w:val="24"/>
                <w:szCs w:val="24"/>
                <w:lang w:eastAsia="zh-CN" w:bidi="ar"/>
              </w:rPr>
              <w:t>为准</w:t>
            </w:r>
            <w:r>
              <w:rPr>
                <w:rFonts w:hint="eastAsia" w:ascii="宋体" w:hAnsi="宋体" w:eastAsia="宋体"/>
                <w:sz w:val="24"/>
                <w:szCs w:val="24"/>
                <w:lang w:eastAsia="zh-CN" w:bidi="ar"/>
              </w:rPr>
              <w:t>。</w:t>
            </w:r>
          </w:p>
          <w:p w14:paraId="2C3A72A6">
            <w:pPr>
              <w:kinsoku/>
              <w:overflowPunct w:val="0"/>
              <w:ind w:firstLine="482" w:firstLineChars="200"/>
              <w:jc w:val="both"/>
              <w:rPr>
                <w:rFonts w:hint="eastAsia" w:ascii="宋体" w:hAnsi="宋体" w:eastAsia="宋体"/>
                <w:b/>
                <w:bCs/>
                <w:sz w:val="24"/>
                <w:szCs w:val="24"/>
                <w:lang w:eastAsia="zh-CN"/>
              </w:rPr>
            </w:pPr>
            <w:r>
              <w:rPr>
                <w:rFonts w:hint="eastAsia" w:ascii="宋体" w:hAnsi="宋体" w:eastAsia="宋体" w:cs="宋体"/>
                <w:b/>
                <w:bCs/>
                <w:sz w:val="24"/>
                <w:szCs w:val="24"/>
                <w:lang w:eastAsia="zh-CN"/>
              </w:rPr>
              <w:t>六、晶禧半导体投资建设的先进半导体晶圆激光隐形切割产业化项目基本情况如何？</w:t>
            </w:r>
          </w:p>
          <w:p w14:paraId="7D645F08">
            <w:pPr>
              <w:kinsoku/>
              <w:overflowPunct w:val="0"/>
              <w:ind w:firstLine="480" w:firstLineChars="200"/>
              <w:jc w:val="both"/>
              <w:rPr>
                <w:rFonts w:hint="eastAsia" w:ascii="宋体" w:hAnsi="宋体" w:eastAsia="宋体"/>
                <w:sz w:val="24"/>
                <w:lang w:eastAsia="zh-CN"/>
              </w:rPr>
            </w:pPr>
            <w:r>
              <w:rPr>
                <w:rFonts w:ascii="宋体" w:hAnsi="宋体" w:eastAsia="宋体"/>
                <w:sz w:val="24"/>
                <w:lang w:eastAsia="zh-CN"/>
              </w:rPr>
              <w:t>回复：</w:t>
            </w:r>
          </w:p>
          <w:p w14:paraId="5EF38116">
            <w:pPr>
              <w:kinsoku/>
              <w:overflowPunct w:val="0"/>
              <w:ind w:firstLine="480" w:firstLineChars="200"/>
              <w:jc w:val="both"/>
              <w:rPr>
                <w:rFonts w:hint="eastAsia" w:ascii="宋体" w:hAnsi="宋体" w:eastAsia="宋体"/>
                <w:sz w:val="24"/>
                <w:lang w:eastAsia="zh-CN"/>
              </w:rPr>
            </w:pPr>
            <w:bookmarkStart w:id="0" w:name="OLE_LINK2"/>
            <w:r>
              <w:rPr>
                <w:rFonts w:hint="eastAsia" w:ascii="宋体" w:hAnsi="宋体" w:eastAsia="宋体"/>
                <w:sz w:val="24"/>
                <w:lang w:eastAsia="zh-CN"/>
              </w:rPr>
              <w:t>先进半导体晶圆激光隐形切割产业化项</w:t>
            </w:r>
            <w:bookmarkEnd w:id="0"/>
            <w:r>
              <w:rPr>
                <w:rFonts w:hint="eastAsia" w:ascii="宋体" w:hAnsi="宋体" w:eastAsia="宋体"/>
                <w:sz w:val="24"/>
                <w:lang w:eastAsia="zh-CN"/>
              </w:rPr>
              <w:t>目（暂定名称，最终名称以项目备案文件为准）</w:t>
            </w:r>
            <w:bookmarkStart w:id="1" w:name="_GoBack"/>
            <w:bookmarkEnd w:id="1"/>
            <w:r>
              <w:rPr>
                <w:rFonts w:ascii="宋体" w:hAnsi="宋体" w:eastAsia="宋体"/>
                <w:sz w:val="24"/>
                <w:lang w:eastAsia="zh-CN"/>
              </w:rPr>
              <w:t>由全资子公司晶禧半导体实施，建设地点位于江苏省苏州市相城区，项目总投资不超过6.3亿元，包括厂房装修改造和设备购买等。项目采用租赁厂房的方式，对厂房进行无尘室及生产配套改造</w:t>
            </w:r>
            <w:r>
              <w:rPr>
                <w:rFonts w:hint="eastAsia" w:ascii="宋体" w:hAnsi="宋体" w:eastAsia="宋体"/>
                <w:sz w:val="24"/>
                <w:lang w:eastAsia="zh-CN"/>
              </w:rPr>
              <w:t>。</w:t>
            </w:r>
            <w:r>
              <w:rPr>
                <w:rFonts w:ascii="宋体" w:hAnsi="宋体" w:eastAsia="宋体" w:cs="宋体"/>
                <w:sz w:val="24"/>
                <w:szCs w:val="24"/>
                <w:lang w:eastAsia="zh-CN"/>
              </w:rPr>
              <w:t>项目建成投产后，</w:t>
            </w:r>
            <w:r>
              <w:rPr>
                <w:rFonts w:ascii="宋体" w:hAnsi="宋体" w:eastAsia="宋体"/>
                <w:sz w:val="24"/>
                <w:lang w:eastAsia="zh-CN"/>
              </w:rPr>
              <w:t>主要</w:t>
            </w:r>
            <w:r>
              <w:rPr>
                <w:rFonts w:hint="eastAsia" w:ascii="宋体" w:hAnsi="宋体" w:eastAsia="宋体"/>
                <w:sz w:val="24"/>
                <w:lang w:eastAsia="zh-CN"/>
              </w:rPr>
              <w:t>面向</w:t>
            </w:r>
            <w:r>
              <w:rPr>
                <w:rFonts w:ascii="宋体" w:hAnsi="宋体" w:eastAsia="宋体"/>
                <w:sz w:val="24"/>
                <w:lang w:eastAsia="zh-CN"/>
              </w:rPr>
              <w:t>8英寸和12英寸硅光芯片及硅陪条提供激光隐形切割、开槽、分选等加工服务，下游客户主要为光模块厂商和芯片制造商，预计于2027年第一季度完成生产线建设并逐步投产</w:t>
            </w:r>
            <w:r>
              <w:rPr>
                <w:rFonts w:hint="eastAsia" w:ascii="宋体" w:hAnsi="宋体" w:eastAsia="宋体"/>
                <w:sz w:val="24"/>
                <w:lang w:eastAsia="zh-CN"/>
              </w:rPr>
              <w:t>，</w:t>
            </w:r>
            <w:r>
              <w:rPr>
                <w:rFonts w:ascii="宋体" w:hAnsi="宋体" w:eastAsia="宋体" w:cs="宋体"/>
                <w:sz w:val="24"/>
                <w:szCs w:val="24"/>
                <w:lang w:eastAsia="zh-CN"/>
              </w:rPr>
              <w:t>上述建设内容及实施进度均为现阶段规划，具体以项目实际建设情况为准</w:t>
            </w:r>
            <w:r>
              <w:rPr>
                <w:rFonts w:ascii="宋体" w:hAnsi="宋体" w:eastAsia="宋体"/>
                <w:sz w:val="24"/>
                <w:lang w:eastAsia="zh-CN"/>
              </w:rPr>
              <w:t>。</w:t>
            </w:r>
          </w:p>
          <w:p w14:paraId="17ADE997">
            <w:pPr>
              <w:kinsoku/>
              <w:overflowPunct w:val="0"/>
              <w:ind w:firstLine="480" w:firstLineChars="200"/>
              <w:jc w:val="both"/>
              <w:rPr>
                <w:rFonts w:hint="eastAsia" w:ascii="宋体" w:hAnsi="宋体" w:eastAsia="宋体"/>
                <w:sz w:val="24"/>
                <w:lang w:eastAsia="zh-CN"/>
              </w:rPr>
            </w:pPr>
            <w:r>
              <w:rPr>
                <w:rFonts w:ascii="宋体" w:hAnsi="宋体" w:eastAsia="宋体"/>
                <w:sz w:val="24"/>
                <w:lang w:eastAsia="zh-CN"/>
              </w:rPr>
              <w:t>该事项已经公司第三届董事会第十一次会议及2026年第五次临时股东会审议通过。详见公司</w:t>
            </w:r>
            <w:r>
              <w:rPr>
                <w:rFonts w:hint="eastAsia" w:ascii="宋体" w:hAnsi="宋体" w:eastAsia="宋体"/>
                <w:sz w:val="24"/>
                <w:lang w:eastAsia="zh-CN"/>
              </w:rPr>
              <w:t>于2026年7月29日</w:t>
            </w:r>
            <w:r>
              <w:rPr>
                <w:rFonts w:ascii="宋体" w:hAnsi="宋体" w:eastAsia="宋体"/>
                <w:sz w:val="24"/>
                <w:lang w:eastAsia="zh-CN"/>
              </w:rPr>
              <w:t>披露的《北京九州一轨环境科技股份有限公司关于全资子公司对外投资进行项目建设的公告》（公告编号：2026-048）。项目后续进展请以公司正式披露的信息为准。</w:t>
            </w:r>
          </w:p>
        </w:tc>
      </w:tr>
      <w:tr w14:paraId="62062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2171" w:type="dxa"/>
            <w:vAlign w:val="center"/>
          </w:tcPr>
          <w:p w14:paraId="35C45A1D">
            <w:pPr>
              <w:pStyle w:val="16"/>
              <w:autoSpaceDE/>
              <w:autoSpaceDN/>
              <w:jc w:val="center"/>
              <w:rPr>
                <w:rFonts w:ascii="Times New Roman" w:hAnsi="Times New Roman"/>
                <w:b/>
                <w:bCs/>
                <w:lang w:eastAsia="zh-CN"/>
              </w:rPr>
            </w:pPr>
            <w:r>
              <w:rPr>
                <w:rFonts w:hint="eastAsia" w:ascii="Times New Roman" w:hAnsi="Times New Roman"/>
                <w:b/>
                <w:bCs/>
                <w:lang w:eastAsia="zh-CN"/>
              </w:rPr>
              <w:t>是否涉及应当披露的重大信息</w:t>
            </w:r>
          </w:p>
        </w:tc>
        <w:tc>
          <w:tcPr>
            <w:tcW w:w="6124" w:type="dxa"/>
            <w:gridSpan w:val="2"/>
          </w:tcPr>
          <w:p w14:paraId="3EF3A0BD">
            <w:pPr>
              <w:pStyle w:val="17"/>
              <w:spacing w:before="120" w:beforeLines="50" w:after="120" w:afterLines="50"/>
              <w:ind w:left="23" w:right="23" w:firstLine="2880" w:firstLineChars="1200"/>
              <w:jc w:val="both"/>
              <w:rPr>
                <w:rFonts w:ascii="Times New Roman" w:hAnsi="Times New Roman"/>
                <w:sz w:val="24"/>
                <w:szCs w:val="24"/>
              </w:rPr>
            </w:pPr>
            <w:r>
              <w:rPr>
                <w:rFonts w:hint="eastAsia" w:ascii="Times New Roman" w:hAnsi="Times New Roman"/>
                <w:sz w:val="24"/>
                <w:szCs w:val="24"/>
              </w:rPr>
              <w:t>否</w:t>
            </w:r>
          </w:p>
        </w:tc>
      </w:tr>
      <w:tr w14:paraId="55431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7" w:hRule="atLeast"/>
        </w:trPr>
        <w:tc>
          <w:tcPr>
            <w:tcW w:w="2171" w:type="dxa"/>
            <w:vAlign w:val="center"/>
          </w:tcPr>
          <w:p w14:paraId="31022D0C">
            <w:pPr>
              <w:pStyle w:val="16"/>
              <w:jc w:val="center"/>
              <w:rPr>
                <w:rFonts w:ascii="Times New Roman" w:hAnsi="Times New Roman"/>
                <w:lang w:eastAsia="zh-CN"/>
              </w:rPr>
            </w:pPr>
            <w:r>
              <w:rPr>
                <w:rFonts w:hint="eastAsia" w:ascii="Times New Roman" w:hAnsi="Times New Roman"/>
                <w:b/>
                <w:bCs/>
                <w:lang w:eastAsia="zh-CN"/>
              </w:rPr>
              <w:t>附件清单（如有）</w:t>
            </w:r>
          </w:p>
        </w:tc>
        <w:tc>
          <w:tcPr>
            <w:tcW w:w="6124" w:type="dxa"/>
            <w:gridSpan w:val="2"/>
            <w:vAlign w:val="center"/>
          </w:tcPr>
          <w:p w14:paraId="407B4CEE">
            <w:pPr>
              <w:pStyle w:val="16"/>
              <w:jc w:val="center"/>
              <w:rPr>
                <w:rFonts w:ascii="Times New Roman" w:hAnsi="Times New Roman"/>
                <w:lang w:eastAsia="zh-CN"/>
              </w:rPr>
            </w:pPr>
            <w:r>
              <w:rPr>
                <w:rFonts w:hint="eastAsia" w:ascii="Times New Roman" w:hAnsi="Times New Roman"/>
              </w:rPr>
              <w:t>无</w:t>
            </w:r>
          </w:p>
        </w:tc>
      </w:tr>
      <w:tr w14:paraId="60C5A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7" w:hRule="atLeast"/>
        </w:trPr>
        <w:tc>
          <w:tcPr>
            <w:tcW w:w="2171" w:type="dxa"/>
            <w:vAlign w:val="center"/>
          </w:tcPr>
          <w:p w14:paraId="76C7A8BC">
            <w:pPr>
              <w:pStyle w:val="16"/>
              <w:jc w:val="center"/>
              <w:rPr>
                <w:rFonts w:ascii="Times New Roman" w:hAnsi="Times New Roman"/>
              </w:rPr>
            </w:pPr>
            <w:r>
              <w:rPr>
                <w:rFonts w:hint="eastAsia" w:ascii="Times New Roman" w:hAnsi="Times New Roman"/>
                <w:b/>
                <w:bCs/>
              </w:rPr>
              <w:t>日期</w:t>
            </w:r>
          </w:p>
        </w:tc>
        <w:tc>
          <w:tcPr>
            <w:tcW w:w="6124" w:type="dxa"/>
            <w:gridSpan w:val="2"/>
            <w:vAlign w:val="center"/>
          </w:tcPr>
          <w:p w14:paraId="146E2672">
            <w:pPr>
              <w:pStyle w:val="16"/>
              <w:jc w:val="center"/>
              <w:rPr>
                <w:rFonts w:ascii="Times New Roman" w:hAnsi="Times New Roman"/>
                <w:lang w:eastAsia="zh-CN"/>
              </w:rPr>
            </w:pPr>
            <w:r>
              <w:rPr>
                <w:rFonts w:hint="eastAsia" w:ascii="Times New Roman" w:hAnsi="Times New Roman"/>
                <w:lang w:eastAsia="zh-CN"/>
              </w:rPr>
              <w:t>2026年11月5日</w:t>
            </w:r>
          </w:p>
        </w:tc>
      </w:tr>
    </w:tbl>
    <w:p w14:paraId="264C4D4D">
      <w:pPr>
        <w:rPr>
          <w:rFonts w:ascii="Times New Roman" w:hAnsi="Times New Roman"/>
          <w:lang w:eastAsia="zh-CN"/>
        </w:rPr>
      </w:pPr>
    </w:p>
    <w:sectPr>
      <w:pgSz w:w="11906" w:h="16839"/>
      <w:pgMar w:top="1431" w:right="1785" w:bottom="0" w:left="1785"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pleSystemUIFont">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UICTFontTextStyleBody">
    <w:altName w:val="Cambria"/>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documentProtection w:enforcement="0"/>
  <w:defaultTabStop w:val="500"/>
  <w:noPunctuationKerning w:val="1"/>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Q1NGMyNjljNGQ0MzY2ZDU4ODViMDc2NGY3NDFhNTkifQ=="/>
  </w:docVars>
  <w:rsids>
    <w:rsidRoot w:val="00AD411E"/>
    <w:rsid w:val="000149AB"/>
    <w:rsid w:val="00042552"/>
    <w:rsid w:val="000F0F8B"/>
    <w:rsid w:val="00132003"/>
    <w:rsid w:val="001B362F"/>
    <w:rsid w:val="001B43DB"/>
    <w:rsid w:val="001F503A"/>
    <w:rsid w:val="002D18D8"/>
    <w:rsid w:val="0030593D"/>
    <w:rsid w:val="00337319"/>
    <w:rsid w:val="00383673"/>
    <w:rsid w:val="003A4CCA"/>
    <w:rsid w:val="00461BE6"/>
    <w:rsid w:val="004A754A"/>
    <w:rsid w:val="005248CC"/>
    <w:rsid w:val="00527F4F"/>
    <w:rsid w:val="005420FE"/>
    <w:rsid w:val="005C31AA"/>
    <w:rsid w:val="00626B00"/>
    <w:rsid w:val="006330FF"/>
    <w:rsid w:val="00663F01"/>
    <w:rsid w:val="006C5F4C"/>
    <w:rsid w:val="006D4684"/>
    <w:rsid w:val="007257BA"/>
    <w:rsid w:val="00727F56"/>
    <w:rsid w:val="00775721"/>
    <w:rsid w:val="007C0F2D"/>
    <w:rsid w:val="007E50B8"/>
    <w:rsid w:val="00855763"/>
    <w:rsid w:val="008835EE"/>
    <w:rsid w:val="008A0110"/>
    <w:rsid w:val="008F3A64"/>
    <w:rsid w:val="00952547"/>
    <w:rsid w:val="00973ED9"/>
    <w:rsid w:val="009C7939"/>
    <w:rsid w:val="00A30B16"/>
    <w:rsid w:val="00A65C80"/>
    <w:rsid w:val="00AA6936"/>
    <w:rsid w:val="00AD411E"/>
    <w:rsid w:val="00B02EEA"/>
    <w:rsid w:val="00BE14BF"/>
    <w:rsid w:val="00C64F35"/>
    <w:rsid w:val="00C82932"/>
    <w:rsid w:val="00CE2392"/>
    <w:rsid w:val="00EA0563"/>
    <w:rsid w:val="00F75FED"/>
    <w:rsid w:val="00FB496F"/>
    <w:rsid w:val="01102D92"/>
    <w:rsid w:val="01476561"/>
    <w:rsid w:val="014821F1"/>
    <w:rsid w:val="015E533E"/>
    <w:rsid w:val="016C0FA1"/>
    <w:rsid w:val="01852593"/>
    <w:rsid w:val="0190108A"/>
    <w:rsid w:val="01CD53CD"/>
    <w:rsid w:val="023D46EC"/>
    <w:rsid w:val="03385D0B"/>
    <w:rsid w:val="034B0503"/>
    <w:rsid w:val="04513546"/>
    <w:rsid w:val="0458352F"/>
    <w:rsid w:val="04AC5B58"/>
    <w:rsid w:val="04BB10B7"/>
    <w:rsid w:val="05857F74"/>
    <w:rsid w:val="05945126"/>
    <w:rsid w:val="065D710A"/>
    <w:rsid w:val="073562D9"/>
    <w:rsid w:val="07487DBA"/>
    <w:rsid w:val="086E3851"/>
    <w:rsid w:val="087936BC"/>
    <w:rsid w:val="08874912"/>
    <w:rsid w:val="089332B7"/>
    <w:rsid w:val="08F66C03"/>
    <w:rsid w:val="0A0A1357"/>
    <w:rsid w:val="0A1246B0"/>
    <w:rsid w:val="0A4A3E4A"/>
    <w:rsid w:val="0AF802D2"/>
    <w:rsid w:val="0B58792E"/>
    <w:rsid w:val="0B9C7C83"/>
    <w:rsid w:val="0C40306C"/>
    <w:rsid w:val="0C774C9E"/>
    <w:rsid w:val="0C9870EE"/>
    <w:rsid w:val="0CCA4D93"/>
    <w:rsid w:val="0CDF0EFD"/>
    <w:rsid w:val="0D3037CB"/>
    <w:rsid w:val="0D3B772F"/>
    <w:rsid w:val="0D4E3C51"/>
    <w:rsid w:val="0E4F45D8"/>
    <w:rsid w:val="0EA53D44"/>
    <w:rsid w:val="0F02798F"/>
    <w:rsid w:val="0F07012F"/>
    <w:rsid w:val="0F2E02EC"/>
    <w:rsid w:val="0F31382A"/>
    <w:rsid w:val="0FC41FA8"/>
    <w:rsid w:val="101572A9"/>
    <w:rsid w:val="10505F32"/>
    <w:rsid w:val="10710382"/>
    <w:rsid w:val="111B0B47"/>
    <w:rsid w:val="112A4BB7"/>
    <w:rsid w:val="11407D54"/>
    <w:rsid w:val="11E132E5"/>
    <w:rsid w:val="11EC0610"/>
    <w:rsid w:val="11EC3A38"/>
    <w:rsid w:val="12692205"/>
    <w:rsid w:val="12B17E9B"/>
    <w:rsid w:val="12B544C5"/>
    <w:rsid w:val="12CD4ACE"/>
    <w:rsid w:val="13916645"/>
    <w:rsid w:val="14952100"/>
    <w:rsid w:val="14B00B11"/>
    <w:rsid w:val="14E51974"/>
    <w:rsid w:val="15065412"/>
    <w:rsid w:val="15470135"/>
    <w:rsid w:val="15604521"/>
    <w:rsid w:val="157E2FAD"/>
    <w:rsid w:val="158762E9"/>
    <w:rsid w:val="158F3058"/>
    <w:rsid w:val="15915022"/>
    <w:rsid w:val="15BB3E4D"/>
    <w:rsid w:val="15BF393E"/>
    <w:rsid w:val="15DF7B3C"/>
    <w:rsid w:val="16153CF4"/>
    <w:rsid w:val="16BA5EB3"/>
    <w:rsid w:val="17C92852"/>
    <w:rsid w:val="17FA17FC"/>
    <w:rsid w:val="18474669"/>
    <w:rsid w:val="18D21BDA"/>
    <w:rsid w:val="19045B0B"/>
    <w:rsid w:val="19FD3FDF"/>
    <w:rsid w:val="1A12650C"/>
    <w:rsid w:val="1AB126A6"/>
    <w:rsid w:val="1AB677DE"/>
    <w:rsid w:val="1ACE45C4"/>
    <w:rsid w:val="1AF114D7"/>
    <w:rsid w:val="1B123F0C"/>
    <w:rsid w:val="1B2D1349"/>
    <w:rsid w:val="1B5A1A13"/>
    <w:rsid w:val="1BA40757"/>
    <w:rsid w:val="1C077DEC"/>
    <w:rsid w:val="1C8D752E"/>
    <w:rsid w:val="1D091942"/>
    <w:rsid w:val="1D3A7D4E"/>
    <w:rsid w:val="1DDB508D"/>
    <w:rsid w:val="1E322697"/>
    <w:rsid w:val="1EE26681"/>
    <w:rsid w:val="201E5705"/>
    <w:rsid w:val="20C95363"/>
    <w:rsid w:val="21094ABC"/>
    <w:rsid w:val="22364E1D"/>
    <w:rsid w:val="22821F7B"/>
    <w:rsid w:val="231B417D"/>
    <w:rsid w:val="23203542"/>
    <w:rsid w:val="24BE1264"/>
    <w:rsid w:val="250E527E"/>
    <w:rsid w:val="25B9690B"/>
    <w:rsid w:val="25DA3E7C"/>
    <w:rsid w:val="26485289"/>
    <w:rsid w:val="268A3AF4"/>
    <w:rsid w:val="2698258D"/>
    <w:rsid w:val="270A69E3"/>
    <w:rsid w:val="27A26C1B"/>
    <w:rsid w:val="27A42993"/>
    <w:rsid w:val="27D5362B"/>
    <w:rsid w:val="28527FD1"/>
    <w:rsid w:val="28736730"/>
    <w:rsid w:val="28FE60D3"/>
    <w:rsid w:val="29341AF5"/>
    <w:rsid w:val="2A346ACA"/>
    <w:rsid w:val="2A952A67"/>
    <w:rsid w:val="2ABC3C34"/>
    <w:rsid w:val="2AE71DF0"/>
    <w:rsid w:val="2B152B7E"/>
    <w:rsid w:val="2BAA0794"/>
    <w:rsid w:val="2BDE7D13"/>
    <w:rsid w:val="2BE23A8A"/>
    <w:rsid w:val="2C864D5D"/>
    <w:rsid w:val="2CB022D6"/>
    <w:rsid w:val="2D216834"/>
    <w:rsid w:val="2D2D19CD"/>
    <w:rsid w:val="2D74105A"/>
    <w:rsid w:val="2DB33930"/>
    <w:rsid w:val="2DE75388"/>
    <w:rsid w:val="2DEB0301"/>
    <w:rsid w:val="2E97350F"/>
    <w:rsid w:val="2F300FB0"/>
    <w:rsid w:val="2F890169"/>
    <w:rsid w:val="2FC65E53"/>
    <w:rsid w:val="2FE04785"/>
    <w:rsid w:val="2FE9188B"/>
    <w:rsid w:val="30152810"/>
    <w:rsid w:val="30AC4667"/>
    <w:rsid w:val="30F06952"/>
    <w:rsid w:val="30FC55EE"/>
    <w:rsid w:val="312A215B"/>
    <w:rsid w:val="31C22C39"/>
    <w:rsid w:val="32D11EE7"/>
    <w:rsid w:val="333D5A4A"/>
    <w:rsid w:val="33B06E98"/>
    <w:rsid w:val="345C4F2B"/>
    <w:rsid w:val="34605E94"/>
    <w:rsid w:val="346534AA"/>
    <w:rsid w:val="34713BFD"/>
    <w:rsid w:val="34DB376C"/>
    <w:rsid w:val="34E70363"/>
    <w:rsid w:val="34F12F90"/>
    <w:rsid w:val="34FD7B87"/>
    <w:rsid w:val="351C000D"/>
    <w:rsid w:val="35200667"/>
    <w:rsid w:val="35CB6621"/>
    <w:rsid w:val="36015455"/>
    <w:rsid w:val="36802258"/>
    <w:rsid w:val="36EA5EE9"/>
    <w:rsid w:val="36F93E8A"/>
    <w:rsid w:val="379D0487"/>
    <w:rsid w:val="380C1516"/>
    <w:rsid w:val="386B77CE"/>
    <w:rsid w:val="38DD5D05"/>
    <w:rsid w:val="39700927"/>
    <w:rsid w:val="39A16D33"/>
    <w:rsid w:val="3A033549"/>
    <w:rsid w:val="3A0B4AF4"/>
    <w:rsid w:val="3A8723CC"/>
    <w:rsid w:val="3AEF3ACE"/>
    <w:rsid w:val="3B173D7F"/>
    <w:rsid w:val="3B7A3CDF"/>
    <w:rsid w:val="3B893F22"/>
    <w:rsid w:val="3C36192E"/>
    <w:rsid w:val="3C7A1ABD"/>
    <w:rsid w:val="3D7529B0"/>
    <w:rsid w:val="3E2E0DB1"/>
    <w:rsid w:val="3E410AE4"/>
    <w:rsid w:val="3E5C147A"/>
    <w:rsid w:val="3E622809"/>
    <w:rsid w:val="3EB23790"/>
    <w:rsid w:val="3EBA0228"/>
    <w:rsid w:val="3F055FB6"/>
    <w:rsid w:val="3F3D6E1B"/>
    <w:rsid w:val="3F4563B2"/>
    <w:rsid w:val="3F680149"/>
    <w:rsid w:val="406D4DCA"/>
    <w:rsid w:val="4090609D"/>
    <w:rsid w:val="40B437EF"/>
    <w:rsid w:val="40F24318"/>
    <w:rsid w:val="4105404B"/>
    <w:rsid w:val="411779C2"/>
    <w:rsid w:val="41336BCB"/>
    <w:rsid w:val="41534A38"/>
    <w:rsid w:val="4168285C"/>
    <w:rsid w:val="430A1DED"/>
    <w:rsid w:val="438E33F7"/>
    <w:rsid w:val="439711A6"/>
    <w:rsid w:val="43E443EC"/>
    <w:rsid w:val="443F68DF"/>
    <w:rsid w:val="444D64BC"/>
    <w:rsid w:val="448C6831"/>
    <w:rsid w:val="44F06DC0"/>
    <w:rsid w:val="45156827"/>
    <w:rsid w:val="455E254D"/>
    <w:rsid w:val="456B6447"/>
    <w:rsid w:val="45A84FAE"/>
    <w:rsid w:val="45B822D1"/>
    <w:rsid w:val="46935C55"/>
    <w:rsid w:val="46C6427C"/>
    <w:rsid w:val="470513F8"/>
    <w:rsid w:val="474653BD"/>
    <w:rsid w:val="47541888"/>
    <w:rsid w:val="4764741D"/>
    <w:rsid w:val="488251E8"/>
    <w:rsid w:val="48843C31"/>
    <w:rsid w:val="489509A3"/>
    <w:rsid w:val="48BD345D"/>
    <w:rsid w:val="48C04CFB"/>
    <w:rsid w:val="48C53BE2"/>
    <w:rsid w:val="4968161B"/>
    <w:rsid w:val="497C3C51"/>
    <w:rsid w:val="499E328F"/>
    <w:rsid w:val="49AB775A"/>
    <w:rsid w:val="49E31136"/>
    <w:rsid w:val="49FE054C"/>
    <w:rsid w:val="4A031344"/>
    <w:rsid w:val="4A0B01F8"/>
    <w:rsid w:val="4A4C728D"/>
    <w:rsid w:val="4A875AD1"/>
    <w:rsid w:val="4B0C4228"/>
    <w:rsid w:val="4B78366B"/>
    <w:rsid w:val="4BCF2B77"/>
    <w:rsid w:val="4BE62CCB"/>
    <w:rsid w:val="4C082549"/>
    <w:rsid w:val="4C1E06B7"/>
    <w:rsid w:val="4CBD7ED0"/>
    <w:rsid w:val="4CE51D54"/>
    <w:rsid w:val="4D0258E3"/>
    <w:rsid w:val="4D7C5695"/>
    <w:rsid w:val="4DF25957"/>
    <w:rsid w:val="4E263853"/>
    <w:rsid w:val="4E7445BE"/>
    <w:rsid w:val="4E8929D8"/>
    <w:rsid w:val="4F1E4F93"/>
    <w:rsid w:val="4F833FDC"/>
    <w:rsid w:val="4FA86246"/>
    <w:rsid w:val="4FCC2CDE"/>
    <w:rsid w:val="500B0F52"/>
    <w:rsid w:val="50487AB0"/>
    <w:rsid w:val="505C355C"/>
    <w:rsid w:val="507E7A1A"/>
    <w:rsid w:val="514566E6"/>
    <w:rsid w:val="51582E6C"/>
    <w:rsid w:val="5167040A"/>
    <w:rsid w:val="51AF590D"/>
    <w:rsid w:val="51C25640"/>
    <w:rsid w:val="51D75253"/>
    <w:rsid w:val="51E74D80"/>
    <w:rsid w:val="5217598C"/>
    <w:rsid w:val="525E180D"/>
    <w:rsid w:val="52701540"/>
    <w:rsid w:val="52A511EA"/>
    <w:rsid w:val="52B21AD1"/>
    <w:rsid w:val="52CA29FF"/>
    <w:rsid w:val="52CC6734"/>
    <w:rsid w:val="5301473C"/>
    <w:rsid w:val="53177C0E"/>
    <w:rsid w:val="533A6B9D"/>
    <w:rsid w:val="537D3C18"/>
    <w:rsid w:val="5410147D"/>
    <w:rsid w:val="54970998"/>
    <w:rsid w:val="54D51AA7"/>
    <w:rsid w:val="54FF44A5"/>
    <w:rsid w:val="55475A19"/>
    <w:rsid w:val="55A16ED2"/>
    <w:rsid w:val="55BF16ED"/>
    <w:rsid w:val="55CD58BC"/>
    <w:rsid w:val="560C1580"/>
    <w:rsid w:val="56A33C92"/>
    <w:rsid w:val="56AD0E89"/>
    <w:rsid w:val="56F15B99"/>
    <w:rsid w:val="571802DA"/>
    <w:rsid w:val="574305EE"/>
    <w:rsid w:val="583A3C95"/>
    <w:rsid w:val="58467E50"/>
    <w:rsid w:val="58F55EFA"/>
    <w:rsid w:val="59A01F0B"/>
    <w:rsid w:val="59C503C4"/>
    <w:rsid w:val="59D86349"/>
    <w:rsid w:val="5AAB5D5D"/>
    <w:rsid w:val="5B060C94"/>
    <w:rsid w:val="5BC052E6"/>
    <w:rsid w:val="5C0A6562"/>
    <w:rsid w:val="5C6747DA"/>
    <w:rsid w:val="5CB32755"/>
    <w:rsid w:val="5CBC5A26"/>
    <w:rsid w:val="5CE4546A"/>
    <w:rsid w:val="5D916F3A"/>
    <w:rsid w:val="5D9C768D"/>
    <w:rsid w:val="5E113BD7"/>
    <w:rsid w:val="5E4265FD"/>
    <w:rsid w:val="5EE96902"/>
    <w:rsid w:val="5F517ABE"/>
    <w:rsid w:val="5F8421A1"/>
    <w:rsid w:val="604C1EF8"/>
    <w:rsid w:val="604F73A7"/>
    <w:rsid w:val="610633E6"/>
    <w:rsid w:val="61720E31"/>
    <w:rsid w:val="618F75C3"/>
    <w:rsid w:val="61D1008C"/>
    <w:rsid w:val="62606EDB"/>
    <w:rsid w:val="626D5C19"/>
    <w:rsid w:val="62B80639"/>
    <w:rsid w:val="6321792E"/>
    <w:rsid w:val="63B7511B"/>
    <w:rsid w:val="63BF3862"/>
    <w:rsid w:val="6416019A"/>
    <w:rsid w:val="646A5DEF"/>
    <w:rsid w:val="649A50CC"/>
    <w:rsid w:val="64AC6408"/>
    <w:rsid w:val="64CA2D32"/>
    <w:rsid w:val="64CF659A"/>
    <w:rsid w:val="65670518"/>
    <w:rsid w:val="65E55731"/>
    <w:rsid w:val="66042274"/>
    <w:rsid w:val="66662834"/>
    <w:rsid w:val="66BA0643"/>
    <w:rsid w:val="66F44096"/>
    <w:rsid w:val="66F553A6"/>
    <w:rsid w:val="674E064D"/>
    <w:rsid w:val="67E1286C"/>
    <w:rsid w:val="685275F3"/>
    <w:rsid w:val="68623356"/>
    <w:rsid w:val="68B65AA7"/>
    <w:rsid w:val="69004F74"/>
    <w:rsid w:val="6955518E"/>
    <w:rsid w:val="69A67DB5"/>
    <w:rsid w:val="69B83A0D"/>
    <w:rsid w:val="6ACF2A05"/>
    <w:rsid w:val="6AED32D6"/>
    <w:rsid w:val="6AF0478A"/>
    <w:rsid w:val="6B206150"/>
    <w:rsid w:val="6B8A2C78"/>
    <w:rsid w:val="6C615D2A"/>
    <w:rsid w:val="6C860F1A"/>
    <w:rsid w:val="6C9132B7"/>
    <w:rsid w:val="6D910628"/>
    <w:rsid w:val="6DED6714"/>
    <w:rsid w:val="6E494CC8"/>
    <w:rsid w:val="6E6B4FA6"/>
    <w:rsid w:val="6E7E1C6A"/>
    <w:rsid w:val="6EC8494C"/>
    <w:rsid w:val="6F0357BE"/>
    <w:rsid w:val="6F2E1014"/>
    <w:rsid w:val="6F70543C"/>
    <w:rsid w:val="704A2F79"/>
    <w:rsid w:val="715A71EC"/>
    <w:rsid w:val="71787AB8"/>
    <w:rsid w:val="719A3A8C"/>
    <w:rsid w:val="71CA1FE3"/>
    <w:rsid w:val="71E50B01"/>
    <w:rsid w:val="72534E9D"/>
    <w:rsid w:val="72EB27F1"/>
    <w:rsid w:val="731036E9"/>
    <w:rsid w:val="732C1A70"/>
    <w:rsid w:val="732E6B82"/>
    <w:rsid w:val="73493CAC"/>
    <w:rsid w:val="7358775B"/>
    <w:rsid w:val="73BD417A"/>
    <w:rsid w:val="73EB05CF"/>
    <w:rsid w:val="73FB4E65"/>
    <w:rsid w:val="741B7106"/>
    <w:rsid w:val="7530788B"/>
    <w:rsid w:val="75422471"/>
    <w:rsid w:val="75936E7F"/>
    <w:rsid w:val="759A61FC"/>
    <w:rsid w:val="76237A75"/>
    <w:rsid w:val="76426BCC"/>
    <w:rsid w:val="769557B6"/>
    <w:rsid w:val="771A36A5"/>
    <w:rsid w:val="778620F0"/>
    <w:rsid w:val="77884AB3"/>
    <w:rsid w:val="78EB552B"/>
    <w:rsid w:val="79783C64"/>
    <w:rsid w:val="7993773F"/>
    <w:rsid w:val="79AB4A88"/>
    <w:rsid w:val="79BD371A"/>
    <w:rsid w:val="7A526335"/>
    <w:rsid w:val="7A8D0117"/>
    <w:rsid w:val="7BB51BEE"/>
    <w:rsid w:val="7C2154D6"/>
    <w:rsid w:val="7C8D4919"/>
    <w:rsid w:val="7CA90BA0"/>
    <w:rsid w:val="7CE55D78"/>
    <w:rsid w:val="7D71658F"/>
    <w:rsid w:val="7D7809E9"/>
    <w:rsid w:val="7D8C697F"/>
    <w:rsid w:val="7D9E7B82"/>
    <w:rsid w:val="7E046E5D"/>
    <w:rsid w:val="7E152E18"/>
    <w:rsid w:val="7E2D681A"/>
    <w:rsid w:val="7E2E6314"/>
    <w:rsid w:val="7E324E10"/>
    <w:rsid w:val="7E3F60E7"/>
    <w:rsid w:val="7F4C286A"/>
    <w:rsid w:val="7F4C4618"/>
    <w:rsid w:val="7F664645"/>
    <w:rsid w:val="7F9554E0"/>
    <w:rsid w:val="7FE743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qFormat/>
    <w:uiPriority w:val="0"/>
    <w:pPr>
      <w:spacing w:before="100" w:beforeAutospacing="1" w:after="100" w:afterAutospacing="1"/>
      <w:outlineLvl w:val="1"/>
    </w:pPr>
    <w:rPr>
      <w:rFonts w:hint="eastAsia" w:ascii="宋体" w:hAnsi="宋体" w:eastAsia="宋体" w:cs="Times New Roman"/>
      <w:b/>
      <w:bCs/>
      <w:sz w:val="36"/>
      <w:szCs w:val="36"/>
      <w:lang w:eastAsia="zh-CN"/>
    </w:rPr>
  </w:style>
  <w:style w:type="character" w:default="1" w:styleId="11">
    <w:name w:val="Default Paragraph Font"/>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5"/>
    <w:qFormat/>
    <w:uiPriority w:val="0"/>
  </w:style>
  <w:style w:type="paragraph" w:styleId="4">
    <w:name w:val="footer"/>
    <w:basedOn w:val="1"/>
    <w:link w:val="23"/>
    <w:qFormat/>
    <w:uiPriority w:val="0"/>
    <w:pPr>
      <w:tabs>
        <w:tab w:val="center" w:pos="4153"/>
        <w:tab w:val="right" w:pos="8306"/>
      </w:tabs>
    </w:pPr>
    <w:rPr>
      <w:sz w:val="18"/>
      <w:szCs w:val="18"/>
    </w:rPr>
  </w:style>
  <w:style w:type="paragraph" w:styleId="5">
    <w:name w:val="header"/>
    <w:basedOn w:val="1"/>
    <w:link w:val="22"/>
    <w:qFormat/>
    <w:uiPriority w:val="0"/>
    <w:pPr>
      <w:tabs>
        <w:tab w:val="center" w:pos="4153"/>
        <w:tab w:val="right" w:pos="8306"/>
      </w:tabs>
      <w:jc w:val="center"/>
    </w:pPr>
    <w:rPr>
      <w:sz w:val="18"/>
      <w:szCs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cs="Times New Roman"/>
      <w:sz w:val="24"/>
      <w:szCs w:val="24"/>
      <w:lang w:eastAsia="zh-CN"/>
    </w:rPr>
  </w:style>
  <w:style w:type="paragraph" w:styleId="7">
    <w:name w:val="Normal (Web)"/>
    <w:basedOn w:val="1"/>
    <w:qFormat/>
    <w:uiPriority w:val="0"/>
    <w:pPr>
      <w:spacing w:beforeAutospacing="1" w:afterAutospacing="1"/>
    </w:pPr>
    <w:rPr>
      <w:rFonts w:cs="Times New Roman"/>
      <w:sz w:val="24"/>
      <w:lang w:eastAsia="zh-CN"/>
    </w:rPr>
  </w:style>
  <w:style w:type="paragraph" w:styleId="8">
    <w:name w:val="annotation subject"/>
    <w:basedOn w:val="3"/>
    <w:next w:val="3"/>
    <w:link w:val="26"/>
    <w:uiPriority w:val="0"/>
    <w:rPr>
      <w:b/>
      <w:bCs/>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character" w:styleId="14">
    <w:name w:val="annotation reference"/>
    <w:basedOn w:val="11"/>
    <w:uiPriority w:val="0"/>
    <w:rPr>
      <w:sz w:val="21"/>
      <w:szCs w:val="21"/>
    </w:rPr>
  </w:style>
  <w:style w:type="table" w:customStyle="1" w:styleId="15">
    <w:name w:val="Table Normal"/>
    <w:basedOn w:val="9"/>
    <w:unhideWhenUsed/>
    <w:qFormat/>
    <w:uiPriority w:val="0"/>
    <w:tblPr>
      <w:tblCellMar>
        <w:left w:w="0" w:type="dxa"/>
        <w:right w:w="0" w:type="dxa"/>
      </w:tblCellMar>
    </w:tblPr>
  </w:style>
  <w:style w:type="paragraph" w:customStyle="1" w:styleId="16">
    <w:name w:val="Table Text"/>
    <w:basedOn w:val="1"/>
    <w:semiHidden/>
    <w:qFormat/>
    <w:uiPriority w:val="0"/>
    <w:rPr>
      <w:rFonts w:ascii="宋体" w:hAnsi="宋体" w:eastAsia="宋体" w:cs="宋体"/>
      <w:sz w:val="24"/>
      <w:szCs w:val="24"/>
    </w:rPr>
  </w:style>
  <w:style w:type="paragraph" w:customStyle="1" w:styleId="17">
    <w:name w:val="p1"/>
    <w:basedOn w:val="1"/>
    <w:qFormat/>
    <w:uiPriority w:val="0"/>
    <w:pPr>
      <w:kinsoku/>
      <w:autoSpaceDE/>
      <w:autoSpaceDN/>
      <w:adjustRightInd/>
      <w:snapToGrid/>
      <w:textAlignment w:val="auto"/>
    </w:pPr>
    <w:rPr>
      <w:rFonts w:ascii=".AppleSystemUIFont" w:hAnsi=".AppleSystemUIFont" w:eastAsia="宋体" w:cs="宋体"/>
      <w:snapToGrid/>
      <w:color w:val="111111"/>
      <w:sz w:val="26"/>
      <w:szCs w:val="26"/>
      <w:lang w:eastAsia="zh-CN"/>
    </w:rPr>
  </w:style>
  <w:style w:type="paragraph" w:customStyle="1" w:styleId="18">
    <w:name w:val="p2"/>
    <w:basedOn w:val="1"/>
    <w:qFormat/>
    <w:uiPriority w:val="0"/>
    <w:pPr>
      <w:kinsoku/>
      <w:autoSpaceDE/>
      <w:autoSpaceDN/>
      <w:adjustRightInd/>
      <w:snapToGrid/>
      <w:textAlignment w:val="auto"/>
    </w:pPr>
    <w:rPr>
      <w:rFonts w:ascii=".AppleSystemUIFont" w:hAnsi=".AppleSystemUIFont" w:eastAsia="宋体" w:cs="宋体"/>
      <w:snapToGrid/>
      <w:color w:val="111111"/>
      <w:sz w:val="26"/>
      <w:szCs w:val="26"/>
      <w:lang w:eastAsia="zh-CN"/>
    </w:rPr>
  </w:style>
  <w:style w:type="character" w:customStyle="1" w:styleId="19">
    <w:name w:val="s1"/>
    <w:basedOn w:val="11"/>
    <w:qFormat/>
    <w:uiPriority w:val="0"/>
    <w:rPr>
      <w:rFonts w:hint="default" w:ascii="UICTFontTextStyleBody" w:hAnsi="UICTFontTextStyleBody"/>
      <w:sz w:val="26"/>
      <w:szCs w:val="26"/>
    </w:rPr>
  </w:style>
  <w:style w:type="paragraph" w:customStyle="1" w:styleId="20">
    <w:name w:val="修订1"/>
    <w:hidden/>
    <w:unhideWhenUsed/>
    <w:qFormat/>
    <w:uiPriority w:val="99"/>
    <w:rPr>
      <w:rFonts w:ascii="Arial" w:hAnsi="Arial" w:eastAsia="Arial" w:cs="Arial"/>
      <w:snapToGrid w:val="0"/>
      <w:color w:val="000000"/>
      <w:sz w:val="21"/>
      <w:szCs w:val="21"/>
      <w:lang w:val="en-US" w:eastAsia="en-US" w:bidi="ar-SA"/>
    </w:rPr>
  </w:style>
  <w:style w:type="paragraph" w:customStyle="1" w:styleId="21">
    <w:name w:val="修订2"/>
    <w:hidden/>
    <w:unhideWhenUsed/>
    <w:qFormat/>
    <w:uiPriority w:val="99"/>
    <w:rPr>
      <w:rFonts w:ascii="Arial" w:hAnsi="Arial" w:eastAsia="Arial" w:cs="Arial"/>
      <w:snapToGrid w:val="0"/>
      <w:color w:val="000000"/>
      <w:sz w:val="21"/>
      <w:szCs w:val="21"/>
      <w:lang w:val="en-US" w:eastAsia="en-US" w:bidi="ar-SA"/>
    </w:rPr>
  </w:style>
  <w:style w:type="character" w:customStyle="1" w:styleId="22">
    <w:name w:val="页眉 字符"/>
    <w:basedOn w:val="11"/>
    <w:link w:val="5"/>
    <w:qFormat/>
    <w:uiPriority w:val="0"/>
    <w:rPr>
      <w:rFonts w:ascii="Arial" w:hAnsi="Arial" w:eastAsia="Arial" w:cs="Arial"/>
      <w:snapToGrid w:val="0"/>
      <w:color w:val="000000"/>
      <w:sz w:val="18"/>
      <w:szCs w:val="18"/>
      <w:lang w:eastAsia="en-US"/>
    </w:rPr>
  </w:style>
  <w:style w:type="character" w:customStyle="1" w:styleId="23">
    <w:name w:val="页脚 字符"/>
    <w:basedOn w:val="11"/>
    <w:link w:val="4"/>
    <w:qFormat/>
    <w:uiPriority w:val="0"/>
    <w:rPr>
      <w:rFonts w:ascii="Arial" w:hAnsi="Arial" w:eastAsia="Arial" w:cs="Arial"/>
      <w:snapToGrid w:val="0"/>
      <w:color w:val="000000"/>
      <w:sz w:val="18"/>
      <w:szCs w:val="18"/>
      <w:lang w:eastAsia="en-US"/>
    </w:rPr>
  </w:style>
  <w:style w:type="paragraph" w:customStyle="1" w:styleId="24">
    <w:name w:val="Revision"/>
    <w:hidden/>
    <w:unhideWhenUsed/>
    <w:uiPriority w:val="99"/>
    <w:rPr>
      <w:rFonts w:ascii="Arial" w:hAnsi="Arial" w:eastAsia="Arial" w:cs="Arial"/>
      <w:snapToGrid w:val="0"/>
      <w:color w:val="000000"/>
      <w:sz w:val="21"/>
      <w:szCs w:val="21"/>
      <w:lang w:val="en-US" w:eastAsia="en-US" w:bidi="ar-SA"/>
    </w:rPr>
  </w:style>
  <w:style w:type="character" w:customStyle="1" w:styleId="25">
    <w:name w:val="批注文字 字符"/>
    <w:basedOn w:val="11"/>
    <w:link w:val="3"/>
    <w:qFormat/>
    <w:uiPriority w:val="0"/>
    <w:rPr>
      <w:rFonts w:ascii="Arial" w:hAnsi="Arial" w:eastAsia="Arial" w:cs="Arial"/>
      <w:snapToGrid w:val="0"/>
      <w:color w:val="000000"/>
      <w:sz w:val="21"/>
      <w:szCs w:val="21"/>
      <w:lang w:eastAsia="en-US"/>
    </w:rPr>
  </w:style>
  <w:style w:type="character" w:customStyle="1" w:styleId="26">
    <w:name w:val="批注主题 字符"/>
    <w:basedOn w:val="25"/>
    <w:link w:val="8"/>
    <w:qFormat/>
    <w:uiPriority w:val="0"/>
    <w:rPr>
      <w:rFonts w:ascii="Arial" w:hAnsi="Arial" w:eastAsia="Arial" w:cs="Arial"/>
      <w:b/>
      <w:bCs/>
      <w:snapToGrid w:val="0"/>
      <w:color w:val="000000"/>
      <w:sz w:val="21"/>
      <w:szCs w:val="21"/>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70beef70-d56b-472e-836e-59a22ea6adbe</errorID>
      <errorWord>加强</errorWord>
      <group>L1_Grammar</group>
      <groupName>语法问题</groupName>
      <ability>L2_Grammar</ability>
      <abilityName>语法错误</abilityName>
      <candidateList>
        <item>加大</item>
      </candidateList>
      <explain>“加强～力度”搭配不当，建议修改为“加大～力度”。</explain>
      <paraID>333CAA94</paraID>
      <start>142</start>
      <end>144</end>
      <status>unmodified</status>
      <modifiedWord/>
      <trackRevisions>false</trackRevisions>
    </reviewItem>
    <reviewItem>
      <errorID>cae2b3e5-29d2-4177-adf9-ed54e8913638</errorID>
      <errorWord>隐形切割</errorWord>
      <group>L1_Knowledge</group>
      <groupName>知识性问题</groupName>
      <ability>L2_Term</ability>
      <abilityName>专业术语</abilityName>
      <candidateList>
        <item>仿形切割</item>
      </candidateList>
      <explain/>
      <paraID>344825F0</paraID>
      <start>464</start>
      <end>468</end>
      <status>unmodified</status>
      <modifiedWord/>
      <trackRevisions>false</trackRevisions>
    </reviewItem>
  </reviewItems>
  <config/>
</contractReview>
</file>

<file path=customXml/itemProps1.xml><?xml version="1.0" encoding="utf-8"?>
<ds:datastoreItem xmlns:ds="http://schemas.openxmlformats.org/officeDocument/2006/customXml" ds:itemID="{0CDBBAF6-8A58-4F85-9A95-7842ECB2F049}">
  <ds:schemaRefs/>
</ds:datastoreItem>
</file>

<file path=docProps/app.xml><?xml version="1.0" encoding="utf-8"?>
<Properties xmlns="http://schemas.openxmlformats.org/officeDocument/2006/extended-properties" xmlns:vt="http://schemas.openxmlformats.org/officeDocument/2006/docPropsVTypes">
  <Template>Normal</Template>
  <Pages>3</Pages>
  <Words>2184</Words>
  <Characters>2301</Characters>
  <Lines>17</Lines>
  <Paragraphs>4</Paragraphs>
  <TotalTime>8</TotalTime>
  <ScaleCrop>false</ScaleCrop>
  <LinksUpToDate>false</LinksUpToDate>
  <CharactersWithSpaces>2335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2026-11-04T08:51:00Z</dcterms:created>
  <dc:creator>荣大-李雷</dc:creator>
  <cp:lastModifiedBy>Kayden</cp:lastModifiedBy>
  <dcterms:modified xsi:type="dcterms:W3CDTF">2026-11-04T09:58:08Z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2024-07-26T02:33:54Z</vt:filetime>
  </property>
  <property fmtid="{D5CDD505-2E9C-101B-9397-08002B2CF9AE}" pid="4" name="KSOProductBuildVer">
    <vt:lpwstr>2052-12.1.0.28505</vt:lpwstr>
  </property>
  <property fmtid="{D5CDD505-2E9C-101B-9397-08002B2CF9AE}" pid="5" name="ICV">
    <vt:lpwstr>91CBFA217C3C4D9AAE2FE569ED145BEF_13</vt:lpwstr>
  </property>
  <property fmtid="{D5CDD505-2E9C-101B-9397-08002B2CF9AE}" pid="6" name="KSOTemplateDocerSaveRecord">
    <vt:lpwstr>eyJoZGlkIjoiYjQ0OGI0MTdkYWRlNWEyOThhODZjZDRmMzg5MmFjMmQiLCJ1c2VySWQiOiI0MTU2NjMwNjYifQ==</vt:lpwstr>
  </property>
</Properties>
</file>