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A6F1DC">
      <w:pPr>
        <w:spacing w:before="156" w:beforeLines="50" w:after="156" w:afterLines="50" w:line="400" w:lineRule="exact"/>
        <w:rPr>
          <w:rFonts w:hint="eastAsia" w:ascii="TimesNewRoman" w:hAnsi="TimesNewRoman"/>
          <w:sz w:val="24"/>
        </w:rPr>
      </w:pPr>
      <w:r>
        <w:rPr>
          <w:rFonts w:hint="eastAsia" w:ascii="TimesNewRoman" w:hAnsi="宋体"/>
          <w:sz w:val="24"/>
        </w:rPr>
        <w:t>证券代码：</w:t>
      </w:r>
      <w:r>
        <w:rPr>
          <w:rFonts w:ascii="TimesNewRoman" w:hAnsi="TimesNewRoman"/>
          <w:sz w:val="24"/>
        </w:rPr>
        <w:t>688097</w:t>
      </w:r>
      <w:r>
        <w:rPr>
          <w:rFonts w:hint="eastAsia" w:ascii="TimesNewRoman" w:hAnsi="TimesNewRoman"/>
          <w:sz w:val="24"/>
        </w:rPr>
        <w:t xml:space="preserve">                                </w:t>
      </w:r>
      <w:r>
        <w:rPr>
          <w:rFonts w:hint="eastAsia" w:ascii="TimesNewRoman" w:hAnsi="宋体"/>
          <w:sz w:val="24"/>
        </w:rPr>
        <w:t>证券简称：博众精工</w:t>
      </w:r>
    </w:p>
    <w:p w14:paraId="2C1CA893">
      <w:pPr>
        <w:spacing w:before="312" w:beforeLines="100" w:after="312" w:afterLines="100" w:line="400" w:lineRule="exact"/>
        <w:jc w:val="center"/>
        <w:rPr>
          <w:rFonts w:ascii="TimesNewRoman" w:hAnsi="宋体"/>
          <w:b/>
          <w:sz w:val="32"/>
          <w:szCs w:val="32"/>
        </w:rPr>
      </w:pPr>
      <w:r>
        <w:rPr>
          <w:rFonts w:hint="eastAsia" w:ascii="TimesNewRoman" w:hAnsi="宋体"/>
          <w:b/>
          <w:sz w:val="32"/>
          <w:szCs w:val="32"/>
        </w:rPr>
        <w:t>博众精工科技股份有限公司</w:t>
      </w:r>
    </w:p>
    <w:p w14:paraId="2DF1FDBE">
      <w:pPr>
        <w:spacing w:before="312" w:beforeLines="100" w:after="312" w:afterLines="100" w:line="400" w:lineRule="exact"/>
        <w:jc w:val="center"/>
        <w:rPr>
          <w:rFonts w:hint="eastAsia" w:ascii="TimesNewRoman" w:hAnsi="TimesNewRoman"/>
          <w:b/>
          <w:sz w:val="32"/>
          <w:szCs w:val="32"/>
        </w:rPr>
      </w:pPr>
      <w:r>
        <w:rPr>
          <w:rFonts w:hint="eastAsia" w:ascii="TimesNewRoman" w:hAnsi="宋体"/>
          <w:b/>
          <w:sz w:val="32"/>
          <w:szCs w:val="32"/>
        </w:rPr>
        <w:t>投资者关系活动记录表</w:t>
      </w:r>
    </w:p>
    <w:p w14:paraId="6142793D">
      <w:pPr>
        <w:spacing w:line="400" w:lineRule="exact"/>
        <w:rPr>
          <w:rFonts w:hint="eastAsia" w:ascii="TimesNewRoman" w:hAnsi="TimesNewRoman" w:eastAsia="宋体"/>
          <w:sz w:val="24"/>
          <w:lang w:eastAsia="zh-CN"/>
        </w:rPr>
      </w:pPr>
      <w:r>
        <w:rPr>
          <w:rFonts w:hint="eastAsia" w:ascii="TimesNewRoman" w:hAnsi="TimesNewRoman"/>
          <w:sz w:val="24"/>
        </w:rPr>
        <w:t xml:space="preserve">                                                     </w:t>
      </w:r>
      <w:r>
        <w:rPr>
          <w:rFonts w:ascii="TimesNewRoman" w:hAnsi="TimesNewRoman"/>
          <w:sz w:val="24"/>
        </w:rPr>
        <w:t xml:space="preserve">  </w:t>
      </w:r>
      <w:r>
        <w:rPr>
          <w:rFonts w:hint="eastAsia" w:ascii="TimesNewRoman" w:hAnsi="TimesNewRoman"/>
          <w:sz w:val="24"/>
        </w:rPr>
        <w:t xml:space="preserve"> </w:t>
      </w:r>
      <w:r>
        <w:rPr>
          <w:rFonts w:hint="eastAsia" w:ascii="TimesNewRoman" w:hAnsi="宋体"/>
          <w:sz w:val="24"/>
        </w:rPr>
        <w:t>编号：</w:t>
      </w:r>
      <w:r>
        <w:rPr>
          <w:rFonts w:ascii="TimesNewRoman" w:hAnsi="TimesNewRoman"/>
          <w:sz w:val="24"/>
        </w:rPr>
        <w:t>202</w:t>
      </w:r>
      <w:r>
        <w:rPr>
          <w:rFonts w:hint="eastAsia" w:ascii="TimesNewRoman" w:hAnsi="TimesNewRoman"/>
          <w:sz w:val="24"/>
          <w:lang w:val="en-US" w:eastAsia="zh-CN"/>
        </w:rPr>
        <w:t>6</w:t>
      </w:r>
      <w:r>
        <w:rPr>
          <w:rFonts w:hint="eastAsia" w:ascii="TimesNewRoman" w:hAnsi="TimesNewRoman"/>
          <w:sz w:val="24"/>
        </w:rPr>
        <w:t>-</w:t>
      </w:r>
      <w:r>
        <w:rPr>
          <w:rFonts w:ascii="TimesNewRoman" w:hAnsi="TimesNewRoman"/>
          <w:sz w:val="24"/>
        </w:rPr>
        <w:t>00</w:t>
      </w:r>
      <w:r>
        <w:rPr>
          <w:rFonts w:hint="eastAsia" w:ascii="TimesNewRoman" w:hAnsi="TimesNewRoman"/>
          <w:sz w:val="24"/>
          <w:lang w:val="en-US" w:eastAsia="zh-CN"/>
        </w:rPr>
        <w:t>5</w:t>
      </w:r>
    </w:p>
    <w:tbl>
      <w:tblPr>
        <w:tblStyle w:val="8"/>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1"/>
        <w:gridCol w:w="7286"/>
      </w:tblGrid>
      <w:tr w14:paraId="3D51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5" w:hRule="atLeast"/>
          <w:jc w:val="center"/>
        </w:trPr>
        <w:tc>
          <w:tcPr>
            <w:tcW w:w="1781" w:type="dxa"/>
            <w:vAlign w:val="center"/>
          </w:tcPr>
          <w:p w14:paraId="1F50DCDC">
            <w:pPr>
              <w:spacing w:line="480" w:lineRule="atLeast"/>
              <w:jc w:val="both"/>
              <w:rPr>
                <w:rFonts w:hint="eastAsia" w:ascii="TimesNewRoman" w:hAnsi="TimesNewRoman"/>
                <w:b/>
                <w:sz w:val="24"/>
              </w:rPr>
            </w:pPr>
            <w:r>
              <w:rPr>
                <w:rFonts w:hint="eastAsia" w:ascii="TimesNewRoman" w:hAnsi="宋体"/>
                <w:b/>
                <w:sz w:val="24"/>
              </w:rPr>
              <w:t>投资者关系活动类别</w:t>
            </w:r>
          </w:p>
        </w:tc>
        <w:tc>
          <w:tcPr>
            <w:tcW w:w="7286" w:type="dxa"/>
            <w:tcBorders>
              <w:bottom w:val="single" w:color="auto" w:sz="4" w:space="0"/>
            </w:tcBorders>
          </w:tcPr>
          <w:p w14:paraId="343102EB">
            <w:pPr>
              <w:spacing w:line="480" w:lineRule="atLeast"/>
              <w:rPr>
                <w:rFonts w:hint="eastAsia" w:ascii="TimesNewRoman" w:hAnsi="TimesNewRoman"/>
                <w:sz w:val="24"/>
              </w:rPr>
            </w:pPr>
            <w:r>
              <w:rPr>
                <w:rFonts w:hint="eastAsia" w:ascii="TimesNewRoman" w:hAnsi="TimesNewRoman"/>
                <w:sz w:val="24"/>
              </w:rPr>
              <w:t>□</w:t>
            </w:r>
            <w:r>
              <w:rPr>
                <w:rFonts w:hint="eastAsia" w:ascii="TimesNewRoman" w:hAnsi="宋体"/>
                <w:sz w:val="24"/>
              </w:rPr>
              <w:t>特定对象调研</w:t>
            </w:r>
            <w:r>
              <w:rPr>
                <w:rFonts w:hint="eastAsia" w:ascii="TimesNewRoman" w:hAnsi="TimesNewRoman"/>
                <w:sz w:val="24"/>
              </w:rPr>
              <w:t xml:space="preserve">        □</w:t>
            </w:r>
            <w:r>
              <w:rPr>
                <w:rFonts w:hint="eastAsia" w:ascii="TimesNewRoman" w:hAnsi="宋体"/>
                <w:sz w:val="24"/>
              </w:rPr>
              <w:t>分析师会议</w:t>
            </w:r>
          </w:p>
          <w:p w14:paraId="1ED52EC5">
            <w:pPr>
              <w:spacing w:line="480" w:lineRule="atLeast"/>
              <w:rPr>
                <w:rFonts w:hint="eastAsia" w:ascii="TimesNewRoman" w:hAnsi="TimesNewRoman"/>
                <w:sz w:val="24"/>
              </w:rPr>
            </w:pPr>
            <w:r>
              <w:rPr>
                <w:rFonts w:hint="eastAsia" w:ascii="TimesNewRoman" w:hAnsi="TimesNewRoman"/>
                <w:sz w:val="24"/>
              </w:rPr>
              <w:t>□</w:t>
            </w:r>
            <w:r>
              <w:rPr>
                <w:rFonts w:hint="eastAsia" w:ascii="TimesNewRoman" w:hAnsi="宋体"/>
                <w:sz w:val="24"/>
              </w:rPr>
              <w:t>媒体采访</w:t>
            </w:r>
            <w:r>
              <w:rPr>
                <w:rFonts w:hint="eastAsia" w:ascii="TimesNewRoman" w:hAnsi="TimesNewRoman"/>
                <w:sz w:val="24"/>
              </w:rPr>
              <w:t xml:space="preserve">            □</w:t>
            </w:r>
            <w:r>
              <w:rPr>
                <w:rFonts w:hint="eastAsia" w:ascii="TimesNewRoman" w:hAnsi="宋体"/>
                <w:sz w:val="24"/>
              </w:rPr>
              <w:t>利润说明会</w:t>
            </w:r>
          </w:p>
          <w:p w14:paraId="21B0800A">
            <w:pPr>
              <w:spacing w:line="480" w:lineRule="atLeast"/>
              <w:rPr>
                <w:rFonts w:hint="eastAsia" w:ascii="TimesNewRoman" w:hAnsi="TimesNewRoman"/>
                <w:sz w:val="24"/>
              </w:rPr>
            </w:pPr>
            <w:bookmarkStart w:id="0" w:name="OLE_LINK1"/>
            <w:r>
              <w:rPr>
                <w:rFonts w:hint="eastAsia" w:ascii="TimesNewRoman" w:hAnsi="TimesNewRoman"/>
                <w:sz w:val="24"/>
                <w:lang w:eastAsia="zh-CN"/>
              </w:rPr>
              <w:t>□</w:t>
            </w:r>
            <w:bookmarkEnd w:id="0"/>
            <w:r>
              <w:rPr>
                <w:rFonts w:hint="eastAsia" w:ascii="TimesNewRoman" w:hAnsi="宋体"/>
                <w:sz w:val="24"/>
              </w:rPr>
              <w:t>新闻发布会</w:t>
            </w:r>
            <w:r>
              <w:rPr>
                <w:rFonts w:hint="eastAsia" w:ascii="TimesNewRoman" w:hAnsi="TimesNewRoman"/>
                <w:sz w:val="24"/>
              </w:rPr>
              <w:t xml:space="preserve">          □</w:t>
            </w:r>
            <w:r>
              <w:rPr>
                <w:rFonts w:hint="eastAsia" w:ascii="TimesNewRoman" w:hAnsi="宋体"/>
                <w:sz w:val="24"/>
              </w:rPr>
              <w:t>路演活动</w:t>
            </w:r>
          </w:p>
          <w:p w14:paraId="064692B8">
            <w:pPr>
              <w:tabs>
                <w:tab w:val="left" w:pos="3045"/>
                <w:tab w:val="center" w:pos="3199"/>
              </w:tabs>
              <w:spacing w:line="480" w:lineRule="atLeast"/>
              <w:rPr>
                <w:rFonts w:hint="default" w:ascii="TimesNewRoman" w:hAnsi="TimesNewRoman" w:eastAsia="宋体"/>
                <w:sz w:val="24"/>
                <w:lang w:val="en-US" w:eastAsia="zh-CN"/>
              </w:rPr>
            </w:pPr>
            <w:r>
              <w:rPr>
                <w:rFonts w:hint="eastAsia" w:ascii="TimesNewRoman" w:hAnsi="TimesNewRoman"/>
                <w:sz w:val="24"/>
              </w:rPr>
              <w:fldChar w:fldCharType="begin"/>
            </w:r>
            <w:r>
              <w:instrText xml:space="preserve"> LINK Word.Document.12 "E:\\4. 投资者关系\\1.调研\\2026-004 投资者关系活动记录表--业绩说明会.docx" "OLE_LINK1" \h \a </w:instrText>
            </w:r>
            <w:r>
              <w:rPr>
                <w:rFonts w:hint="eastAsia" w:ascii="TimesNewRoman" w:hAnsi="TimesNewRoman"/>
                <w:sz w:val="24"/>
              </w:rPr>
              <w:fldChar w:fldCharType="separate"/>
            </w:r>
            <w:r>
              <w:rPr>
                <w:rFonts w:hint="eastAsia" w:ascii="宋体" w:hAnsi="宋体" w:eastAsia="宋体" w:cs="宋体"/>
                <w:kern w:val="2"/>
                <w:sz w:val="24"/>
                <w:szCs w:val="24"/>
              </w:rPr>
              <w:t>□</w:t>
            </w:r>
            <w:r>
              <w:rPr>
                <w:rFonts w:hint="eastAsia" w:ascii="TimesNewRoman" w:hAnsi="TimesNewRoman"/>
                <w:sz w:val="24"/>
              </w:rPr>
              <w:fldChar w:fldCharType="end"/>
            </w:r>
            <w:r>
              <w:rPr>
                <w:rFonts w:hint="eastAsia" w:ascii="TimesNewRoman" w:hAnsi="宋体"/>
                <w:sz w:val="24"/>
              </w:rPr>
              <w:t>现场参观</w:t>
            </w:r>
            <w:r>
              <w:rPr>
                <w:rFonts w:hint="eastAsia" w:ascii="TimesNewRoman" w:hAnsi="宋体"/>
                <w:sz w:val="24"/>
                <w:lang w:val="en-US" w:eastAsia="zh-CN"/>
              </w:rPr>
              <w:t xml:space="preserve">            </w:t>
            </w:r>
            <w:r>
              <w:rPr>
                <w:rFonts w:ascii="TimesNewRoman" w:hAnsi="TimesNewRoman"/>
                <w:sz w:val="24"/>
              </w:rPr>
              <w:fldChar w:fldCharType="begin"/>
            </w:r>
            <w:r>
              <w:instrText xml:space="preserve"> LINK Word.Document.12 "E:\\4. 投资者关系\\1.调研\\2026-004 投资者关系活动记录表--业绩说明会.docx" "OLE_LINK1" \h \a </w:instrText>
            </w:r>
            <w:r>
              <w:rPr>
                <w:rFonts w:ascii="TimesNewRoman" w:hAnsi="TimesNewRoman"/>
                <w:sz w:val="24"/>
              </w:rPr>
              <w:fldChar w:fldCharType="separate"/>
            </w:r>
            <w:r>
              <w:rPr>
                <w:rFonts w:hint="eastAsia" w:ascii="宋体" w:hAnsi="宋体" w:cs="宋体"/>
                <w:kern w:val="2"/>
                <w:sz w:val="24"/>
                <w:szCs w:val="24"/>
                <w:lang w:eastAsia="zh-CN"/>
              </w:rPr>
              <w:t>☑</w:t>
            </w:r>
            <w:r>
              <w:rPr>
                <w:rFonts w:ascii="TimesNewRoman" w:hAnsi="TimesNewRoman"/>
                <w:sz w:val="24"/>
              </w:rPr>
              <w:fldChar w:fldCharType="end"/>
            </w:r>
            <w:r>
              <w:rPr>
                <w:rFonts w:hint="eastAsia" w:ascii="TimesNewRoman" w:hAnsi="TimesNewRoman"/>
                <w:sz w:val="24"/>
                <w:lang w:val="en-US" w:eastAsia="zh-CN"/>
              </w:rPr>
              <w:t>业绩说明会</w:t>
            </w:r>
          </w:p>
          <w:p w14:paraId="027B8749">
            <w:pPr>
              <w:tabs>
                <w:tab w:val="left" w:pos="3045"/>
                <w:tab w:val="center" w:pos="3199"/>
              </w:tabs>
              <w:spacing w:line="480" w:lineRule="atLeast"/>
              <w:rPr>
                <w:rFonts w:hint="eastAsia" w:ascii="TimesNewRoman" w:hAnsi="TimesNewRoman"/>
                <w:sz w:val="24"/>
              </w:rPr>
            </w:pPr>
            <w:r>
              <w:rPr>
                <w:rFonts w:hint="eastAsia" w:ascii="TimesNewRoman" w:hAnsi="TimesNewRoman"/>
                <w:sz w:val="24"/>
              </w:rPr>
              <w:fldChar w:fldCharType="begin"/>
            </w:r>
            <w:r>
              <w:instrText xml:space="preserve"> LINK Word.Document.12 "E:\\4. 投资者关系\\1.调研\\2026-004 投资者关系活动记录表--业绩说明会.docx" "OLE_LINK1" \h \a </w:instrText>
            </w:r>
            <w:r>
              <w:rPr>
                <w:rFonts w:hint="eastAsia" w:ascii="TimesNewRoman" w:hAnsi="TimesNewRoman"/>
                <w:sz w:val="24"/>
              </w:rPr>
              <w:fldChar w:fldCharType="separate"/>
            </w:r>
            <w:r>
              <w:rPr>
                <w:rFonts w:hint="eastAsia" w:ascii="宋体" w:hAnsi="宋体" w:eastAsia="宋体" w:cs="宋体"/>
                <w:kern w:val="2"/>
                <w:sz w:val="24"/>
                <w:szCs w:val="24"/>
              </w:rPr>
              <w:t>□</w:t>
            </w:r>
            <w:r>
              <w:rPr>
                <w:rFonts w:hint="eastAsia" w:ascii="TimesNewRoman" w:hAnsi="TimesNewRoman"/>
                <w:sz w:val="24"/>
              </w:rPr>
              <w:fldChar w:fldCharType="end"/>
            </w:r>
            <w:r>
              <w:rPr>
                <w:rFonts w:hint="eastAsia" w:ascii="TimesNewRoman" w:hAnsi="TimesNewRoman"/>
                <w:sz w:val="24"/>
              </w:rPr>
              <w:t>其他</w:t>
            </w:r>
          </w:p>
        </w:tc>
      </w:tr>
      <w:tr w14:paraId="71443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781" w:type="dxa"/>
          </w:tcPr>
          <w:p w14:paraId="40CA9ABB">
            <w:pPr>
              <w:spacing w:line="480" w:lineRule="atLeast"/>
              <w:rPr>
                <w:rFonts w:hint="eastAsia" w:ascii="TimesNewRoman" w:hAnsi="TimesNewRoman"/>
                <w:b/>
                <w:sz w:val="24"/>
              </w:rPr>
            </w:pPr>
            <w:r>
              <w:rPr>
                <w:rFonts w:hint="eastAsia" w:ascii="TimesNewRoman" w:hAnsi="宋体"/>
                <w:b/>
                <w:sz w:val="24"/>
              </w:rPr>
              <w:t>参与单位名称</w:t>
            </w:r>
          </w:p>
        </w:tc>
        <w:tc>
          <w:tcPr>
            <w:tcW w:w="7286" w:type="dxa"/>
          </w:tcPr>
          <w:p w14:paraId="6B93D454">
            <w:pPr>
              <w:spacing w:line="480" w:lineRule="atLeast"/>
              <w:rPr>
                <w:rFonts w:hint="default" w:ascii="TimesNewRoman" w:hAnsi="TimesNewRoman" w:cs="Arial" w:eastAsiaTheme="minorEastAsia"/>
                <w:color w:val="000000"/>
                <w:kern w:val="0"/>
                <w:sz w:val="24"/>
                <w:szCs w:val="24"/>
                <w:lang w:val="en-US" w:eastAsia="zh-CN"/>
              </w:rPr>
            </w:pPr>
            <w:r>
              <w:rPr>
                <w:rFonts w:hint="eastAsia" w:ascii="TimesNewRoman" w:hAnsi="TimesNewRoman" w:cs="Arial" w:eastAsiaTheme="minorEastAsia"/>
                <w:color w:val="000000"/>
                <w:kern w:val="0"/>
                <w:sz w:val="24"/>
                <w:szCs w:val="24"/>
                <w:lang w:val="en-US" w:eastAsia="zh-CN"/>
              </w:rPr>
              <w:t>参与博众精工2026年第三季度业绩说明会的广大投资者</w:t>
            </w:r>
          </w:p>
        </w:tc>
      </w:tr>
      <w:tr w14:paraId="423D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1" w:type="dxa"/>
          </w:tcPr>
          <w:p w14:paraId="4B40156E">
            <w:pPr>
              <w:spacing w:line="480" w:lineRule="atLeast"/>
              <w:rPr>
                <w:rFonts w:hint="eastAsia" w:ascii="TimesNewRoman" w:hAnsi="TimesNewRoman"/>
                <w:b/>
                <w:sz w:val="24"/>
              </w:rPr>
            </w:pPr>
            <w:r>
              <w:rPr>
                <w:rFonts w:hint="eastAsia" w:ascii="TimesNewRoman" w:hAnsi="宋体"/>
                <w:b/>
                <w:sz w:val="24"/>
              </w:rPr>
              <w:t>时间</w:t>
            </w:r>
          </w:p>
        </w:tc>
        <w:tc>
          <w:tcPr>
            <w:tcW w:w="7286" w:type="dxa"/>
            <w:vAlign w:val="center"/>
          </w:tcPr>
          <w:p w14:paraId="19DE4B1E">
            <w:pPr>
              <w:spacing w:line="480" w:lineRule="atLeast"/>
              <w:rPr>
                <w:rFonts w:hint="eastAsia" w:ascii="TimesNewRoman" w:hAnsi="TimesNewRoman"/>
                <w:sz w:val="24"/>
              </w:rPr>
            </w:pPr>
            <w:r>
              <w:rPr>
                <w:rFonts w:hint="eastAsia" w:ascii="TimesNewRoman" w:hAnsi="TimesNewRoman"/>
                <w:sz w:val="24"/>
              </w:rPr>
              <w:t>2</w:t>
            </w:r>
            <w:r>
              <w:rPr>
                <w:rFonts w:ascii="TimesNewRoman" w:hAnsi="TimesNewRoman"/>
                <w:sz w:val="24"/>
              </w:rPr>
              <w:t>02</w:t>
            </w:r>
            <w:r>
              <w:rPr>
                <w:rFonts w:hint="eastAsia" w:ascii="TimesNewRoman" w:hAnsi="TimesNewRoman"/>
                <w:sz w:val="24"/>
                <w:lang w:val="en-US" w:eastAsia="zh-CN"/>
              </w:rPr>
              <w:t>6</w:t>
            </w:r>
            <w:r>
              <w:rPr>
                <w:rFonts w:hint="eastAsia" w:ascii="TimesNewRoman" w:hAnsi="TimesNewRoman"/>
                <w:sz w:val="24"/>
              </w:rPr>
              <w:t>年</w:t>
            </w:r>
            <w:r>
              <w:rPr>
                <w:rFonts w:hint="eastAsia" w:ascii="TimesNewRoman" w:hAnsi="TimesNewRoman"/>
                <w:sz w:val="24"/>
                <w:lang w:val="en-US" w:eastAsia="zh-CN"/>
              </w:rPr>
              <w:t>11</w:t>
            </w:r>
            <w:r>
              <w:rPr>
                <w:rFonts w:hint="eastAsia" w:ascii="TimesNewRoman" w:hAnsi="TimesNewRoman"/>
                <w:sz w:val="24"/>
              </w:rPr>
              <w:t>月</w:t>
            </w:r>
            <w:r>
              <w:rPr>
                <w:rFonts w:hint="eastAsia" w:ascii="TimesNewRoman" w:hAnsi="TimesNewRoman"/>
                <w:sz w:val="24"/>
                <w:lang w:val="en-US" w:eastAsia="zh-CN"/>
              </w:rPr>
              <w:t>4</w:t>
            </w:r>
            <w:bookmarkStart w:id="1" w:name="_GoBack"/>
            <w:bookmarkEnd w:id="1"/>
            <w:r>
              <w:rPr>
                <w:rFonts w:hint="eastAsia" w:ascii="TimesNewRoman" w:hAnsi="TimesNewRoman"/>
                <w:sz w:val="24"/>
              </w:rPr>
              <w:t>日</w:t>
            </w:r>
            <w:r>
              <w:rPr>
                <w:rFonts w:hint="eastAsia" w:ascii="TimesNewRoman" w:hAnsi="TimesNewRoman"/>
                <w:sz w:val="24"/>
                <w:lang w:val="en-US" w:eastAsia="zh-CN"/>
              </w:rPr>
              <w:t>15:00-16:00</w:t>
            </w:r>
          </w:p>
        </w:tc>
      </w:tr>
      <w:tr w14:paraId="73EDD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781" w:type="dxa"/>
          </w:tcPr>
          <w:p w14:paraId="10EFC266">
            <w:pPr>
              <w:spacing w:line="480" w:lineRule="atLeast"/>
              <w:rPr>
                <w:rFonts w:hint="eastAsia" w:ascii="TimesNewRoman" w:hAnsi="TimesNewRoman"/>
                <w:b/>
                <w:sz w:val="24"/>
              </w:rPr>
            </w:pPr>
            <w:r>
              <w:rPr>
                <w:rFonts w:hint="eastAsia" w:ascii="TimesNewRoman" w:hAnsi="宋体"/>
                <w:b/>
                <w:sz w:val="24"/>
              </w:rPr>
              <w:t>地点</w:t>
            </w:r>
          </w:p>
        </w:tc>
        <w:tc>
          <w:tcPr>
            <w:tcW w:w="7286" w:type="dxa"/>
            <w:vAlign w:val="center"/>
          </w:tcPr>
          <w:p w14:paraId="6E13C1DF">
            <w:pPr>
              <w:spacing w:line="480" w:lineRule="atLeast"/>
              <w:rPr>
                <w:rFonts w:hint="eastAsia" w:ascii="TimesNewRoman" w:hAnsi="TimesNewRoman"/>
                <w:sz w:val="24"/>
              </w:rPr>
            </w:pPr>
            <w:r>
              <w:rPr>
                <w:rFonts w:hint="eastAsia" w:ascii="TimesNewRoman" w:hAnsi="TimesNewRoman"/>
                <w:sz w:val="24"/>
                <w:lang w:val="en-US" w:eastAsia="zh-CN"/>
              </w:rPr>
              <w:t>上海证券报·中国证券网路演中心：https://roadshow.cnstock.com/</w:t>
            </w:r>
          </w:p>
        </w:tc>
      </w:tr>
      <w:tr w14:paraId="26731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1" w:type="dxa"/>
          </w:tcPr>
          <w:p w14:paraId="62895F95">
            <w:pPr>
              <w:spacing w:line="480" w:lineRule="atLeast"/>
              <w:rPr>
                <w:rFonts w:hint="eastAsia" w:ascii="TimesNewRoman" w:hAnsi="TimesNewRoman"/>
                <w:b/>
                <w:sz w:val="24"/>
              </w:rPr>
            </w:pPr>
            <w:r>
              <w:rPr>
                <w:rFonts w:hint="eastAsia" w:ascii="TimesNewRoman" w:hAnsi="宋体"/>
                <w:b/>
                <w:sz w:val="24"/>
              </w:rPr>
              <w:t>上市公司接待人员姓名</w:t>
            </w:r>
          </w:p>
        </w:tc>
        <w:tc>
          <w:tcPr>
            <w:tcW w:w="7286" w:type="dxa"/>
            <w:vAlign w:val="center"/>
          </w:tcPr>
          <w:p w14:paraId="715E18A2">
            <w:pPr>
              <w:spacing w:line="480" w:lineRule="atLeast"/>
              <w:rPr>
                <w:rFonts w:hint="default" w:ascii="TimesNewRoman" w:hAnsi="宋体"/>
                <w:sz w:val="24"/>
                <w:lang w:val="en-US"/>
              </w:rPr>
            </w:pPr>
            <w:r>
              <w:rPr>
                <w:rFonts w:hint="eastAsia" w:ascii="TimesNewRoman" w:hAnsi="TimesNewRoman" w:cs="Arial" w:eastAsiaTheme="minorEastAsia"/>
                <w:color w:val="000000"/>
                <w:kern w:val="0"/>
                <w:sz w:val="24"/>
                <w:szCs w:val="24"/>
                <w:lang w:val="en-US" w:eastAsia="zh-CN"/>
              </w:rPr>
              <w:t>董事长、总经理吕绍林先生；董事会秘书余军先生；财务总监黄良之先生；独立董事秦非女士</w:t>
            </w:r>
          </w:p>
        </w:tc>
      </w:tr>
      <w:tr w14:paraId="59C6C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781" w:type="dxa"/>
            <w:vAlign w:val="center"/>
          </w:tcPr>
          <w:p w14:paraId="512F39EA">
            <w:pPr>
              <w:spacing w:line="480" w:lineRule="atLeast"/>
              <w:rPr>
                <w:rFonts w:hint="eastAsia" w:ascii="TimesNewRoman" w:hAnsi="TimesNewRoman"/>
                <w:b/>
                <w:sz w:val="24"/>
              </w:rPr>
            </w:pPr>
            <w:r>
              <w:rPr>
                <w:rFonts w:hint="eastAsia" w:ascii="TimesNewRoman" w:hAnsi="宋体"/>
                <w:b/>
                <w:sz w:val="24"/>
              </w:rPr>
              <w:t>投资者关系活动主要内容介绍</w:t>
            </w:r>
          </w:p>
        </w:tc>
        <w:tc>
          <w:tcPr>
            <w:tcW w:w="7286" w:type="dxa"/>
            <w:vAlign w:val="center"/>
          </w:tcPr>
          <w:p w14:paraId="2E8CFA1A">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1.请介绍公司2026年前三季度的整体经营业绩情况？</w:t>
            </w:r>
          </w:p>
          <w:p w14:paraId="2EA72710">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2026年前三季度，公司实现营业收入63.66亿元，同比增长74.25%；实现利润总额5.23亿元，同比增长57.79%；归属于上市公司股东的净利润4.92亿元，同比增长47.96%；归属于上市公司股东的扣除非经常性损益的净利润3.20亿元，同比增长56.64%；基本每股收益1.101元，同比增长47.98%。总体来看，公司前三季度经营业绩保持较快增长态势，经营质量持续提升，各项经营工作有序推进。谢谢！</w:t>
            </w:r>
          </w:p>
          <w:p w14:paraId="67ABB761">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64A9727A">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2.公司业绩增长的主要驱动因素是什么？</w:t>
            </w:r>
          </w:p>
          <w:p w14:paraId="401DCAD2">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公司业绩增长主要得益于公司持续深化与新能源、3C领域优质客户的业务合作，订单规模快速增长，带动整体销售规模稳步提升。公司充分发挥技术平台型企业的优势，消费电子、新能源等核心业务保持良好发展态势，半导体、汽车自动化等新兴业务持续成长，共同支撑了公司前三季度业绩的稳健增长。谢谢！</w:t>
            </w:r>
          </w:p>
          <w:p w14:paraId="2411490C">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26EEE317">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3.当前光通信设备行业景气度如何？公司如何看待光通信设备市场的发展前景？</w:t>
            </w:r>
          </w:p>
          <w:p w14:paraId="16A100FB">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随着AI算力基础设施建设的推进，光通信网络带宽需求持续提升，市场机构普遍认为光模块及相关设备需求保持较高景气，贴片、耦合、测试等核心工艺环节的设备需求有望持续增长。公司已在光通信设备相关环节完成布局，并将持续跟踪行业发展趋势与下游客户需求，积极把握市场机遇。上述关于行业前景的判断来源于市场公开信息及公司基于行业跟踪的合理判断，不构成业绩承诺。谢谢！</w:t>
            </w:r>
          </w:p>
          <w:p w14:paraId="33607BD0">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173F60EE">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4.公司近期启用了中南鸿思武汉分公司及博众半导体武汉研发中心，对公司半导体及光通信业务有何意义？</w:t>
            </w:r>
          </w:p>
          <w:p w14:paraId="78911453">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2026年10月29日，中南鸿思武汉分公司及博众半导体武汉研发中心正式启用。该布局有助于公司贴近华中地区光通信、半导体产业资源与客户，集聚研发人才，强化半导体光通信领域的研发与交付能力，进一步完善相关产品的设计、工艺与测试体系，为相关业务的持续发展提供支撑。谢谢！</w:t>
            </w:r>
          </w:p>
          <w:p w14:paraId="13E0D7CF">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1244953D">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5.公司研发投入情况如何？主要投向哪些方向？</w:t>
            </w:r>
          </w:p>
          <w:p w14:paraId="52AB2426">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2026年前三季度，公司研发投入合计5.58亿元，同比增长38.36%，占营业收入的比例为8.77%，主要系公司为匹配业务发展需求、提升产品竞争力，持续加大研发投入所致。公司研发投入紧密围绕战略赛道展开，重点投向消费电子、新能源、半导体（含光通信）、汽车自动化等核心业务领域的关键工艺与核心技术，持续夯实技术平台能力，支撑公司产品迭代与业务拓展。谢谢！</w:t>
            </w:r>
          </w:p>
          <w:p w14:paraId="009EDD7B">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4C4BDE0F">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6.近期公司股价波动较大，公司如何看待股价表现？</w:t>
            </w:r>
          </w:p>
          <w:p w14:paraId="38D8761B">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二级市场股价受宏观经济环境、市场情绪、行业板块表现及公司经营情况等多重因素影响，短期波动属于市场常态。公司始终专注于主营业务经营，不断提升经营质量与盈利能力，并严格按照相关法律法规履行信息披露义务，及时、公平、准确地披露公司经营情况。公司不对股价短期走势作预测或评价，敬请广大投资者理性看待市场波动，注意投资风险，以公司公告及定期报告披露的信息为准。谢谢！</w:t>
            </w:r>
          </w:p>
          <w:p w14:paraId="0B048767">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32A0338A">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7.公司主营业务布局情况如何？</w:t>
            </w:r>
          </w:p>
          <w:p w14:paraId="6A58C366">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公司是一家专注于研发和创新的技术平台型企业，主要从事自动化设备、自动化柔性生产线以及工装夹（治）具等产品的研发、设计、生产、销售及技术服务，产品主要落地应用于消费电子、新能源、汽车自动化、半导体（含光通信）等核心下游领域。目前，消费电子、新能源是公司两大主力业务板块，营收贡献占比较高；汽车自动化、半导体及光通信属于公司重点战略培育板块，随着产品迭代、客户验证落地与订单释放，未来有望逐步成长为支撑公司中长期发展战略的重要业务。谢谢！</w:t>
            </w:r>
          </w:p>
          <w:p w14:paraId="792DF017">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6F63FF2E">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8.公司在新能源领域的业务布局和进展如何？</w:t>
            </w:r>
          </w:p>
          <w:p w14:paraId="0C770DA5">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新能源是公司的核心业务板块之一，公司在该领域主要布局锂电专机设备、智能充换电站设备、智慧仓储物流等业务。根据公司已披露信息，方腔注液机、圆柱电池注液机、转盘注液机等核心产品市场认可度持续提升，锂电核心设备出货量大幅增长，行业市场份额稳步提升；智能充换电站业务订单实现较快增长，规模效应持续释放，并不断拓展船舶充换电等新兴应用场景；智慧仓储物流业务亦保持良好发展态势。新能源业务已成长为公司的核心增长引擎。谢谢！</w:t>
            </w:r>
          </w:p>
          <w:p w14:paraId="1D0F83BC">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13E7C99C">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9.公司总资产较上年末增长39.20%，主要原因是什么？</w:t>
            </w:r>
          </w:p>
          <w:p w14:paraId="2C6E720B">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截至2026年9月30日，公司总资产178.78亿元，较上年末增长39.20%，主要系公司订单快速增长带动流动资产增加，加之报告期内实施产业并购、标的公司纳入合并报表范围所致。公司资产规模与业务规模保持同步增长，资产负债结构总体稳健。谢谢！</w:t>
            </w:r>
          </w:p>
          <w:p w14:paraId="115A15C0">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1BBDF2BE">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10.请问公司第三季度单季的经营表现如何？</w:t>
            </w:r>
          </w:p>
          <w:p w14:paraId="3FE9809F">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2026年第三季度单季，公司实现营业收入31.30亿元，同比增长76.16%；归属于上市公司股东的净利润2.35亿元，同比增长38.16%；归属于上市公司股东的扣除非经常性损益的净利润2.22亿元，同比增长73.84%。单季度收入规模再上新台阶，扣非净利润增速高于表观利润增速，主营业务盈利能力持续增强。谢谢！</w:t>
            </w:r>
          </w:p>
          <w:p w14:paraId="0EA6D794">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71923641">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11.截至2026年9月末，公司股东户数和前十大股东情况如何？</w:t>
            </w:r>
          </w:p>
          <w:p w14:paraId="2F529FF5">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截至2026年9月30日，公司普通股股东总数为16,528户。前十大股东方面，控股股东江苏博众智能科技集团有限公司持有公司股份12,520.55万股，占公司总股本的28.00%；苏州众二股权投资合伙企业（有限合伙）持股11,124.66万股，占公司总股本的24.87%；天津信科弘创股权投资合伙企业（有限合伙）持股1,828.37万股，占4.09%；其余前十大股东持股比例均不超过3%。其中，江苏博众智能科技集团有限公司与苏州众一投资管理合伙企业（有限合伙）、苏州众二股权投资合伙企业（有限合伙）为一致行动人。谢谢！</w:t>
            </w:r>
          </w:p>
          <w:p w14:paraId="279D9C29">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52B55937">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12.前三季度公司经营活动现金流为负，原因是什么？后续现金流趋势如何？</w:t>
            </w:r>
          </w:p>
          <w:p w14:paraId="04AD5BAE">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2026年前三季度，公司经营活动产生的现金流量净额为-1.88亿元，同比下降126.51%，主要系报告期内公司订单规模持续扩大，业务扩张带来采购款项支付及各项运营费用前期投入增加所致。后续随着公司在手订单逐步交付验收、销售回款持续兑现，叠加公司持续优化资金管理与供应链账期管理，公司经营性现金流情况将逐步改善。谢谢！</w:t>
            </w:r>
          </w:p>
          <w:p w14:paraId="589365EF">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15A324F7">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1</w:t>
            </w:r>
            <w:r>
              <w:rPr>
                <w:rFonts w:hint="eastAsia" w:ascii="宋体" w:hAnsi="宋体"/>
                <w:color w:val="000000" w:themeColor="text1"/>
                <w:sz w:val="24"/>
                <w:szCs w:val="24"/>
                <w:shd w:val="clear" w:color="auto" w:fill="FFFFFF"/>
                <w:lang w:val="en-US" w:eastAsia="zh-CN"/>
                <w14:textFill>
                  <w14:solidFill>
                    <w14:schemeClr w14:val="tx1"/>
                  </w14:solidFill>
                </w14:textFill>
              </w:rPr>
              <w:t>3</w:t>
            </w:r>
            <w:r>
              <w:rPr>
                <w:rFonts w:hint="eastAsia" w:ascii="宋体" w:hAnsi="宋体"/>
                <w:color w:val="000000" w:themeColor="text1"/>
                <w:sz w:val="24"/>
                <w:szCs w:val="24"/>
                <w:shd w:val="clear" w:color="auto" w:fill="FFFFFF"/>
                <w14:textFill>
                  <w14:solidFill>
                    <w14:schemeClr w14:val="tx1"/>
                  </w14:solidFill>
                </w14:textFill>
              </w:rPr>
              <w:t>.公司扣除非经常性损益的净利润增速高于归母净利润增速，原因是什么？</w:t>
            </w:r>
          </w:p>
          <w:p w14:paraId="2B79F459">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2026年前三季度，公司非经常性损益合计1.72亿元，其中主要为非流动性资产处置损益1.62亿元，系公司转让部分子公司股权带来的投资收益增加所致；前三季度公司扣除非经常性损益的净利润同比增长56.64%，主要系公司订单及营业收入同比增长所致。谢谢！</w:t>
            </w:r>
          </w:p>
          <w:p w14:paraId="64C0103F">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47D1BE3C">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1</w:t>
            </w:r>
            <w:r>
              <w:rPr>
                <w:rFonts w:hint="eastAsia" w:ascii="宋体" w:hAnsi="宋体"/>
                <w:color w:val="000000" w:themeColor="text1"/>
                <w:sz w:val="24"/>
                <w:szCs w:val="24"/>
                <w:shd w:val="clear" w:color="auto" w:fill="FFFFFF"/>
                <w:lang w:val="en-US" w:eastAsia="zh-CN"/>
                <w14:textFill>
                  <w14:solidFill>
                    <w14:schemeClr w14:val="tx1"/>
                  </w14:solidFill>
                </w14:textFill>
              </w:rPr>
              <w:t>4</w:t>
            </w:r>
            <w:r>
              <w:rPr>
                <w:rFonts w:hint="eastAsia" w:ascii="宋体" w:hAnsi="宋体"/>
                <w:color w:val="000000" w:themeColor="text1"/>
                <w:sz w:val="24"/>
                <w:szCs w:val="24"/>
                <w:shd w:val="clear" w:color="auto" w:fill="FFFFFF"/>
                <w14:textFill>
                  <w14:solidFill>
                    <w14:schemeClr w14:val="tx1"/>
                  </w14:solidFill>
                </w14:textFill>
              </w:rPr>
              <w:t>.公司未来经营展望如何？</w:t>
            </w:r>
          </w:p>
          <w:p w14:paraId="5815D6CB">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公司将坚持既定发展战略，持续深化与新能源、3C领域优质客户的业务合作，巩固扩大核心业务优势；持续加大研发投入，强化在半导体、光通信、汽车自动化等新兴领域的布局；深入推进标准化战略与全球化布局，持续优化收入结构，提升经营质量与盈利能力。需要提示的是，以上展望不构成公司对未来业绩的承诺，相关经营情况请以公司定期报告及公告为准，敬请广大投资者注意投资风险。谢谢！</w:t>
            </w:r>
          </w:p>
          <w:p w14:paraId="4079A437">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p>
          <w:p w14:paraId="7DA70AD3">
            <w:pPr>
              <w:autoSpaceDE w:val="0"/>
              <w:autoSpaceDN w:val="0"/>
              <w:adjustRightInd w:val="0"/>
              <w:spacing w:line="360" w:lineRule="auto"/>
              <w:jc w:val="left"/>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1</w:t>
            </w:r>
            <w:r>
              <w:rPr>
                <w:rFonts w:hint="eastAsia" w:ascii="宋体" w:hAnsi="宋体"/>
                <w:color w:val="000000" w:themeColor="text1"/>
                <w:sz w:val="24"/>
                <w:szCs w:val="24"/>
                <w:shd w:val="clear" w:color="auto" w:fill="FFFFFF"/>
                <w:lang w:val="en-US" w:eastAsia="zh-CN"/>
                <w14:textFill>
                  <w14:solidFill>
                    <w14:schemeClr w14:val="tx1"/>
                  </w14:solidFill>
                </w14:textFill>
              </w:rPr>
              <w:t>5</w:t>
            </w:r>
            <w:r>
              <w:rPr>
                <w:rFonts w:hint="eastAsia" w:ascii="宋体" w:hAnsi="宋体"/>
                <w:color w:val="000000" w:themeColor="text1"/>
                <w:sz w:val="24"/>
                <w:szCs w:val="24"/>
                <w:shd w:val="clear" w:color="auto" w:fill="FFFFFF"/>
                <w14:textFill>
                  <w14:solidFill>
                    <w14:schemeClr w14:val="tx1"/>
                  </w14:solidFill>
                </w14:textFill>
              </w:rPr>
              <w:t>.近日，吴中发布的公众号上，讲到“博众精工科技股份有限公司如今在做两件看似不太相干的事：一边进入国内头部人形机器人企业的本体生产环节，订单饱满；另一边为一家国际知名机器人公司独家供应组装工作台、工作桌导轨及治具等生产辅助设备。”请问公司在机器人业务上布局如何？谢谢！</w:t>
            </w:r>
          </w:p>
          <w:p w14:paraId="133B13DD">
            <w:pPr>
              <w:autoSpaceDE w:val="0"/>
              <w:autoSpaceDN w:val="0"/>
              <w:adjustRightInd w:val="0"/>
              <w:spacing w:line="360" w:lineRule="auto"/>
              <w:jc w:val="left"/>
              <w:rPr>
                <w:rFonts w:ascii="宋体" w:hAnsi="宋体"/>
                <w:b/>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答：您好！公司聚焦自动化装备主业，已向国际知名机器人客户交付组装工作桌、导轨、治具等辅助生产设备，同时对接国内外头部人形机器人客户本体产线自动化设备需求。目前相关业务整体营收占公司总体营收比重较低，对公司业绩贡献有限，业务拓展亦存在一定不确定性，请广大投资者注意投资风险。公司将持续跟踪人形机器人行业产业化进程，把握装备端机会，具体进展请持续关注公司后续披露的定期报告。感谢您的关注！</w:t>
            </w:r>
          </w:p>
        </w:tc>
      </w:tr>
      <w:tr w14:paraId="0571A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1" w:type="dxa"/>
            <w:vAlign w:val="center"/>
          </w:tcPr>
          <w:p w14:paraId="5E6EE463">
            <w:pPr>
              <w:spacing w:line="480" w:lineRule="atLeast"/>
              <w:rPr>
                <w:rFonts w:hint="eastAsia" w:ascii="TimesNewRoman" w:hAnsi="TimesNewRoman"/>
                <w:b/>
                <w:sz w:val="24"/>
              </w:rPr>
            </w:pPr>
            <w:r>
              <w:rPr>
                <w:rFonts w:hint="eastAsia" w:ascii="TimesNewRoman" w:hAnsi="宋体"/>
                <w:b/>
                <w:sz w:val="24"/>
              </w:rPr>
              <w:t>附件清单（如有）</w:t>
            </w:r>
          </w:p>
        </w:tc>
        <w:tc>
          <w:tcPr>
            <w:tcW w:w="7286" w:type="dxa"/>
          </w:tcPr>
          <w:p w14:paraId="28305054">
            <w:pPr>
              <w:spacing w:line="480" w:lineRule="atLeast"/>
              <w:rPr>
                <w:rFonts w:hint="eastAsia" w:ascii="TimesNewRoman" w:hAnsi="TimesNewRoman"/>
                <w:sz w:val="24"/>
                <w:szCs w:val="24"/>
              </w:rPr>
            </w:pPr>
            <w:r>
              <w:rPr>
                <w:rFonts w:hint="eastAsia" w:ascii="TimesNewRoman" w:hAnsi="宋体"/>
                <w:sz w:val="24"/>
                <w:szCs w:val="24"/>
              </w:rPr>
              <w:t>无</w:t>
            </w:r>
          </w:p>
        </w:tc>
      </w:tr>
      <w:tr w14:paraId="5712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1" w:type="dxa"/>
            <w:vAlign w:val="center"/>
          </w:tcPr>
          <w:p w14:paraId="219F3E03">
            <w:pPr>
              <w:spacing w:line="480" w:lineRule="atLeast"/>
              <w:rPr>
                <w:rFonts w:hint="eastAsia" w:ascii="TimesNewRoman" w:hAnsi="TimesNewRoman"/>
                <w:b/>
                <w:sz w:val="24"/>
              </w:rPr>
            </w:pPr>
            <w:r>
              <w:rPr>
                <w:rFonts w:hint="eastAsia" w:ascii="TimesNewRoman" w:hAnsi="宋体"/>
                <w:b/>
                <w:sz w:val="24"/>
              </w:rPr>
              <w:t>日期</w:t>
            </w:r>
          </w:p>
        </w:tc>
        <w:tc>
          <w:tcPr>
            <w:tcW w:w="7286" w:type="dxa"/>
          </w:tcPr>
          <w:p w14:paraId="0F73B0F7">
            <w:pPr>
              <w:spacing w:line="480" w:lineRule="atLeast"/>
              <w:rPr>
                <w:rFonts w:hint="eastAsia" w:ascii="TimesNewRoman" w:hAnsi="TimesNewRoman"/>
                <w:sz w:val="24"/>
                <w:szCs w:val="24"/>
              </w:rPr>
            </w:pPr>
            <w:r>
              <w:rPr>
                <w:rFonts w:hint="eastAsia" w:ascii="TimesNewRoman" w:hAnsi="宋体"/>
                <w:sz w:val="24"/>
                <w:szCs w:val="24"/>
              </w:rPr>
              <w:t>2</w:t>
            </w:r>
            <w:r>
              <w:rPr>
                <w:rFonts w:ascii="TimesNewRoman" w:hAnsi="宋体"/>
                <w:sz w:val="24"/>
                <w:szCs w:val="24"/>
              </w:rPr>
              <w:t>02</w:t>
            </w:r>
            <w:r>
              <w:rPr>
                <w:rFonts w:hint="eastAsia" w:ascii="TimesNewRoman" w:hAnsi="宋体"/>
                <w:sz w:val="24"/>
                <w:szCs w:val="24"/>
                <w:lang w:val="en-US" w:eastAsia="zh-CN"/>
              </w:rPr>
              <w:t>6</w:t>
            </w:r>
            <w:r>
              <w:rPr>
                <w:rFonts w:hint="eastAsia" w:ascii="TimesNewRoman" w:hAnsi="宋体"/>
                <w:sz w:val="24"/>
                <w:szCs w:val="24"/>
              </w:rPr>
              <w:t xml:space="preserve">年 </w:t>
            </w:r>
            <w:r>
              <w:rPr>
                <w:rFonts w:hint="eastAsia" w:ascii="TimesNewRoman" w:hAnsi="宋体"/>
                <w:sz w:val="24"/>
                <w:szCs w:val="24"/>
                <w:lang w:val="en-US" w:eastAsia="zh-CN"/>
              </w:rPr>
              <w:t>11</w:t>
            </w:r>
            <w:r>
              <w:rPr>
                <w:rFonts w:hint="eastAsia" w:ascii="TimesNewRoman" w:hAnsi="宋体"/>
                <w:sz w:val="24"/>
                <w:szCs w:val="24"/>
              </w:rPr>
              <w:t>月</w:t>
            </w:r>
            <w:r>
              <w:rPr>
                <w:rFonts w:ascii="TimesNewRoman" w:hAnsi="TimesNewRoman"/>
                <w:sz w:val="24"/>
                <w:szCs w:val="24"/>
              </w:rPr>
              <w:t xml:space="preserve"> </w:t>
            </w:r>
            <w:r>
              <w:rPr>
                <w:rFonts w:hint="eastAsia" w:ascii="TimesNewRoman" w:hAnsi="TimesNewRoman"/>
                <w:sz w:val="24"/>
                <w:szCs w:val="24"/>
                <w:lang w:val="en-US" w:eastAsia="zh-CN"/>
              </w:rPr>
              <w:t>4</w:t>
            </w:r>
            <w:r>
              <w:rPr>
                <w:rFonts w:hint="eastAsia" w:ascii="TimesNewRoman" w:hAnsi="宋体"/>
                <w:sz w:val="24"/>
                <w:szCs w:val="24"/>
              </w:rPr>
              <w:t>日</w:t>
            </w:r>
          </w:p>
        </w:tc>
      </w:tr>
    </w:tbl>
    <w:p w14:paraId="27514829">
      <w:pPr>
        <w:rPr>
          <w:rFonts w:hint="eastAsia" w:ascii="TimesNewRoman" w:hAnsi="TimesNewRoman"/>
        </w:rPr>
      </w:pPr>
    </w:p>
    <w:p w14:paraId="672865D4">
      <w:pPr>
        <w:rPr>
          <w:rFonts w:hint="eastAsia" w:ascii="TimesNewRoman" w:hAnsi="TimesNewRoman"/>
        </w:rPr>
      </w:pPr>
    </w:p>
    <w:sectPr>
      <w:footerReference r:id="rId3"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NewRoman">
    <w:altName w:val="Times New Roman"/>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2555993"/>
      <w:docPartObj>
        <w:docPartGallery w:val="autotext"/>
      </w:docPartObj>
    </w:sdtPr>
    <w:sdtContent>
      <w:p w14:paraId="5DBA01B8">
        <w:pPr>
          <w:pStyle w:val="4"/>
          <w:jc w:val="center"/>
        </w:pPr>
        <w:r>
          <w:fldChar w:fldCharType="begin"/>
        </w:r>
        <w:r>
          <w:instrText xml:space="preserve">PAGE   \* MERGEFORMAT</w:instrText>
        </w:r>
        <w:r>
          <w:fldChar w:fldCharType="separate"/>
        </w:r>
        <w:r>
          <w:rPr>
            <w:lang w:val="zh-CN"/>
          </w:rPr>
          <w:t>4</w:t>
        </w:r>
        <w:r>
          <w:fldChar w:fldCharType="end"/>
        </w:r>
      </w:p>
    </w:sdtContent>
  </w:sdt>
  <w:p w14:paraId="5FDF39CE">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04D"/>
    <w:rsid w:val="000014F4"/>
    <w:rsid w:val="000019FB"/>
    <w:rsid w:val="00001F84"/>
    <w:rsid w:val="000071FE"/>
    <w:rsid w:val="00007235"/>
    <w:rsid w:val="00007E14"/>
    <w:rsid w:val="0001134B"/>
    <w:rsid w:val="0001160E"/>
    <w:rsid w:val="0001170A"/>
    <w:rsid w:val="000145C3"/>
    <w:rsid w:val="00016D7C"/>
    <w:rsid w:val="00021ECF"/>
    <w:rsid w:val="000259FC"/>
    <w:rsid w:val="00025BBB"/>
    <w:rsid w:val="00027252"/>
    <w:rsid w:val="00035521"/>
    <w:rsid w:val="0003702A"/>
    <w:rsid w:val="00041BD6"/>
    <w:rsid w:val="00043E52"/>
    <w:rsid w:val="00044D7B"/>
    <w:rsid w:val="00045697"/>
    <w:rsid w:val="00045A41"/>
    <w:rsid w:val="00046453"/>
    <w:rsid w:val="00052109"/>
    <w:rsid w:val="0005383E"/>
    <w:rsid w:val="000541F7"/>
    <w:rsid w:val="0005426F"/>
    <w:rsid w:val="000559E9"/>
    <w:rsid w:val="00056078"/>
    <w:rsid w:val="00060362"/>
    <w:rsid w:val="00061C80"/>
    <w:rsid w:val="00061F53"/>
    <w:rsid w:val="000621E4"/>
    <w:rsid w:val="000649C3"/>
    <w:rsid w:val="000659D8"/>
    <w:rsid w:val="0007110F"/>
    <w:rsid w:val="00072E7E"/>
    <w:rsid w:val="000765B4"/>
    <w:rsid w:val="000832A0"/>
    <w:rsid w:val="000846EC"/>
    <w:rsid w:val="00085F43"/>
    <w:rsid w:val="00086860"/>
    <w:rsid w:val="00086EA8"/>
    <w:rsid w:val="0009346E"/>
    <w:rsid w:val="000947FD"/>
    <w:rsid w:val="000963FF"/>
    <w:rsid w:val="00097EEC"/>
    <w:rsid w:val="000A002F"/>
    <w:rsid w:val="000A5CC2"/>
    <w:rsid w:val="000A6856"/>
    <w:rsid w:val="000A7AD7"/>
    <w:rsid w:val="000B0F4C"/>
    <w:rsid w:val="000B26DA"/>
    <w:rsid w:val="000B2D94"/>
    <w:rsid w:val="000B32A5"/>
    <w:rsid w:val="000B42A1"/>
    <w:rsid w:val="000B6B1B"/>
    <w:rsid w:val="000B7149"/>
    <w:rsid w:val="000B7A17"/>
    <w:rsid w:val="000C54D3"/>
    <w:rsid w:val="000D0E7C"/>
    <w:rsid w:val="000D3579"/>
    <w:rsid w:val="000D448C"/>
    <w:rsid w:val="000D4B1C"/>
    <w:rsid w:val="000D4FD0"/>
    <w:rsid w:val="000E3976"/>
    <w:rsid w:val="000F048E"/>
    <w:rsid w:val="000F161B"/>
    <w:rsid w:val="000F22C9"/>
    <w:rsid w:val="000F247E"/>
    <w:rsid w:val="000F5C45"/>
    <w:rsid w:val="000F63B3"/>
    <w:rsid w:val="000F6422"/>
    <w:rsid w:val="00100FB7"/>
    <w:rsid w:val="00104470"/>
    <w:rsid w:val="00111BB8"/>
    <w:rsid w:val="00111F24"/>
    <w:rsid w:val="001123B3"/>
    <w:rsid w:val="00112462"/>
    <w:rsid w:val="001129EB"/>
    <w:rsid w:val="001147DF"/>
    <w:rsid w:val="001153FF"/>
    <w:rsid w:val="00116D96"/>
    <w:rsid w:val="0011729A"/>
    <w:rsid w:val="00121617"/>
    <w:rsid w:val="001223F6"/>
    <w:rsid w:val="001254C0"/>
    <w:rsid w:val="00126E4D"/>
    <w:rsid w:val="0012735B"/>
    <w:rsid w:val="001273F2"/>
    <w:rsid w:val="00130CF7"/>
    <w:rsid w:val="00130D81"/>
    <w:rsid w:val="0013178A"/>
    <w:rsid w:val="00132274"/>
    <w:rsid w:val="00134783"/>
    <w:rsid w:val="001353EB"/>
    <w:rsid w:val="001360A8"/>
    <w:rsid w:val="00136249"/>
    <w:rsid w:val="00136A3B"/>
    <w:rsid w:val="00136AFF"/>
    <w:rsid w:val="001375BB"/>
    <w:rsid w:val="00140353"/>
    <w:rsid w:val="00140547"/>
    <w:rsid w:val="0014361E"/>
    <w:rsid w:val="00143A92"/>
    <w:rsid w:val="00143D4D"/>
    <w:rsid w:val="00145726"/>
    <w:rsid w:val="0014748C"/>
    <w:rsid w:val="00154E54"/>
    <w:rsid w:val="001603E2"/>
    <w:rsid w:val="0016378D"/>
    <w:rsid w:val="00163DDB"/>
    <w:rsid w:val="001661E6"/>
    <w:rsid w:val="001662AD"/>
    <w:rsid w:val="001672E7"/>
    <w:rsid w:val="0017273C"/>
    <w:rsid w:val="001727FA"/>
    <w:rsid w:val="00174E5B"/>
    <w:rsid w:val="00177FD5"/>
    <w:rsid w:val="0018028C"/>
    <w:rsid w:val="0018143E"/>
    <w:rsid w:val="001828EB"/>
    <w:rsid w:val="00182D94"/>
    <w:rsid w:val="001864AC"/>
    <w:rsid w:val="00186732"/>
    <w:rsid w:val="0018795F"/>
    <w:rsid w:val="00194CA3"/>
    <w:rsid w:val="0019541C"/>
    <w:rsid w:val="00195D86"/>
    <w:rsid w:val="00195EF8"/>
    <w:rsid w:val="00197A12"/>
    <w:rsid w:val="001A1292"/>
    <w:rsid w:val="001A136B"/>
    <w:rsid w:val="001A2DE6"/>
    <w:rsid w:val="001A5A36"/>
    <w:rsid w:val="001B20A4"/>
    <w:rsid w:val="001B6291"/>
    <w:rsid w:val="001B67F1"/>
    <w:rsid w:val="001C25CA"/>
    <w:rsid w:val="001C586C"/>
    <w:rsid w:val="001C6DC4"/>
    <w:rsid w:val="001D011D"/>
    <w:rsid w:val="001D1105"/>
    <w:rsid w:val="001D2C50"/>
    <w:rsid w:val="001D4FE2"/>
    <w:rsid w:val="001D5CD5"/>
    <w:rsid w:val="001D642F"/>
    <w:rsid w:val="001D6EB4"/>
    <w:rsid w:val="001E16FC"/>
    <w:rsid w:val="001E210D"/>
    <w:rsid w:val="001F0993"/>
    <w:rsid w:val="001F0F1C"/>
    <w:rsid w:val="001F11B8"/>
    <w:rsid w:val="001F4725"/>
    <w:rsid w:val="00200495"/>
    <w:rsid w:val="00201E60"/>
    <w:rsid w:val="002055EF"/>
    <w:rsid w:val="0020711D"/>
    <w:rsid w:val="00210E28"/>
    <w:rsid w:val="002137E2"/>
    <w:rsid w:val="00214FC8"/>
    <w:rsid w:val="00215042"/>
    <w:rsid w:val="00216004"/>
    <w:rsid w:val="002261E3"/>
    <w:rsid w:val="002264AA"/>
    <w:rsid w:val="00231E17"/>
    <w:rsid w:val="00232BDA"/>
    <w:rsid w:val="00233282"/>
    <w:rsid w:val="00236AE0"/>
    <w:rsid w:val="0023774F"/>
    <w:rsid w:val="00241ED6"/>
    <w:rsid w:val="00241F81"/>
    <w:rsid w:val="00241FFA"/>
    <w:rsid w:val="00246516"/>
    <w:rsid w:val="00247F54"/>
    <w:rsid w:val="00252051"/>
    <w:rsid w:val="00256CBC"/>
    <w:rsid w:val="00260CB0"/>
    <w:rsid w:val="002633B7"/>
    <w:rsid w:val="002713D9"/>
    <w:rsid w:val="00275528"/>
    <w:rsid w:val="00275F31"/>
    <w:rsid w:val="00281179"/>
    <w:rsid w:val="0028178B"/>
    <w:rsid w:val="00281C82"/>
    <w:rsid w:val="00285C6B"/>
    <w:rsid w:val="002910E9"/>
    <w:rsid w:val="0029119E"/>
    <w:rsid w:val="002932A1"/>
    <w:rsid w:val="002933DD"/>
    <w:rsid w:val="002941F4"/>
    <w:rsid w:val="002975D6"/>
    <w:rsid w:val="002A4BF6"/>
    <w:rsid w:val="002A5EDA"/>
    <w:rsid w:val="002B3688"/>
    <w:rsid w:val="002B3C37"/>
    <w:rsid w:val="002B6224"/>
    <w:rsid w:val="002B6BB0"/>
    <w:rsid w:val="002C1896"/>
    <w:rsid w:val="002C249C"/>
    <w:rsid w:val="002C3697"/>
    <w:rsid w:val="002C6557"/>
    <w:rsid w:val="002C7AD3"/>
    <w:rsid w:val="002C7D54"/>
    <w:rsid w:val="002D162B"/>
    <w:rsid w:val="002D433A"/>
    <w:rsid w:val="002D60DE"/>
    <w:rsid w:val="002D753E"/>
    <w:rsid w:val="002D7A18"/>
    <w:rsid w:val="002E129F"/>
    <w:rsid w:val="002E1E66"/>
    <w:rsid w:val="002E6D00"/>
    <w:rsid w:val="002E72E1"/>
    <w:rsid w:val="002E786A"/>
    <w:rsid w:val="002F248B"/>
    <w:rsid w:val="002F56E8"/>
    <w:rsid w:val="0030271F"/>
    <w:rsid w:val="0030503E"/>
    <w:rsid w:val="00305CAC"/>
    <w:rsid w:val="0031213A"/>
    <w:rsid w:val="00312DBF"/>
    <w:rsid w:val="00316A4E"/>
    <w:rsid w:val="003220F2"/>
    <w:rsid w:val="00323470"/>
    <w:rsid w:val="00323B8A"/>
    <w:rsid w:val="003244E6"/>
    <w:rsid w:val="00326834"/>
    <w:rsid w:val="00337761"/>
    <w:rsid w:val="0034079A"/>
    <w:rsid w:val="003411E6"/>
    <w:rsid w:val="003428AA"/>
    <w:rsid w:val="00343AC4"/>
    <w:rsid w:val="00350008"/>
    <w:rsid w:val="003502B1"/>
    <w:rsid w:val="003574DF"/>
    <w:rsid w:val="0036268A"/>
    <w:rsid w:val="00363F33"/>
    <w:rsid w:val="003666BA"/>
    <w:rsid w:val="00366C01"/>
    <w:rsid w:val="00366D14"/>
    <w:rsid w:val="00366D2F"/>
    <w:rsid w:val="00370EE6"/>
    <w:rsid w:val="003719C4"/>
    <w:rsid w:val="00373077"/>
    <w:rsid w:val="00373484"/>
    <w:rsid w:val="00373D35"/>
    <w:rsid w:val="0037587E"/>
    <w:rsid w:val="00375960"/>
    <w:rsid w:val="003760A3"/>
    <w:rsid w:val="003778AA"/>
    <w:rsid w:val="003800DB"/>
    <w:rsid w:val="00382B23"/>
    <w:rsid w:val="00386CE1"/>
    <w:rsid w:val="00391F0C"/>
    <w:rsid w:val="00394988"/>
    <w:rsid w:val="003A36C2"/>
    <w:rsid w:val="003A47C2"/>
    <w:rsid w:val="003A649F"/>
    <w:rsid w:val="003B1370"/>
    <w:rsid w:val="003B4A87"/>
    <w:rsid w:val="003B5F62"/>
    <w:rsid w:val="003B678A"/>
    <w:rsid w:val="003B7EC4"/>
    <w:rsid w:val="003C23EA"/>
    <w:rsid w:val="003C7806"/>
    <w:rsid w:val="003D0B0D"/>
    <w:rsid w:val="003D19B0"/>
    <w:rsid w:val="003D25B0"/>
    <w:rsid w:val="003D293E"/>
    <w:rsid w:val="003D559E"/>
    <w:rsid w:val="003D7451"/>
    <w:rsid w:val="003E0037"/>
    <w:rsid w:val="003E3C70"/>
    <w:rsid w:val="003E605A"/>
    <w:rsid w:val="003E6864"/>
    <w:rsid w:val="003E6CF9"/>
    <w:rsid w:val="003F018A"/>
    <w:rsid w:val="003F1AE1"/>
    <w:rsid w:val="003F3A63"/>
    <w:rsid w:val="0040111D"/>
    <w:rsid w:val="00402152"/>
    <w:rsid w:val="00402CC2"/>
    <w:rsid w:val="004078A4"/>
    <w:rsid w:val="0041361E"/>
    <w:rsid w:val="00416724"/>
    <w:rsid w:val="00421CAC"/>
    <w:rsid w:val="00422D27"/>
    <w:rsid w:val="00431D99"/>
    <w:rsid w:val="00432FEB"/>
    <w:rsid w:val="004376DC"/>
    <w:rsid w:val="004377A5"/>
    <w:rsid w:val="004401A3"/>
    <w:rsid w:val="00440633"/>
    <w:rsid w:val="004422C1"/>
    <w:rsid w:val="00442C69"/>
    <w:rsid w:val="0044371A"/>
    <w:rsid w:val="0044659F"/>
    <w:rsid w:val="0044774A"/>
    <w:rsid w:val="004511AD"/>
    <w:rsid w:val="0045276D"/>
    <w:rsid w:val="0046364D"/>
    <w:rsid w:val="00463C5F"/>
    <w:rsid w:val="00463EFC"/>
    <w:rsid w:val="00464CD4"/>
    <w:rsid w:val="00467575"/>
    <w:rsid w:val="00470A68"/>
    <w:rsid w:val="004710A2"/>
    <w:rsid w:val="00472E37"/>
    <w:rsid w:val="00474CEB"/>
    <w:rsid w:val="00475437"/>
    <w:rsid w:val="00475EAD"/>
    <w:rsid w:val="00477DDB"/>
    <w:rsid w:val="00482AAE"/>
    <w:rsid w:val="00486BAD"/>
    <w:rsid w:val="004914A0"/>
    <w:rsid w:val="00493A75"/>
    <w:rsid w:val="004949D7"/>
    <w:rsid w:val="004963AA"/>
    <w:rsid w:val="0049739A"/>
    <w:rsid w:val="004A0EBC"/>
    <w:rsid w:val="004A199E"/>
    <w:rsid w:val="004A2166"/>
    <w:rsid w:val="004A5D9A"/>
    <w:rsid w:val="004A6744"/>
    <w:rsid w:val="004A6F04"/>
    <w:rsid w:val="004B1B32"/>
    <w:rsid w:val="004B3A50"/>
    <w:rsid w:val="004B4E57"/>
    <w:rsid w:val="004C336E"/>
    <w:rsid w:val="004C4519"/>
    <w:rsid w:val="004C4573"/>
    <w:rsid w:val="004C4B30"/>
    <w:rsid w:val="004C59ED"/>
    <w:rsid w:val="004C5AC5"/>
    <w:rsid w:val="004E1E72"/>
    <w:rsid w:val="004E4069"/>
    <w:rsid w:val="004E55A8"/>
    <w:rsid w:val="004E7029"/>
    <w:rsid w:val="004F3751"/>
    <w:rsid w:val="005025D3"/>
    <w:rsid w:val="00502D46"/>
    <w:rsid w:val="00503BC3"/>
    <w:rsid w:val="00507C81"/>
    <w:rsid w:val="00510325"/>
    <w:rsid w:val="00511DA7"/>
    <w:rsid w:val="00512BE0"/>
    <w:rsid w:val="00517035"/>
    <w:rsid w:val="00527602"/>
    <w:rsid w:val="00530C76"/>
    <w:rsid w:val="00530C94"/>
    <w:rsid w:val="00532440"/>
    <w:rsid w:val="00533AE1"/>
    <w:rsid w:val="005341CB"/>
    <w:rsid w:val="00535FFF"/>
    <w:rsid w:val="00536DB0"/>
    <w:rsid w:val="005436FD"/>
    <w:rsid w:val="0055050B"/>
    <w:rsid w:val="00550615"/>
    <w:rsid w:val="005555BF"/>
    <w:rsid w:val="005576F0"/>
    <w:rsid w:val="00562493"/>
    <w:rsid w:val="00562B79"/>
    <w:rsid w:val="00563A0C"/>
    <w:rsid w:val="0057073A"/>
    <w:rsid w:val="00570D33"/>
    <w:rsid w:val="00572979"/>
    <w:rsid w:val="0057750F"/>
    <w:rsid w:val="005857FF"/>
    <w:rsid w:val="005862D0"/>
    <w:rsid w:val="00590261"/>
    <w:rsid w:val="00594430"/>
    <w:rsid w:val="0059653B"/>
    <w:rsid w:val="005A4790"/>
    <w:rsid w:val="005A5C94"/>
    <w:rsid w:val="005B2970"/>
    <w:rsid w:val="005B5582"/>
    <w:rsid w:val="005B592C"/>
    <w:rsid w:val="005B5AFE"/>
    <w:rsid w:val="005C1B38"/>
    <w:rsid w:val="005C1F2D"/>
    <w:rsid w:val="005C7F55"/>
    <w:rsid w:val="005D196E"/>
    <w:rsid w:val="005D2161"/>
    <w:rsid w:val="005D25B4"/>
    <w:rsid w:val="005D5FB8"/>
    <w:rsid w:val="005D6475"/>
    <w:rsid w:val="005D6E3B"/>
    <w:rsid w:val="005D79E7"/>
    <w:rsid w:val="005E11B8"/>
    <w:rsid w:val="005E241E"/>
    <w:rsid w:val="005E506E"/>
    <w:rsid w:val="005F45C0"/>
    <w:rsid w:val="005F4A68"/>
    <w:rsid w:val="005F4BB7"/>
    <w:rsid w:val="0060097D"/>
    <w:rsid w:val="00601EB3"/>
    <w:rsid w:val="00602A61"/>
    <w:rsid w:val="00604B31"/>
    <w:rsid w:val="006109F7"/>
    <w:rsid w:val="00610F53"/>
    <w:rsid w:val="006113DF"/>
    <w:rsid w:val="00611650"/>
    <w:rsid w:val="00614839"/>
    <w:rsid w:val="0061537A"/>
    <w:rsid w:val="006226AC"/>
    <w:rsid w:val="006306D8"/>
    <w:rsid w:val="006318D9"/>
    <w:rsid w:val="00632242"/>
    <w:rsid w:val="00632677"/>
    <w:rsid w:val="0063403F"/>
    <w:rsid w:val="00634412"/>
    <w:rsid w:val="00635DBE"/>
    <w:rsid w:val="00652FA8"/>
    <w:rsid w:val="00653F40"/>
    <w:rsid w:val="00656FB0"/>
    <w:rsid w:val="006612AA"/>
    <w:rsid w:val="00664EBC"/>
    <w:rsid w:val="00665E13"/>
    <w:rsid w:val="006673EF"/>
    <w:rsid w:val="00675B80"/>
    <w:rsid w:val="00680F21"/>
    <w:rsid w:val="006830DD"/>
    <w:rsid w:val="00685206"/>
    <w:rsid w:val="00685D9B"/>
    <w:rsid w:val="0069062E"/>
    <w:rsid w:val="0069129F"/>
    <w:rsid w:val="00691AD0"/>
    <w:rsid w:val="0069620A"/>
    <w:rsid w:val="006A1BBA"/>
    <w:rsid w:val="006A2E2C"/>
    <w:rsid w:val="006A30FD"/>
    <w:rsid w:val="006A4332"/>
    <w:rsid w:val="006B30B9"/>
    <w:rsid w:val="006B4B3D"/>
    <w:rsid w:val="006B5791"/>
    <w:rsid w:val="006B59C0"/>
    <w:rsid w:val="006B7FA4"/>
    <w:rsid w:val="006C568A"/>
    <w:rsid w:val="006C6A3C"/>
    <w:rsid w:val="006C71D5"/>
    <w:rsid w:val="006D42A9"/>
    <w:rsid w:val="006D506C"/>
    <w:rsid w:val="006D5172"/>
    <w:rsid w:val="006D59F1"/>
    <w:rsid w:val="006D70EF"/>
    <w:rsid w:val="006D7EA1"/>
    <w:rsid w:val="006E18AA"/>
    <w:rsid w:val="006E7907"/>
    <w:rsid w:val="006F05CE"/>
    <w:rsid w:val="006F2584"/>
    <w:rsid w:val="006F3FA6"/>
    <w:rsid w:val="006F5874"/>
    <w:rsid w:val="006F5E58"/>
    <w:rsid w:val="006F6A22"/>
    <w:rsid w:val="006F6AE5"/>
    <w:rsid w:val="0070033E"/>
    <w:rsid w:val="007048C5"/>
    <w:rsid w:val="007126AD"/>
    <w:rsid w:val="007169A1"/>
    <w:rsid w:val="00717633"/>
    <w:rsid w:val="00724495"/>
    <w:rsid w:val="00727C04"/>
    <w:rsid w:val="00731723"/>
    <w:rsid w:val="0073344B"/>
    <w:rsid w:val="00734298"/>
    <w:rsid w:val="00734F80"/>
    <w:rsid w:val="0073572A"/>
    <w:rsid w:val="00741158"/>
    <w:rsid w:val="007455B6"/>
    <w:rsid w:val="00746AA1"/>
    <w:rsid w:val="007527D0"/>
    <w:rsid w:val="007547CD"/>
    <w:rsid w:val="00756212"/>
    <w:rsid w:val="00756BB4"/>
    <w:rsid w:val="00760B1D"/>
    <w:rsid w:val="007638C8"/>
    <w:rsid w:val="0076447D"/>
    <w:rsid w:val="007706E6"/>
    <w:rsid w:val="0077302A"/>
    <w:rsid w:val="00773D4F"/>
    <w:rsid w:val="007821B2"/>
    <w:rsid w:val="007858CA"/>
    <w:rsid w:val="00785B3E"/>
    <w:rsid w:val="007911F3"/>
    <w:rsid w:val="007923DA"/>
    <w:rsid w:val="007933A1"/>
    <w:rsid w:val="00794BC0"/>
    <w:rsid w:val="007973F5"/>
    <w:rsid w:val="007A1DF2"/>
    <w:rsid w:val="007A50CC"/>
    <w:rsid w:val="007A61DD"/>
    <w:rsid w:val="007A6EE8"/>
    <w:rsid w:val="007A701D"/>
    <w:rsid w:val="007B0414"/>
    <w:rsid w:val="007B5BE8"/>
    <w:rsid w:val="007B73F8"/>
    <w:rsid w:val="007B76EC"/>
    <w:rsid w:val="007B7E15"/>
    <w:rsid w:val="007C03C8"/>
    <w:rsid w:val="007C0DD1"/>
    <w:rsid w:val="007C536A"/>
    <w:rsid w:val="007C5FED"/>
    <w:rsid w:val="007E17CE"/>
    <w:rsid w:val="007E185B"/>
    <w:rsid w:val="007E49F6"/>
    <w:rsid w:val="007F19EB"/>
    <w:rsid w:val="007F2CA9"/>
    <w:rsid w:val="007F494F"/>
    <w:rsid w:val="007F6718"/>
    <w:rsid w:val="00801B17"/>
    <w:rsid w:val="008034E4"/>
    <w:rsid w:val="00803995"/>
    <w:rsid w:val="00812B86"/>
    <w:rsid w:val="00816AFD"/>
    <w:rsid w:val="00820510"/>
    <w:rsid w:val="00820CBF"/>
    <w:rsid w:val="00822259"/>
    <w:rsid w:val="00825D5E"/>
    <w:rsid w:val="00827F59"/>
    <w:rsid w:val="00833143"/>
    <w:rsid w:val="008336FC"/>
    <w:rsid w:val="00841AD7"/>
    <w:rsid w:val="008465D6"/>
    <w:rsid w:val="00846655"/>
    <w:rsid w:val="00847AFF"/>
    <w:rsid w:val="00847C3F"/>
    <w:rsid w:val="008553E9"/>
    <w:rsid w:val="008556DF"/>
    <w:rsid w:val="00857D12"/>
    <w:rsid w:val="00871A26"/>
    <w:rsid w:val="00881FD2"/>
    <w:rsid w:val="00882E45"/>
    <w:rsid w:val="00882E5C"/>
    <w:rsid w:val="008836E0"/>
    <w:rsid w:val="00883D42"/>
    <w:rsid w:val="00885888"/>
    <w:rsid w:val="0088601F"/>
    <w:rsid w:val="008868C2"/>
    <w:rsid w:val="00887652"/>
    <w:rsid w:val="008904F5"/>
    <w:rsid w:val="00890876"/>
    <w:rsid w:val="008938B1"/>
    <w:rsid w:val="008948CD"/>
    <w:rsid w:val="00894B5A"/>
    <w:rsid w:val="00895909"/>
    <w:rsid w:val="008A0184"/>
    <w:rsid w:val="008A13EF"/>
    <w:rsid w:val="008A7363"/>
    <w:rsid w:val="008A7BEB"/>
    <w:rsid w:val="008B2E10"/>
    <w:rsid w:val="008B3D16"/>
    <w:rsid w:val="008B437D"/>
    <w:rsid w:val="008B460B"/>
    <w:rsid w:val="008C175B"/>
    <w:rsid w:val="008C22C0"/>
    <w:rsid w:val="008C49B9"/>
    <w:rsid w:val="008C6F14"/>
    <w:rsid w:val="008D0241"/>
    <w:rsid w:val="008D13C7"/>
    <w:rsid w:val="008D48E2"/>
    <w:rsid w:val="008D70F4"/>
    <w:rsid w:val="008D7130"/>
    <w:rsid w:val="008D7237"/>
    <w:rsid w:val="008D7B94"/>
    <w:rsid w:val="008E1538"/>
    <w:rsid w:val="008E188B"/>
    <w:rsid w:val="008E1C45"/>
    <w:rsid w:val="008E246B"/>
    <w:rsid w:val="008E2BFB"/>
    <w:rsid w:val="008E4346"/>
    <w:rsid w:val="008E76FF"/>
    <w:rsid w:val="008E7940"/>
    <w:rsid w:val="008F1924"/>
    <w:rsid w:val="008F21D9"/>
    <w:rsid w:val="008F245E"/>
    <w:rsid w:val="008F70F5"/>
    <w:rsid w:val="008F7B85"/>
    <w:rsid w:val="009001ED"/>
    <w:rsid w:val="00901A65"/>
    <w:rsid w:val="009027BF"/>
    <w:rsid w:val="00903763"/>
    <w:rsid w:val="0091507D"/>
    <w:rsid w:val="00917DD2"/>
    <w:rsid w:val="00923151"/>
    <w:rsid w:val="00923A78"/>
    <w:rsid w:val="00924D44"/>
    <w:rsid w:val="00925BDB"/>
    <w:rsid w:val="00932A6C"/>
    <w:rsid w:val="0093356E"/>
    <w:rsid w:val="00933A2E"/>
    <w:rsid w:val="009366FC"/>
    <w:rsid w:val="0093783F"/>
    <w:rsid w:val="00941380"/>
    <w:rsid w:val="00943D37"/>
    <w:rsid w:val="00943E94"/>
    <w:rsid w:val="009471D8"/>
    <w:rsid w:val="009524C0"/>
    <w:rsid w:val="00953783"/>
    <w:rsid w:val="009569AD"/>
    <w:rsid w:val="0095733F"/>
    <w:rsid w:val="00957F37"/>
    <w:rsid w:val="00960C9A"/>
    <w:rsid w:val="009674F0"/>
    <w:rsid w:val="009675DE"/>
    <w:rsid w:val="00972433"/>
    <w:rsid w:val="00972BBD"/>
    <w:rsid w:val="009734A6"/>
    <w:rsid w:val="00974572"/>
    <w:rsid w:val="00977154"/>
    <w:rsid w:val="00977739"/>
    <w:rsid w:val="00984FE6"/>
    <w:rsid w:val="009852FA"/>
    <w:rsid w:val="00986394"/>
    <w:rsid w:val="009937D8"/>
    <w:rsid w:val="0099512B"/>
    <w:rsid w:val="00995B9D"/>
    <w:rsid w:val="00996253"/>
    <w:rsid w:val="009968A8"/>
    <w:rsid w:val="009A1381"/>
    <w:rsid w:val="009A2BDB"/>
    <w:rsid w:val="009A64A5"/>
    <w:rsid w:val="009A69FC"/>
    <w:rsid w:val="009A7806"/>
    <w:rsid w:val="009A7EDA"/>
    <w:rsid w:val="009B1061"/>
    <w:rsid w:val="009B3023"/>
    <w:rsid w:val="009B3A2F"/>
    <w:rsid w:val="009C048F"/>
    <w:rsid w:val="009C0B5A"/>
    <w:rsid w:val="009C0CBE"/>
    <w:rsid w:val="009C3286"/>
    <w:rsid w:val="009C50BB"/>
    <w:rsid w:val="009C58D8"/>
    <w:rsid w:val="009C6070"/>
    <w:rsid w:val="009D0B5E"/>
    <w:rsid w:val="009D11B8"/>
    <w:rsid w:val="009D13ED"/>
    <w:rsid w:val="009D2D7D"/>
    <w:rsid w:val="009D5F85"/>
    <w:rsid w:val="009D666E"/>
    <w:rsid w:val="009E1DF1"/>
    <w:rsid w:val="009E235D"/>
    <w:rsid w:val="009F432D"/>
    <w:rsid w:val="009F5411"/>
    <w:rsid w:val="009F68B1"/>
    <w:rsid w:val="00A00035"/>
    <w:rsid w:val="00A02A37"/>
    <w:rsid w:val="00A05011"/>
    <w:rsid w:val="00A064E0"/>
    <w:rsid w:val="00A07400"/>
    <w:rsid w:val="00A11C23"/>
    <w:rsid w:val="00A12338"/>
    <w:rsid w:val="00A14B5A"/>
    <w:rsid w:val="00A20297"/>
    <w:rsid w:val="00A21381"/>
    <w:rsid w:val="00A2288B"/>
    <w:rsid w:val="00A2354A"/>
    <w:rsid w:val="00A24F08"/>
    <w:rsid w:val="00A30CC8"/>
    <w:rsid w:val="00A324C8"/>
    <w:rsid w:val="00A33AAD"/>
    <w:rsid w:val="00A35F50"/>
    <w:rsid w:val="00A41447"/>
    <w:rsid w:val="00A4217C"/>
    <w:rsid w:val="00A466E2"/>
    <w:rsid w:val="00A51B3A"/>
    <w:rsid w:val="00A536E2"/>
    <w:rsid w:val="00A54327"/>
    <w:rsid w:val="00A55124"/>
    <w:rsid w:val="00A56A26"/>
    <w:rsid w:val="00A60105"/>
    <w:rsid w:val="00A633A3"/>
    <w:rsid w:val="00A63B6C"/>
    <w:rsid w:val="00A63B9F"/>
    <w:rsid w:val="00A6406F"/>
    <w:rsid w:val="00A7338C"/>
    <w:rsid w:val="00A7584E"/>
    <w:rsid w:val="00A76103"/>
    <w:rsid w:val="00A76437"/>
    <w:rsid w:val="00A80688"/>
    <w:rsid w:val="00A80E7E"/>
    <w:rsid w:val="00A82249"/>
    <w:rsid w:val="00A92AD4"/>
    <w:rsid w:val="00A95077"/>
    <w:rsid w:val="00A97239"/>
    <w:rsid w:val="00AB08EB"/>
    <w:rsid w:val="00AB09D7"/>
    <w:rsid w:val="00AB3A18"/>
    <w:rsid w:val="00AB55D9"/>
    <w:rsid w:val="00AB6086"/>
    <w:rsid w:val="00AC309C"/>
    <w:rsid w:val="00AC547C"/>
    <w:rsid w:val="00AD11F3"/>
    <w:rsid w:val="00AD4C75"/>
    <w:rsid w:val="00AE411B"/>
    <w:rsid w:val="00AE7FF6"/>
    <w:rsid w:val="00AF582D"/>
    <w:rsid w:val="00AF6F58"/>
    <w:rsid w:val="00B00CDE"/>
    <w:rsid w:val="00B03313"/>
    <w:rsid w:val="00B07C7E"/>
    <w:rsid w:val="00B11A28"/>
    <w:rsid w:val="00B15A7A"/>
    <w:rsid w:val="00B171B7"/>
    <w:rsid w:val="00B17BF1"/>
    <w:rsid w:val="00B246C1"/>
    <w:rsid w:val="00B25E21"/>
    <w:rsid w:val="00B27167"/>
    <w:rsid w:val="00B30319"/>
    <w:rsid w:val="00B3038F"/>
    <w:rsid w:val="00B318E1"/>
    <w:rsid w:val="00B36363"/>
    <w:rsid w:val="00B37BD0"/>
    <w:rsid w:val="00B37DDB"/>
    <w:rsid w:val="00B37FCB"/>
    <w:rsid w:val="00B4011B"/>
    <w:rsid w:val="00B40F71"/>
    <w:rsid w:val="00B559A3"/>
    <w:rsid w:val="00B56182"/>
    <w:rsid w:val="00B61508"/>
    <w:rsid w:val="00B62D69"/>
    <w:rsid w:val="00B63CA9"/>
    <w:rsid w:val="00B71B05"/>
    <w:rsid w:val="00B74A27"/>
    <w:rsid w:val="00B75C00"/>
    <w:rsid w:val="00B80F0F"/>
    <w:rsid w:val="00B82484"/>
    <w:rsid w:val="00B839CA"/>
    <w:rsid w:val="00B8427D"/>
    <w:rsid w:val="00B84A8B"/>
    <w:rsid w:val="00B84D66"/>
    <w:rsid w:val="00B85DA8"/>
    <w:rsid w:val="00B87599"/>
    <w:rsid w:val="00B90BC3"/>
    <w:rsid w:val="00B92A2E"/>
    <w:rsid w:val="00B92CBA"/>
    <w:rsid w:val="00BA0A5F"/>
    <w:rsid w:val="00BA3239"/>
    <w:rsid w:val="00BA59A4"/>
    <w:rsid w:val="00BA73F6"/>
    <w:rsid w:val="00BB5A23"/>
    <w:rsid w:val="00BB612D"/>
    <w:rsid w:val="00BB7D88"/>
    <w:rsid w:val="00BC007F"/>
    <w:rsid w:val="00BC5000"/>
    <w:rsid w:val="00BC7406"/>
    <w:rsid w:val="00BD36B7"/>
    <w:rsid w:val="00BD6970"/>
    <w:rsid w:val="00BE06C2"/>
    <w:rsid w:val="00BE126B"/>
    <w:rsid w:val="00BE4753"/>
    <w:rsid w:val="00BF3A99"/>
    <w:rsid w:val="00BF3E98"/>
    <w:rsid w:val="00BF7BC5"/>
    <w:rsid w:val="00C006BC"/>
    <w:rsid w:val="00C02F5D"/>
    <w:rsid w:val="00C0308C"/>
    <w:rsid w:val="00C04DF9"/>
    <w:rsid w:val="00C07EDD"/>
    <w:rsid w:val="00C11C7A"/>
    <w:rsid w:val="00C12458"/>
    <w:rsid w:val="00C12ECD"/>
    <w:rsid w:val="00C1348B"/>
    <w:rsid w:val="00C13608"/>
    <w:rsid w:val="00C14CD4"/>
    <w:rsid w:val="00C16852"/>
    <w:rsid w:val="00C175B7"/>
    <w:rsid w:val="00C21A9D"/>
    <w:rsid w:val="00C25D36"/>
    <w:rsid w:val="00C27E67"/>
    <w:rsid w:val="00C30B8F"/>
    <w:rsid w:val="00C30BC5"/>
    <w:rsid w:val="00C320A4"/>
    <w:rsid w:val="00C3248F"/>
    <w:rsid w:val="00C35433"/>
    <w:rsid w:val="00C35C11"/>
    <w:rsid w:val="00C410B6"/>
    <w:rsid w:val="00C4371C"/>
    <w:rsid w:val="00C43E31"/>
    <w:rsid w:val="00C46079"/>
    <w:rsid w:val="00C54929"/>
    <w:rsid w:val="00C55F7C"/>
    <w:rsid w:val="00C56458"/>
    <w:rsid w:val="00C56476"/>
    <w:rsid w:val="00C5765E"/>
    <w:rsid w:val="00C630C4"/>
    <w:rsid w:val="00C64189"/>
    <w:rsid w:val="00C655B3"/>
    <w:rsid w:val="00C658DD"/>
    <w:rsid w:val="00C67B55"/>
    <w:rsid w:val="00C76C8F"/>
    <w:rsid w:val="00C80B7A"/>
    <w:rsid w:val="00C91D57"/>
    <w:rsid w:val="00C9227E"/>
    <w:rsid w:val="00C93B5A"/>
    <w:rsid w:val="00C960F5"/>
    <w:rsid w:val="00CA13BB"/>
    <w:rsid w:val="00CA432D"/>
    <w:rsid w:val="00CA4A59"/>
    <w:rsid w:val="00CA6204"/>
    <w:rsid w:val="00CA6B5A"/>
    <w:rsid w:val="00CA774D"/>
    <w:rsid w:val="00CB1219"/>
    <w:rsid w:val="00CB63E1"/>
    <w:rsid w:val="00CC2545"/>
    <w:rsid w:val="00CC517C"/>
    <w:rsid w:val="00CD03F9"/>
    <w:rsid w:val="00CD2003"/>
    <w:rsid w:val="00CD284B"/>
    <w:rsid w:val="00CD327A"/>
    <w:rsid w:val="00CD38B2"/>
    <w:rsid w:val="00CD3B73"/>
    <w:rsid w:val="00CD70C9"/>
    <w:rsid w:val="00CE130A"/>
    <w:rsid w:val="00CE14C6"/>
    <w:rsid w:val="00CE248F"/>
    <w:rsid w:val="00CE31D1"/>
    <w:rsid w:val="00CE3A25"/>
    <w:rsid w:val="00CE3BE3"/>
    <w:rsid w:val="00CE4206"/>
    <w:rsid w:val="00CE4F4E"/>
    <w:rsid w:val="00CF028A"/>
    <w:rsid w:val="00D004CF"/>
    <w:rsid w:val="00D03B44"/>
    <w:rsid w:val="00D0461B"/>
    <w:rsid w:val="00D07246"/>
    <w:rsid w:val="00D07756"/>
    <w:rsid w:val="00D129E9"/>
    <w:rsid w:val="00D12B9A"/>
    <w:rsid w:val="00D12F6D"/>
    <w:rsid w:val="00D138C1"/>
    <w:rsid w:val="00D16EE3"/>
    <w:rsid w:val="00D178FC"/>
    <w:rsid w:val="00D20834"/>
    <w:rsid w:val="00D21866"/>
    <w:rsid w:val="00D27624"/>
    <w:rsid w:val="00D305D4"/>
    <w:rsid w:val="00D310AF"/>
    <w:rsid w:val="00D32A69"/>
    <w:rsid w:val="00D337A4"/>
    <w:rsid w:val="00D33DF4"/>
    <w:rsid w:val="00D35760"/>
    <w:rsid w:val="00D3704D"/>
    <w:rsid w:val="00D42D8F"/>
    <w:rsid w:val="00D4303F"/>
    <w:rsid w:val="00D4388E"/>
    <w:rsid w:val="00D50C4D"/>
    <w:rsid w:val="00D53A17"/>
    <w:rsid w:val="00D54D6C"/>
    <w:rsid w:val="00D63750"/>
    <w:rsid w:val="00D66C56"/>
    <w:rsid w:val="00D67798"/>
    <w:rsid w:val="00D75688"/>
    <w:rsid w:val="00D761F4"/>
    <w:rsid w:val="00D81E9B"/>
    <w:rsid w:val="00D934AE"/>
    <w:rsid w:val="00D95CC8"/>
    <w:rsid w:val="00D972AD"/>
    <w:rsid w:val="00DA13A6"/>
    <w:rsid w:val="00DA22C6"/>
    <w:rsid w:val="00DA2A28"/>
    <w:rsid w:val="00DA2DE9"/>
    <w:rsid w:val="00DA3316"/>
    <w:rsid w:val="00DA47F3"/>
    <w:rsid w:val="00DA4D9C"/>
    <w:rsid w:val="00DA54AC"/>
    <w:rsid w:val="00DA5DC6"/>
    <w:rsid w:val="00DB02AC"/>
    <w:rsid w:val="00DB0B87"/>
    <w:rsid w:val="00DB6227"/>
    <w:rsid w:val="00DC0476"/>
    <w:rsid w:val="00DC3E35"/>
    <w:rsid w:val="00DC3FC5"/>
    <w:rsid w:val="00DD3503"/>
    <w:rsid w:val="00DD4179"/>
    <w:rsid w:val="00DD4442"/>
    <w:rsid w:val="00DD553E"/>
    <w:rsid w:val="00DE1483"/>
    <w:rsid w:val="00DE2963"/>
    <w:rsid w:val="00DE3A82"/>
    <w:rsid w:val="00DE56A1"/>
    <w:rsid w:val="00DE5CA8"/>
    <w:rsid w:val="00DF5070"/>
    <w:rsid w:val="00DF79E4"/>
    <w:rsid w:val="00E03067"/>
    <w:rsid w:val="00E058BC"/>
    <w:rsid w:val="00E05B14"/>
    <w:rsid w:val="00E102FD"/>
    <w:rsid w:val="00E10F87"/>
    <w:rsid w:val="00E13CD5"/>
    <w:rsid w:val="00E142F5"/>
    <w:rsid w:val="00E173B8"/>
    <w:rsid w:val="00E20C09"/>
    <w:rsid w:val="00E2277E"/>
    <w:rsid w:val="00E23296"/>
    <w:rsid w:val="00E23986"/>
    <w:rsid w:val="00E23AE5"/>
    <w:rsid w:val="00E24C18"/>
    <w:rsid w:val="00E30D95"/>
    <w:rsid w:val="00E342E1"/>
    <w:rsid w:val="00E3575E"/>
    <w:rsid w:val="00E41DBA"/>
    <w:rsid w:val="00E425C7"/>
    <w:rsid w:val="00E43E0A"/>
    <w:rsid w:val="00E4408B"/>
    <w:rsid w:val="00E46C41"/>
    <w:rsid w:val="00E47C8F"/>
    <w:rsid w:val="00E50CD4"/>
    <w:rsid w:val="00E53B03"/>
    <w:rsid w:val="00E542BE"/>
    <w:rsid w:val="00E54CCD"/>
    <w:rsid w:val="00E5710C"/>
    <w:rsid w:val="00E61B30"/>
    <w:rsid w:val="00E62CC4"/>
    <w:rsid w:val="00E63CB3"/>
    <w:rsid w:val="00E641B9"/>
    <w:rsid w:val="00E67912"/>
    <w:rsid w:val="00E67E4D"/>
    <w:rsid w:val="00E71453"/>
    <w:rsid w:val="00E719FB"/>
    <w:rsid w:val="00E71F7B"/>
    <w:rsid w:val="00E73989"/>
    <w:rsid w:val="00E80235"/>
    <w:rsid w:val="00E80286"/>
    <w:rsid w:val="00E82F6C"/>
    <w:rsid w:val="00E83088"/>
    <w:rsid w:val="00E83A63"/>
    <w:rsid w:val="00E8405A"/>
    <w:rsid w:val="00E86C80"/>
    <w:rsid w:val="00E87A6D"/>
    <w:rsid w:val="00E91DC8"/>
    <w:rsid w:val="00E9259D"/>
    <w:rsid w:val="00E92E02"/>
    <w:rsid w:val="00EA4ABC"/>
    <w:rsid w:val="00EA4FA7"/>
    <w:rsid w:val="00EB062A"/>
    <w:rsid w:val="00EB2036"/>
    <w:rsid w:val="00EB257B"/>
    <w:rsid w:val="00EB2F5C"/>
    <w:rsid w:val="00EB3294"/>
    <w:rsid w:val="00EB3937"/>
    <w:rsid w:val="00EB7E09"/>
    <w:rsid w:val="00EC1D56"/>
    <w:rsid w:val="00EC4BAE"/>
    <w:rsid w:val="00ED367C"/>
    <w:rsid w:val="00ED4DC5"/>
    <w:rsid w:val="00EE0887"/>
    <w:rsid w:val="00EE0998"/>
    <w:rsid w:val="00EE10B1"/>
    <w:rsid w:val="00EE62D5"/>
    <w:rsid w:val="00EE64C5"/>
    <w:rsid w:val="00EF1118"/>
    <w:rsid w:val="00EF2B7F"/>
    <w:rsid w:val="00EF3B7D"/>
    <w:rsid w:val="00F019FE"/>
    <w:rsid w:val="00F01A7F"/>
    <w:rsid w:val="00F02620"/>
    <w:rsid w:val="00F02A41"/>
    <w:rsid w:val="00F04F34"/>
    <w:rsid w:val="00F067CC"/>
    <w:rsid w:val="00F079BE"/>
    <w:rsid w:val="00F10609"/>
    <w:rsid w:val="00F10E78"/>
    <w:rsid w:val="00F12DED"/>
    <w:rsid w:val="00F158FB"/>
    <w:rsid w:val="00F20259"/>
    <w:rsid w:val="00F211AD"/>
    <w:rsid w:val="00F22C6B"/>
    <w:rsid w:val="00F22E84"/>
    <w:rsid w:val="00F24DC5"/>
    <w:rsid w:val="00F31223"/>
    <w:rsid w:val="00F319A0"/>
    <w:rsid w:val="00F32670"/>
    <w:rsid w:val="00F331F0"/>
    <w:rsid w:val="00F33846"/>
    <w:rsid w:val="00F356D8"/>
    <w:rsid w:val="00F3657A"/>
    <w:rsid w:val="00F402C8"/>
    <w:rsid w:val="00F40A91"/>
    <w:rsid w:val="00F46F77"/>
    <w:rsid w:val="00F4751C"/>
    <w:rsid w:val="00F545B6"/>
    <w:rsid w:val="00F575CB"/>
    <w:rsid w:val="00F60CD7"/>
    <w:rsid w:val="00F60D1C"/>
    <w:rsid w:val="00F60FAC"/>
    <w:rsid w:val="00F63BB6"/>
    <w:rsid w:val="00F663C8"/>
    <w:rsid w:val="00F67693"/>
    <w:rsid w:val="00F67CFA"/>
    <w:rsid w:val="00F702FA"/>
    <w:rsid w:val="00F71368"/>
    <w:rsid w:val="00F717AC"/>
    <w:rsid w:val="00F772B4"/>
    <w:rsid w:val="00F77534"/>
    <w:rsid w:val="00F8024B"/>
    <w:rsid w:val="00F849BC"/>
    <w:rsid w:val="00F86E51"/>
    <w:rsid w:val="00F8703D"/>
    <w:rsid w:val="00F907DF"/>
    <w:rsid w:val="00F909C4"/>
    <w:rsid w:val="00F91AFD"/>
    <w:rsid w:val="00F9367C"/>
    <w:rsid w:val="00F94B1D"/>
    <w:rsid w:val="00FA2EB5"/>
    <w:rsid w:val="00FA44E7"/>
    <w:rsid w:val="00FB159A"/>
    <w:rsid w:val="00FB20BD"/>
    <w:rsid w:val="00FB40A9"/>
    <w:rsid w:val="00FB739E"/>
    <w:rsid w:val="00FC395B"/>
    <w:rsid w:val="00FC4BB0"/>
    <w:rsid w:val="00FC4CB6"/>
    <w:rsid w:val="00FC54A5"/>
    <w:rsid w:val="00FD249F"/>
    <w:rsid w:val="00FD3D35"/>
    <w:rsid w:val="00FD681A"/>
    <w:rsid w:val="00FD7484"/>
    <w:rsid w:val="00FE1F86"/>
    <w:rsid w:val="00FE26DA"/>
    <w:rsid w:val="00FE2AE9"/>
    <w:rsid w:val="00FE669E"/>
    <w:rsid w:val="00FE7F3C"/>
    <w:rsid w:val="00FF11B5"/>
    <w:rsid w:val="00FF25ED"/>
    <w:rsid w:val="00FF6716"/>
    <w:rsid w:val="18030F05"/>
    <w:rsid w:val="46F752C5"/>
    <w:rsid w:val="5DA24FD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semiHidden/>
    <w:unhideWhenUsed/>
    <w:qFormat/>
    <w:uiPriority w:val="99"/>
    <w:pPr>
      <w:jc w:val="left"/>
    </w:pPr>
  </w:style>
  <w:style w:type="paragraph" w:styleId="3">
    <w:name w:val="Balloon Text"/>
    <w:basedOn w:val="1"/>
    <w:link w:val="17"/>
    <w:semiHidden/>
    <w:unhideWhenUsed/>
    <w:uiPriority w:val="99"/>
    <w:rPr>
      <w:sz w:val="18"/>
      <w:szCs w:val="18"/>
    </w:rPr>
  </w:style>
  <w:style w:type="paragraph" w:styleId="4">
    <w:name w:val="footer"/>
    <w:basedOn w:val="1"/>
    <w:link w:val="13"/>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12"/>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7">
    <w:name w:val="annotation subject"/>
    <w:basedOn w:val="2"/>
    <w:next w:val="2"/>
    <w:link w:val="16"/>
    <w:semiHidden/>
    <w:unhideWhenUsed/>
    <w:qFormat/>
    <w:uiPriority w:val="99"/>
    <w:rPr>
      <w:b/>
      <w:bCs/>
    </w:rPr>
  </w:style>
  <w:style w:type="character" w:styleId="10">
    <w:name w:val="Emphasis"/>
    <w:basedOn w:val="9"/>
    <w:qFormat/>
    <w:uiPriority w:val="20"/>
    <w:rPr>
      <w:i/>
      <w:iCs/>
    </w:rPr>
  </w:style>
  <w:style w:type="character" w:styleId="11">
    <w:name w:val="annotation reference"/>
    <w:basedOn w:val="9"/>
    <w:semiHidden/>
    <w:unhideWhenUsed/>
    <w:qFormat/>
    <w:uiPriority w:val="99"/>
    <w:rPr>
      <w:sz w:val="21"/>
      <w:szCs w:val="21"/>
    </w:r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paragraph" w:customStyle="1" w:styleId="14">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5">
    <w:name w:val="批注文字 字符"/>
    <w:basedOn w:val="9"/>
    <w:link w:val="2"/>
    <w:semiHidden/>
    <w:qFormat/>
    <w:uiPriority w:val="99"/>
    <w:rPr>
      <w:rFonts w:ascii="Times New Roman" w:hAnsi="Times New Roman" w:eastAsia="宋体" w:cs="Times New Roman"/>
      <w:szCs w:val="20"/>
    </w:rPr>
  </w:style>
  <w:style w:type="character" w:customStyle="1" w:styleId="16">
    <w:name w:val="批注主题 字符"/>
    <w:basedOn w:val="15"/>
    <w:link w:val="7"/>
    <w:semiHidden/>
    <w:qFormat/>
    <w:uiPriority w:val="99"/>
    <w:rPr>
      <w:rFonts w:ascii="Times New Roman" w:hAnsi="Times New Roman" w:eastAsia="宋体" w:cs="Times New Roman"/>
      <w:b/>
      <w:bCs/>
      <w:szCs w:val="20"/>
    </w:rPr>
  </w:style>
  <w:style w:type="character" w:customStyle="1" w:styleId="17">
    <w:name w:val="批注框文本 字符"/>
    <w:basedOn w:val="9"/>
    <w:link w:val="3"/>
    <w:semiHidden/>
    <w:qFormat/>
    <w:uiPriority w:val="99"/>
    <w:rPr>
      <w:rFonts w:ascii="Times New Roman" w:hAnsi="Times New Roman" w:eastAsia="宋体" w:cs="Times New Roman"/>
      <w:sz w:val="18"/>
      <w:szCs w:val="18"/>
    </w:rPr>
  </w:style>
  <w:style w:type="character" w:customStyle="1" w:styleId="18">
    <w:name w:val="hrefstyle"/>
    <w:basedOn w:val="9"/>
    <w:uiPriority w:val="0"/>
  </w:style>
  <w:style w:type="paragraph" w:styleId="19">
    <w:name w:val="List Paragraph"/>
    <w:basedOn w:val="1"/>
    <w:qFormat/>
    <w:uiPriority w:val="34"/>
    <w:pPr>
      <w:ind w:firstLine="420" w:firstLineChars="200"/>
    </w:pPr>
    <w:rPr>
      <w:rFonts w:asciiTheme="minorHAnsi" w:hAnsiTheme="minorHAnsi" w:eastAsiaTheme="minorEastAsia" w:cstheme="minorBidi"/>
      <w:szCs w:val="22"/>
    </w:rPr>
  </w:style>
  <w:style w:type="paragraph" w:customStyle="1" w:styleId="20">
    <w:name w:val="Revision"/>
    <w:hidden/>
    <w:semiHidden/>
    <w:qFormat/>
    <w:uiPriority w:val="99"/>
    <w:rPr>
      <w:rFonts w:ascii="Times New Roman" w:hAnsi="Times New Roman"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414</Words>
  <Characters>2364</Characters>
  <Lines>1</Lines>
  <Paragraphs>1</Paragraphs>
  <TotalTime>1</TotalTime>
  <ScaleCrop>false</ScaleCrop>
  <LinksUpToDate>false</LinksUpToDate>
  <CharactersWithSpaces>2773</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2024-09-09T07:02:00Z</dcterms:created>
  <dc:creator>yuanyuzhu</dc:creator>
  <cp:lastModifiedBy>Administrator</cp:lastModifiedBy>
  <dcterms:modified xsi:type="dcterms:W3CDTF">2026-11-04T08:25:27Z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6A3E8B560AFD4FC0B4B88E9A64FCBDF1_13</vt:lpwstr>
  </property>
</Properties>
</file>