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宋体" w:hAnsi="宋体" w:eastAsia="宋体"/>
          <w:b/>
          <w:bCs w:val="0"/>
          <w:sz w:val="24"/>
          <w:lang w:val="en-US" w:eastAsia="zh-CN"/>
        </w:rPr>
      </w:pPr>
      <w:r>
        <w:rPr>
          <w:rFonts w:hint="eastAsia" w:ascii="宋体" w:hAnsi="宋体"/>
          <w:b/>
          <w:bCs w:val="0"/>
          <w:sz w:val="24"/>
        </w:rPr>
        <w:t>证券</w:t>
      </w:r>
      <w:r>
        <w:rPr>
          <w:rFonts w:ascii="宋体" w:hAnsi="宋体"/>
          <w:b/>
          <w:bCs w:val="0"/>
          <w:sz w:val="24"/>
        </w:rPr>
        <w:t>代码：</w:t>
      </w:r>
      <w:r>
        <w:rPr>
          <w:rFonts w:hint="eastAsia" w:ascii="宋体" w:hAnsi="宋体"/>
          <w:b/>
          <w:bCs w:val="0"/>
          <w:sz w:val="24"/>
        </w:rPr>
        <w:t>688517</w:t>
      </w:r>
      <w:r>
        <w:rPr>
          <w:b/>
          <w:bCs w:val="0"/>
          <w:sz w:val="24"/>
        </w:rPr>
        <w:t xml:space="preserve">    </w:t>
      </w:r>
      <w:r>
        <w:rPr>
          <w:rFonts w:ascii="宋体" w:hAnsi="宋体"/>
          <w:b/>
          <w:bCs w:val="0"/>
          <w:sz w:val="24"/>
        </w:rPr>
        <w:t xml:space="preserve">     </w:t>
      </w:r>
      <w:r>
        <w:rPr>
          <w:rFonts w:hint="eastAsia"/>
          <w:b/>
          <w:bCs w:val="0"/>
          <w:sz w:val="24"/>
        </w:rPr>
        <w:t>证券</w:t>
      </w:r>
      <w:r>
        <w:rPr>
          <w:rFonts w:hint="eastAsia" w:ascii="宋体" w:hAnsi="宋体"/>
          <w:b/>
          <w:bCs w:val="0"/>
          <w:sz w:val="24"/>
        </w:rPr>
        <w:t>简称：金冠电气</w:t>
      </w:r>
      <w:r>
        <w:rPr>
          <w:b/>
          <w:bCs w:val="0"/>
          <w:sz w:val="24"/>
        </w:rPr>
        <w:t xml:space="preserve">    </w:t>
      </w:r>
      <w:r>
        <w:rPr>
          <w:rFonts w:ascii="宋体" w:hAnsi="宋体"/>
          <w:b/>
          <w:bCs w:val="0"/>
          <w:sz w:val="24"/>
        </w:rPr>
        <w:t xml:space="preserve">     </w:t>
      </w:r>
      <w:r>
        <w:rPr>
          <w:rFonts w:hint="eastAsia" w:ascii="宋体" w:hAnsi="宋体"/>
          <w:b/>
          <w:bCs w:val="0"/>
          <w:sz w:val="24"/>
          <w:lang w:val="en-US" w:eastAsia="zh-CN"/>
        </w:rPr>
        <w:t xml:space="preserve">  </w:t>
      </w:r>
      <w:r>
        <w:rPr>
          <w:rFonts w:hint="eastAsia" w:ascii="宋体" w:hAnsi="宋体"/>
          <w:b/>
          <w:bCs w:val="0"/>
          <w:sz w:val="24"/>
        </w:rPr>
        <w:t>编号：202</w:t>
      </w:r>
      <w:r>
        <w:rPr>
          <w:rFonts w:hint="eastAsia" w:ascii="宋体" w:hAnsi="宋体"/>
          <w:b/>
          <w:bCs w:val="0"/>
          <w:sz w:val="24"/>
          <w:lang w:val="en-US" w:eastAsia="zh-CN"/>
        </w:rPr>
        <w:t>6</w:t>
      </w:r>
      <w:r>
        <w:rPr>
          <w:rFonts w:hint="eastAsia" w:ascii="宋体" w:hAnsi="宋体"/>
          <w:b/>
          <w:bCs w:val="0"/>
          <w:sz w:val="24"/>
        </w:rPr>
        <w:t>-0</w:t>
      </w:r>
      <w:r>
        <w:rPr>
          <w:rFonts w:hint="eastAsia" w:ascii="宋体" w:hAnsi="宋体"/>
          <w:b/>
          <w:bCs w:val="0"/>
          <w:sz w:val="24"/>
          <w:lang w:val="en-US" w:eastAsia="zh-CN"/>
        </w:rPr>
        <w:t>04</w:t>
      </w:r>
    </w:p>
    <w:p>
      <w:pPr>
        <w:rPr>
          <w:rFonts w:ascii="宋体" w:hAnsi="宋体"/>
          <w:bCs/>
          <w:sz w:val="24"/>
        </w:rPr>
      </w:pPr>
    </w:p>
    <w:p>
      <w:pPr>
        <w:keepNext w:val="0"/>
        <w:keepLines w:val="0"/>
        <w:pageBreakBefore w:val="0"/>
        <w:widowControl w:val="0"/>
        <w:kinsoku/>
        <w:wordWrap/>
        <w:overflowPunct/>
        <w:topLinePunct w:val="0"/>
        <w:autoSpaceDE w:val="0"/>
        <w:autoSpaceDN w:val="0"/>
        <w:bidi w:val="0"/>
        <w:adjustRightInd w:val="0"/>
        <w:snapToGrid/>
        <w:spacing w:before="157" w:beforeLines="50"/>
        <w:jc w:val="center"/>
        <w:textAlignment w:val="auto"/>
        <w:rPr>
          <w:rFonts w:ascii="黑体" w:eastAsia="黑体" w:cs="黑体"/>
          <w:color w:val="000000"/>
          <w:kern w:val="0"/>
          <w:sz w:val="32"/>
          <w:szCs w:val="28"/>
        </w:rPr>
      </w:pPr>
      <w:r>
        <w:rPr>
          <w:rFonts w:hint="eastAsia" w:ascii="黑体" w:eastAsia="黑体" w:cs="黑体"/>
          <w:color w:val="000000"/>
          <w:kern w:val="0"/>
          <w:sz w:val="32"/>
          <w:szCs w:val="28"/>
        </w:rPr>
        <w:t>金冠电气股份有限公司</w:t>
      </w:r>
    </w:p>
    <w:p>
      <w:pPr>
        <w:autoSpaceDE w:val="0"/>
        <w:autoSpaceDN w:val="0"/>
        <w:adjustRightInd w:val="0"/>
        <w:spacing w:after="312" w:afterLines="100"/>
        <w:jc w:val="center"/>
        <w:rPr>
          <w:rFonts w:ascii="黑体" w:eastAsia="黑体" w:cs="黑体"/>
          <w:color w:val="000000"/>
          <w:kern w:val="0"/>
          <w:sz w:val="32"/>
          <w:szCs w:val="28"/>
        </w:rPr>
      </w:pPr>
      <w:r>
        <w:rPr>
          <w:rFonts w:hint="eastAsia" w:ascii="黑体" w:eastAsia="黑体" w:cs="黑体"/>
          <w:color w:val="000000"/>
          <w:kern w:val="0"/>
          <w:sz w:val="32"/>
          <w:szCs w:val="28"/>
        </w:rPr>
        <w:t>投资者关系活动记录表</w:t>
      </w:r>
    </w:p>
    <w:tbl>
      <w:tblPr>
        <w:tblStyle w:val="10"/>
        <w:tblW w:w="89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5"/>
        <w:gridCol w:w="7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trPr>
        <w:tc>
          <w:tcPr>
            <w:tcW w:w="1465" w:type="dxa"/>
            <w:vAlign w:val="center"/>
          </w:tcPr>
          <w:p>
            <w:pPr>
              <w:autoSpaceDE w:val="0"/>
              <w:autoSpaceDN w:val="0"/>
              <w:adjustRightInd w:val="0"/>
              <w:jc w:val="center"/>
              <w:rPr>
                <w:rFonts w:ascii="宋体" w:hAnsi="Calibri" w:cs="宋体"/>
                <w:color w:val="000000"/>
                <w:kern w:val="0"/>
                <w:sz w:val="24"/>
              </w:rPr>
            </w:pPr>
            <w:r>
              <w:rPr>
                <w:rFonts w:hint="eastAsia" w:ascii="宋体" w:hAnsi="Calibri" w:cs="宋体"/>
                <w:color w:val="000000"/>
                <w:kern w:val="0"/>
                <w:sz w:val="24"/>
              </w:rPr>
              <w:t>投资者关系活动类别</w:t>
            </w:r>
          </w:p>
        </w:tc>
        <w:tc>
          <w:tcPr>
            <w:tcW w:w="7528" w:type="dxa"/>
            <w:vAlign w:val="center"/>
          </w:tcPr>
          <w:p>
            <w:pPr>
              <w:autoSpaceDE w:val="0"/>
              <w:autoSpaceDN w:val="0"/>
              <w:adjustRightInd w:val="0"/>
              <w:spacing w:before="156" w:beforeLines="50"/>
              <w:rPr>
                <w:rFonts w:ascii="宋体" w:hAnsi="Calibri" w:cs="宋体"/>
                <w:color w:val="000000"/>
                <w:kern w:val="0"/>
                <w:sz w:val="24"/>
              </w:rPr>
            </w:pPr>
            <w:r>
              <w:rPr>
                <w:rFonts w:hint="eastAsia" w:ascii="宋体" w:hAnsi="Calibri" w:cs="宋体"/>
                <w:color w:val="000000"/>
                <w:kern w:val="0"/>
                <w:sz w:val="24"/>
              </w:rPr>
              <w:t xml:space="preserve">□特定对象调研  </w:t>
            </w:r>
            <w:r>
              <w:rPr>
                <w:rFonts w:ascii="宋体" w:hAnsi="Calibri" w:cs="宋体"/>
                <w:color w:val="000000"/>
                <w:kern w:val="0"/>
                <w:sz w:val="24"/>
              </w:rPr>
              <w:t xml:space="preserve"> </w:t>
            </w:r>
            <w:r>
              <w:rPr>
                <w:rFonts w:hint="eastAsia" w:ascii="宋体" w:hAnsi="Calibri" w:cs="宋体"/>
                <w:color w:val="000000"/>
                <w:kern w:val="0"/>
                <w:sz w:val="24"/>
              </w:rPr>
              <w:t xml:space="preserve">   □分析师会议</w:t>
            </w:r>
          </w:p>
          <w:p>
            <w:pPr>
              <w:autoSpaceDE w:val="0"/>
              <w:autoSpaceDN w:val="0"/>
              <w:adjustRightInd w:val="0"/>
              <w:spacing w:before="156" w:beforeLines="50"/>
              <w:rPr>
                <w:rFonts w:ascii="宋体" w:hAnsi="Calibri" w:cs="宋体"/>
                <w:color w:val="000000"/>
                <w:kern w:val="0"/>
                <w:sz w:val="24"/>
              </w:rPr>
            </w:pPr>
            <w:r>
              <w:rPr>
                <w:rFonts w:hint="eastAsia" w:ascii="宋体" w:hAnsi="Calibri" w:cs="宋体"/>
                <w:color w:val="000000"/>
                <w:kern w:val="0"/>
                <w:sz w:val="24"/>
              </w:rPr>
              <w:t>□媒体</w:t>
            </w:r>
            <w:r>
              <w:rPr>
                <w:rFonts w:ascii="宋体" w:hAnsi="Calibri" w:cs="宋体"/>
                <w:color w:val="000000"/>
                <w:kern w:val="0"/>
                <w:sz w:val="24"/>
              </w:rPr>
              <w:t xml:space="preserve">采访 </w:t>
            </w:r>
            <w:r>
              <w:rPr>
                <w:rFonts w:hint="eastAsia" w:ascii="宋体" w:hAnsi="Calibri" w:cs="宋体"/>
                <w:color w:val="000000"/>
                <w:kern w:val="0"/>
                <w:sz w:val="24"/>
              </w:rPr>
              <w:t xml:space="preserve">    </w:t>
            </w:r>
            <w:r>
              <w:rPr>
                <w:rFonts w:ascii="宋体" w:hAnsi="Calibri" w:cs="宋体"/>
                <w:color w:val="000000"/>
                <w:kern w:val="0"/>
                <w:sz w:val="24"/>
              </w:rPr>
              <w:t xml:space="preserve">    </w:t>
            </w:r>
            <w:r>
              <w:rPr>
                <w:rFonts w:hint="eastAsia" w:ascii="宋体" w:hAnsi="Calibri" w:cs="宋体"/>
                <w:color w:val="000000"/>
                <w:kern w:val="0"/>
                <w:sz w:val="24"/>
              </w:rPr>
              <w:t xml:space="preserve"> </w:t>
            </w:r>
            <w:r>
              <w:rPr>
                <w:rFonts w:hint="eastAsia" w:ascii="宋体" w:hAnsi="Calibri" w:cs="宋体"/>
                <w:color w:val="000000"/>
                <w:kern w:val="0"/>
                <w:sz w:val="24"/>
                <w:lang w:eastAsia="zh-CN"/>
              </w:rPr>
              <w:sym w:font="Wingdings 2" w:char="0052"/>
            </w:r>
            <w:r>
              <w:rPr>
                <w:rFonts w:hint="eastAsia" w:ascii="宋体" w:hAnsi="Calibri" w:cs="宋体"/>
                <w:color w:val="000000"/>
                <w:kern w:val="0"/>
                <w:sz w:val="24"/>
              </w:rPr>
              <w:t>业绩说明会</w:t>
            </w:r>
          </w:p>
          <w:p>
            <w:pPr>
              <w:autoSpaceDE w:val="0"/>
              <w:autoSpaceDN w:val="0"/>
              <w:adjustRightInd w:val="0"/>
              <w:spacing w:before="156" w:beforeLines="50"/>
              <w:rPr>
                <w:rFonts w:ascii="宋体" w:hAnsi="Calibri" w:cs="宋体"/>
                <w:color w:val="000000"/>
                <w:kern w:val="0"/>
                <w:sz w:val="24"/>
              </w:rPr>
            </w:pPr>
            <w:r>
              <w:rPr>
                <w:rFonts w:hint="eastAsia" w:ascii="宋体" w:hAnsi="Calibri" w:cs="宋体"/>
                <w:color w:val="000000"/>
                <w:kern w:val="0"/>
                <w:sz w:val="24"/>
              </w:rPr>
              <w:t>□新闻</w:t>
            </w:r>
            <w:r>
              <w:rPr>
                <w:rFonts w:ascii="宋体" w:hAnsi="Calibri" w:cs="宋体"/>
                <w:color w:val="000000"/>
                <w:kern w:val="0"/>
                <w:sz w:val="24"/>
              </w:rPr>
              <w:t>发布会</w:t>
            </w:r>
            <w:r>
              <w:rPr>
                <w:rFonts w:hint="eastAsia" w:ascii="宋体" w:hAnsi="Calibri" w:cs="宋体"/>
                <w:color w:val="000000"/>
                <w:kern w:val="0"/>
                <w:sz w:val="24"/>
              </w:rPr>
              <w:t xml:space="preserve">  </w:t>
            </w:r>
            <w:r>
              <w:rPr>
                <w:rFonts w:ascii="宋体" w:hAnsi="Calibri" w:cs="宋体"/>
                <w:color w:val="000000"/>
                <w:kern w:val="0"/>
                <w:sz w:val="24"/>
              </w:rPr>
              <w:t xml:space="preserve">     </w:t>
            </w:r>
            <w:r>
              <w:rPr>
                <w:rFonts w:hint="eastAsia" w:ascii="宋体" w:hAnsi="Calibri" w:cs="宋体"/>
                <w:color w:val="000000"/>
                <w:kern w:val="0"/>
                <w:sz w:val="24"/>
              </w:rPr>
              <w:t xml:space="preserve"> □路演</w:t>
            </w:r>
            <w:r>
              <w:rPr>
                <w:rFonts w:ascii="宋体" w:hAnsi="Calibri" w:cs="宋体"/>
                <w:color w:val="000000"/>
                <w:kern w:val="0"/>
                <w:sz w:val="24"/>
              </w:rPr>
              <w:t>活动</w:t>
            </w:r>
          </w:p>
          <w:p>
            <w:pPr>
              <w:autoSpaceDE w:val="0"/>
              <w:autoSpaceDN w:val="0"/>
              <w:adjustRightInd w:val="0"/>
              <w:spacing w:before="156" w:beforeLines="50"/>
              <w:rPr>
                <w:rFonts w:ascii="宋体" w:hAnsi="Calibri" w:cs="宋体"/>
                <w:color w:val="000000"/>
                <w:kern w:val="0"/>
                <w:sz w:val="24"/>
              </w:rPr>
            </w:pPr>
            <w:r>
              <w:rPr>
                <w:rFonts w:hint="eastAsia" w:ascii="宋体" w:hAnsi="Calibri" w:cs="宋体"/>
                <w:color w:val="000000"/>
                <w:kern w:val="0"/>
                <w:sz w:val="24"/>
                <w:lang w:eastAsia="zh-CN"/>
              </w:rPr>
              <w:t>□</w:t>
            </w:r>
            <w:r>
              <w:rPr>
                <w:rFonts w:hint="eastAsia" w:ascii="宋体" w:hAnsi="Calibri" w:cs="宋体"/>
                <w:color w:val="000000"/>
                <w:kern w:val="0"/>
                <w:sz w:val="24"/>
              </w:rPr>
              <w:t xml:space="preserve">现场参观 </w:t>
            </w:r>
            <w:r>
              <w:rPr>
                <w:rFonts w:ascii="宋体" w:hAnsi="Calibri" w:cs="宋体"/>
                <w:color w:val="000000"/>
                <w:kern w:val="0"/>
                <w:sz w:val="24"/>
              </w:rPr>
              <w:t xml:space="preserve">        </w:t>
            </w:r>
            <w:r>
              <w:rPr>
                <w:rFonts w:hint="eastAsia" w:ascii="宋体" w:hAnsi="Calibri" w:cs="宋体"/>
                <w:color w:val="000000"/>
                <w:kern w:val="0"/>
                <w:sz w:val="24"/>
              </w:rPr>
              <w:t xml:space="preserve"> □一</w:t>
            </w:r>
            <w:r>
              <w:rPr>
                <w:rFonts w:ascii="宋体" w:hAnsi="Calibri" w:cs="宋体"/>
                <w:color w:val="000000"/>
                <w:kern w:val="0"/>
                <w:sz w:val="24"/>
              </w:rPr>
              <w:t>对一沟通</w:t>
            </w:r>
          </w:p>
          <w:p>
            <w:pPr>
              <w:autoSpaceDE w:val="0"/>
              <w:autoSpaceDN w:val="0"/>
              <w:adjustRightInd w:val="0"/>
              <w:spacing w:before="156" w:beforeLines="50"/>
              <w:rPr>
                <w:rFonts w:ascii="宋体" w:hAnsi="Calibri" w:cs="宋体"/>
                <w:color w:val="000000"/>
                <w:kern w:val="0"/>
                <w:sz w:val="24"/>
              </w:rPr>
            </w:pPr>
            <w:r>
              <w:rPr>
                <w:rFonts w:hint="eastAsia" w:ascii="宋体" w:hAnsi="Calibri" w:cs="宋体"/>
                <w:color w:val="000000"/>
                <w:kern w:val="0"/>
                <w:sz w:val="24"/>
                <w:lang w:eastAsia="zh-CN"/>
              </w:rPr>
              <w:t>□</w:t>
            </w:r>
            <w:r>
              <w:rPr>
                <w:rFonts w:hint="eastAsia" w:ascii="宋体" w:hAnsi="Calibri" w:cs="宋体"/>
                <w:color w:val="000000"/>
                <w:kern w:val="0"/>
                <w:sz w:val="24"/>
              </w:rPr>
              <w:t>其他（电话</w:t>
            </w:r>
            <w:r>
              <w:rPr>
                <w:rFonts w:ascii="宋体" w:hAnsi="Calibri" w:cs="宋体"/>
                <w:color w:val="000000"/>
                <w:kern w:val="0"/>
                <w:sz w:val="24"/>
              </w:rPr>
              <w:t>会议</w:t>
            </w:r>
            <w:r>
              <w:rPr>
                <w:rFonts w:hint="eastAsia" w:ascii="宋体" w:hAnsi="Calibri" w:cs="宋体"/>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465" w:type="dxa"/>
            <w:vAlign w:val="center"/>
          </w:tcPr>
          <w:p>
            <w:pPr>
              <w:autoSpaceDE w:val="0"/>
              <w:autoSpaceDN w:val="0"/>
              <w:adjustRightInd w:val="0"/>
              <w:jc w:val="center"/>
              <w:rPr>
                <w:rFonts w:ascii="宋体" w:hAnsi="Calibri" w:cs="宋体"/>
                <w:color w:val="000000"/>
                <w:kern w:val="0"/>
                <w:sz w:val="24"/>
              </w:rPr>
            </w:pPr>
            <w:r>
              <w:rPr>
                <w:rFonts w:hint="eastAsia" w:ascii="宋体" w:hAnsi="Calibri" w:cs="宋体"/>
                <w:color w:val="000000"/>
                <w:kern w:val="0"/>
                <w:sz w:val="24"/>
              </w:rPr>
              <w:t>时间</w:t>
            </w:r>
          </w:p>
        </w:tc>
        <w:tc>
          <w:tcPr>
            <w:tcW w:w="7528" w:type="dxa"/>
            <w:vAlign w:val="center"/>
          </w:tcPr>
          <w:p>
            <w:pPr>
              <w:autoSpaceDE w:val="0"/>
              <w:autoSpaceDN w:val="0"/>
              <w:adjustRightInd w:val="0"/>
              <w:spacing w:line="460" w:lineRule="exact"/>
              <w:rPr>
                <w:rFonts w:hint="default" w:eastAsia="宋体"/>
                <w:color w:val="000000"/>
                <w:kern w:val="0"/>
                <w:sz w:val="24"/>
                <w:lang w:val="en-US" w:eastAsia="zh-CN"/>
              </w:rPr>
            </w:pPr>
            <w:r>
              <w:rPr>
                <w:rFonts w:hint="eastAsia"/>
                <w:color w:val="000000"/>
                <w:kern w:val="0"/>
                <w:sz w:val="24"/>
              </w:rPr>
              <w:t>2</w:t>
            </w:r>
            <w:r>
              <w:rPr>
                <w:rFonts w:hint="eastAsia"/>
                <w:color w:val="000000"/>
                <w:kern w:val="0"/>
                <w:sz w:val="24"/>
                <w:lang w:val="en-US" w:eastAsia="zh-CN"/>
              </w:rPr>
              <w:t>026</w:t>
            </w:r>
            <w:r>
              <w:rPr>
                <w:rFonts w:hint="eastAsia"/>
                <w:color w:val="000000"/>
                <w:kern w:val="0"/>
                <w:sz w:val="24"/>
              </w:rPr>
              <w:t>年</w:t>
            </w:r>
            <w:r>
              <w:rPr>
                <w:rFonts w:hint="eastAsia"/>
                <w:color w:val="000000"/>
                <w:kern w:val="0"/>
                <w:sz w:val="24"/>
                <w:lang w:val="en-US" w:eastAsia="zh-CN"/>
              </w:rPr>
              <w:t>11</w:t>
            </w:r>
            <w:r>
              <w:rPr>
                <w:rFonts w:hint="eastAsia"/>
                <w:color w:val="000000"/>
                <w:kern w:val="0"/>
                <w:sz w:val="24"/>
              </w:rPr>
              <w:t>月</w:t>
            </w:r>
            <w:r>
              <w:rPr>
                <w:rFonts w:hint="eastAsia"/>
                <w:color w:val="000000"/>
                <w:kern w:val="0"/>
                <w:sz w:val="24"/>
                <w:lang w:val="en-US" w:eastAsia="zh-CN"/>
              </w:rPr>
              <w:t>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1465" w:type="dxa"/>
            <w:vAlign w:val="center"/>
          </w:tcPr>
          <w:p>
            <w:pPr>
              <w:autoSpaceDE w:val="0"/>
              <w:autoSpaceDN w:val="0"/>
              <w:adjustRightInd w:val="0"/>
              <w:jc w:val="center"/>
              <w:rPr>
                <w:rFonts w:hint="default" w:ascii="宋体" w:hAnsi="Calibri" w:eastAsia="宋体" w:cs="宋体"/>
                <w:color w:val="000000"/>
                <w:kern w:val="0"/>
                <w:sz w:val="24"/>
                <w:lang w:val="en-US" w:eastAsia="zh-CN"/>
              </w:rPr>
            </w:pPr>
            <w:r>
              <w:rPr>
                <w:rFonts w:hint="eastAsia" w:ascii="宋体" w:hAnsi="Calibri" w:cs="宋体"/>
                <w:color w:val="000000"/>
                <w:kern w:val="0"/>
                <w:sz w:val="24"/>
              </w:rPr>
              <w:t>地点</w:t>
            </w:r>
            <w:r>
              <w:rPr>
                <w:rFonts w:hint="eastAsia" w:ascii="宋体" w:hAnsi="Calibri" w:cs="宋体"/>
                <w:color w:val="000000"/>
                <w:kern w:val="0"/>
                <w:sz w:val="24"/>
                <w:lang w:val="en-US" w:eastAsia="zh-CN"/>
              </w:rPr>
              <w:t>/方式</w:t>
            </w:r>
          </w:p>
        </w:tc>
        <w:tc>
          <w:tcPr>
            <w:tcW w:w="7528" w:type="dxa"/>
            <w:vAlign w:val="center"/>
          </w:tcPr>
          <w:p>
            <w:pPr>
              <w:rPr>
                <w:rFonts w:hint="default" w:ascii="宋体" w:hAnsi="Calibri" w:eastAsia="宋体" w:cs="宋体"/>
                <w:color w:val="000000"/>
                <w:kern w:val="0"/>
                <w:sz w:val="24"/>
                <w:lang w:val="en-US" w:eastAsia="zh-CN"/>
              </w:rPr>
            </w:pPr>
            <w:r>
              <w:rPr>
                <w:rFonts w:hint="eastAsia" w:ascii="宋体" w:hAnsi="宋体"/>
                <w:bCs/>
                <w:sz w:val="24"/>
              </w:rPr>
              <w:t xml:space="preserve">上证路演中心 </w:t>
            </w:r>
            <w:r>
              <w:fldChar w:fldCharType="begin"/>
            </w:r>
            <w:r>
              <w:instrText xml:space="preserve"> HYPERLINK "https://roadshow.sseinfo.com" </w:instrText>
            </w:r>
            <w:r>
              <w:fldChar w:fldCharType="separate"/>
            </w:r>
            <w:r>
              <w:rPr>
                <w:rStyle w:val="15"/>
                <w:rFonts w:hint="eastAsia" w:ascii="宋体" w:hAnsi="宋体"/>
                <w:bCs/>
                <w:sz w:val="24"/>
              </w:rPr>
              <w:t>https://roadshow.sseinfo.com</w:t>
            </w:r>
            <w:r>
              <w:rPr>
                <w:rStyle w:val="15"/>
                <w:rFonts w:hint="eastAsia" w:ascii="宋体" w:hAnsi="宋体"/>
                <w:bCs/>
                <w:sz w:val="24"/>
              </w:rPr>
              <w:fldChar w:fldCharType="end"/>
            </w:r>
            <w:r>
              <w:rPr>
                <w:rFonts w:hint="eastAsia" w:ascii="宋体" w:hAnsi="宋体"/>
                <w:bCs/>
                <w:sz w:val="24"/>
              </w:rPr>
              <w:t>网络文字互动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65" w:type="dxa"/>
            <w:vAlign w:val="center"/>
          </w:tcPr>
          <w:p>
            <w:pPr>
              <w:autoSpaceDE w:val="0"/>
              <w:autoSpaceDN w:val="0"/>
              <w:adjustRightInd w:val="0"/>
              <w:jc w:val="center"/>
              <w:rPr>
                <w:rFonts w:ascii="宋体" w:hAnsi="Calibri" w:cs="宋体"/>
                <w:color w:val="000000"/>
                <w:kern w:val="0"/>
                <w:sz w:val="24"/>
              </w:rPr>
            </w:pPr>
            <w:r>
              <w:rPr>
                <w:rFonts w:hint="eastAsia" w:ascii="宋体" w:hAnsi="Calibri" w:cs="宋体"/>
                <w:color w:val="000000"/>
                <w:kern w:val="0"/>
                <w:sz w:val="24"/>
              </w:rPr>
              <w:t>公司接待人员姓名</w:t>
            </w:r>
          </w:p>
        </w:tc>
        <w:tc>
          <w:tcPr>
            <w:tcW w:w="7528" w:type="dxa"/>
            <w:vAlign w:val="center"/>
          </w:tcPr>
          <w:p>
            <w:pPr>
              <w:autoSpaceDE w:val="0"/>
              <w:autoSpaceDN w:val="0"/>
              <w:adjustRightInd w:val="0"/>
              <w:spacing w:line="460" w:lineRule="exact"/>
              <w:rPr>
                <w:rFonts w:hint="eastAsia" w:ascii="宋体" w:hAnsi="Calibri" w:eastAsia="宋体" w:cs="宋体"/>
                <w:color w:val="000000"/>
                <w:kern w:val="0"/>
                <w:sz w:val="24"/>
                <w:lang w:val="en-US" w:eastAsia="zh-CN"/>
              </w:rPr>
            </w:pPr>
            <w:r>
              <w:rPr>
                <w:rFonts w:hint="eastAsia" w:ascii="宋体" w:hAnsi="Calibri" w:cs="宋体"/>
                <w:color w:val="000000"/>
                <w:kern w:val="0"/>
                <w:sz w:val="24"/>
                <w:lang w:val="en-US" w:eastAsia="zh-CN"/>
              </w:rPr>
              <w:t>董事长兼总经理：樊崇</w:t>
            </w:r>
          </w:p>
          <w:p>
            <w:pPr>
              <w:autoSpaceDE w:val="0"/>
              <w:autoSpaceDN w:val="0"/>
              <w:adjustRightInd w:val="0"/>
              <w:spacing w:line="460" w:lineRule="exact"/>
              <w:rPr>
                <w:rFonts w:hint="eastAsia" w:ascii="宋体" w:hAnsi="Calibri" w:cs="宋体"/>
                <w:color w:val="000000"/>
                <w:kern w:val="0"/>
                <w:sz w:val="24"/>
              </w:rPr>
            </w:pPr>
            <w:r>
              <w:rPr>
                <w:rFonts w:hint="eastAsia" w:ascii="宋体" w:hAnsi="Calibri" w:cs="宋体"/>
                <w:color w:val="000000"/>
                <w:kern w:val="0"/>
                <w:sz w:val="24"/>
              </w:rPr>
              <w:t>副总经理兼财务总监、董事会秘书：贾娜</w:t>
            </w:r>
          </w:p>
          <w:p>
            <w:pPr>
              <w:autoSpaceDE w:val="0"/>
              <w:autoSpaceDN w:val="0"/>
              <w:adjustRightInd w:val="0"/>
              <w:spacing w:line="460" w:lineRule="exact"/>
              <w:ind w:left="0" w:leftChars="0" w:firstLine="0" w:firstLineChars="0"/>
              <w:rPr>
                <w:rFonts w:hint="eastAsia" w:eastAsia="宋体"/>
                <w:lang w:val="en-US" w:eastAsia="zh-CN"/>
              </w:rPr>
            </w:pPr>
            <w:r>
              <w:rPr>
                <w:rFonts w:hint="eastAsia" w:ascii="宋体" w:hAnsi="Calibri" w:cs="宋体"/>
                <w:color w:val="000000"/>
                <w:kern w:val="0"/>
                <w:sz w:val="24"/>
                <w:lang w:val="en-US" w:eastAsia="zh-CN"/>
              </w:rPr>
              <w:t>独立董事</w:t>
            </w:r>
            <w:r>
              <w:rPr>
                <w:rFonts w:hint="eastAsia" w:ascii="宋体" w:hAnsi="Calibri" w:cs="宋体"/>
                <w:color w:val="000000"/>
                <w:kern w:val="0"/>
                <w:sz w:val="24"/>
              </w:rPr>
              <w:t>：</w:t>
            </w:r>
            <w:r>
              <w:rPr>
                <w:rFonts w:hint="eastAsia" w:ascii="宋体" w:hAnsi="Calibri" w:cs="宋体"/>
                <w:color w:val="000000"/>
                <w:kern w:val="0"/>
                <w:sz w:val="24"/>
                <w:lang w:val="en-US" w:eastAsia="zh-CN"/>
              </w:rPr>
              <w:t>高瑜彬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465" w:type="dxa"/>
            <w:vAlign w:val="center"/>
          </w:tcPr>
          <w:p>
            <w:pPr>
              <w:autoSpaceDE w:val="0"/>
              <w:autoSpaceDN w:val="0"/>
              <w:adjustRightInd w:val="0"/>
              <w:jc w:val="center"/>
              <w:rPr>
                <w:rFonts w:ascii="宋体" w:hAnsi="宋体" w:cs="宋体"/>
                <w:color w:val="000000"/>
                <w:kern w:val="0"/>
                <w:sz w:val="24"/>
              </w:rPr>
            </w:pPr>
            <w:r>
              <w:rPr>
                <w:rFonts w:hint="eastAsia" w:ascii="宋体" w:hAnsi="宋体" w:cs="宋体"/>
                <w:color w:val="000000"/>
                <w:kern w:val="0"/>
                <w:sz w:val="24"/>
              </w:rPr>
              <w:t>投资者关系活动主要内容介绍</w:t>
            </w:r>
          </w:p>
        </w:tc>
        <w:tc>
          <w:tcPr>
            <w:tcW w:w="752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cs="宋体"/>
                <w:b/>
                <w:bCs w:val="0"/>
                <w:sz w:val="24"/>
                <w:lang w:val="en-US" w:eastAsia="zh-CN"/>
              </w:rPr>
            </w:pPr>
            <w:r>
              <w:rPr>
                <w:rFonts w:hint="eastAsia" w:ascii="宋体" w:hAnsi="宋体" w:cs="宋体"/>
                <w:b/>
                <w:bCs w:val="0"/>
                <w:sz w:val="24"/>
                <w:lang w:val="en-US" w:eastAsia="zh-CN"/>
              </w:rPr>
              <w:t>1.请问，电网设备的订单主要看国网、南网的集中招标。想请教公司今年在避雷器、开关柜上的中标情况如何？特高压配套的份额有没有提升？</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尊敬的投资者您好！2026年上半年国南两网投资近4,000亿元，三季度项目建设持续放量，电网投资保持高景气。随着两网集中招标规模增加，公司避雷器、高压开关柜等产品订单保持稳定增长。具体情况请以公司公告为准。感谢您的关注。</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sz w:val="24"/>
                <w:lang w:eastAsia="zh-CN"/>
              </w:rPr>
            </w:pPr>
            <w:r>
              <w:rPr>
                <w:rFonts w:hint="eastAsia" w:ascii="宋体" w:hAnsi="宋体" w:cs="宋体"/>
                <w:b/>
                <w:sz w:val="24"/>
                <w:lang w:val="en-US" w:eastAsia="zh-CN"/>
              </w:rPr>
              <w:t>2.</w:t>
            </w:r>
            <w:r>
              <w:rPr>
                <w:rFonts w:hint="eastAsia" w:ascii="宋体" w:hAnsi="宋体" w:cs="宋体"/>
                <w:b/>
                <w:sz w:val="24"/>
              </w:rPr>
              <w:t xml:space="preserve"> 请问公司营收情况如何？</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尊敬的投资者您好！2026年前三季度公司实现营业收入49,772.93万元，同比下降5.15%；分季度看，2026年第三季度公司实现营业收入19,642.60万元，同比增长6.62%，收入端已恢复同比增长。感谢您的关注。</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sz w:val="24"/>
                <w:lang w:eastAsia="zh-CN"/>
              </w:rPr>
            </w:pPr>
            <w:r>
              <w:rPr>
                <w:rFonts w:hint="eastAsia" w:ascii="宋体" w:hAnsi="宋体" w:cs="宋体"/>
                <w:b/>
                <w:sz w:val="24"/>
                <w:lang w:val="en-US" w:eastAsia="zh-CN"/>
              </w:rPr>
              <w:t>3.</w:t>
            </w:r>
            <w:r>
              <w:rPr>
                <w:rFonts w:hint="eastAsia" w:ascii="宋体" w:hAnsi="宋体" w:cs="宋体"/>
                <w:b/>
                <w:sz w:val="24"/>
              </w:rPr>
              <w:t xml:space="preserve"> 请领导拆分一下三季度三大业务板块的收入情况以及增长情况</w:t>
            </w:r>
            <w:r>
              <w:rPr>
                <w:rFonts w:hint="eastAsia" w:ascii="宋体" w:hAnsi="宋体" w:cs="宋体"/>
                <w:b/>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尊敬的投资者您好！公司分业务板块的收入构成情况，按定期报告披露口径列示，三季报未作分产品拆分。整体来看，公司第三季度单季营业收入实现同比增长，但前三季度累计营业收入仍同比下降，具体情况请以公司定期报告为准</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感谢您的关注。</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sz w:val="24"/>
                <w:lang w:eastAsia="zh-CN"/>
              </w:rPr>
            </w:pPr>
            <w:r>
              <w:rPr>
                <w:rFonts w:hint="eastAsia" w:ascii="宋体" w:hAnsi="宋体" w:cs="宋体"/>
                <w:b/>
                <w:sz w:val="24"/>
                <w:lang w:val="en-US" w:eastAsia="zh-CN"/>
              </w:rPr>
              <w:t>4.</w:t>
            </w:r>
            <w:r>
              <w:rPr>
                <w:rFonts w:hint="eastAsia" w:ascii="宋体" w:hAnsi="宋体" w:cs="宋体"/>
                <w:b/>
                <w:sz w:val="24"/>
              </w:rPr>
              <w:t xml:space="preserve"> 展望一下27年新能源业务的增长情况</w:t>
            </w:r>
            <w:r>
              <w:rPr>
                <w:rFonts w:hint="eastAsia" w:ascii="宋体" w:hAnsi="宋体" w:cs="宋体"/>
                <w:b/>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尊敬的投资者您好！展望2027年，公司将继续围绕大功率充电和光储充一体化两条主线推进新能源业务，重点推动国内产品推广和海外项目落地，争取将现有业务布局转化为实际收入贡献。</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国内方面，公司已针对新能源重卡高频、重载、长时作业场景推出专用大功率充电桩，并在国内推广落地。2027年，公司将继续围绕重卡充电需求推进产品应用和市场拓展，业务增长主要取决于客户需求转化、订单获取及产品交付情况。</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海外方面，公司中标非洲光储充EPC框架项目，为拓展海外光储充一体化业务奠定了基础。后续公司将重点推进相关项目落地，并依托项目实施经验持续开拓海外配套需求。该框架项目对2027年收入的具体贡献，仍取决于后续具体项目安排、执行进度及收入确认情况。</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总体而言，国内大功率充电产品推广和海外光储充项目推进，是公司2027年新能源业务的主要拓展方向。具体增长幅度仍受行业政策、市场需求、竞争环境及项目落地进度等因素影响，相关经营情况请以公司后续</w:t>
            </w:r>
            <w:r>
              <w:rPr>
                <w:rFonts w:hint="eastAsia" w:ascii="宋体" w:hAnsi="宋体" w:cs="宋体"/>
                <w:sz w:val="24"/>
                <w:szCs w:val="24"/>
                <w:lang w:val="en-US" w:eastAsia="zh-CN"/>
              </w:rPr>
              <w:t>临时</w:t>
            </w:r>
            <w:bookmarkStart w:id="0" w:name="_GoBack"/>
            <w:bookmarkEnd w:id="0"/>
            <w:r>
              <w:rPr>
                <w:rFonts w:hint="eastAsia" w:ascii="宋体" w:hAnsi="宋体" w:eastAsia="宋体" w:cs="宋体"/>
                <w:sz w:val="24"/>
                <w:szCs w:val="24"/>
                <w:lang w:val="en-US" w:eastAsia="zh-CN"/>
              </w:rPr>
              <w:t>公告及定期报告为准。感谢您的关注。</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sz w:val="24"/>
                <w:szCs w:val="24"/>
                <w:lang w:val="en-US" w:eastAsia="zh-CN"/>
              </w:rPr>
            </w:pPr>
            <w:r>
              <w:rPr>
                <w:rFonts w:hint="eastAsia" w:ascii="宋体"/>
                <w:b/>
                <w:bCs/>
                <w:sz w:val="24"/>
                <w:lang w:val="en-US" w:eastAsia="zh-CN"/>
              </w:rPr>
              <w:t>5.</w:t>
            </w:r>
            <w:r>
              <w:rPr>
                <w:rFonts w:hint="default" w:ascii="宋体"/>
                <w:b/>
                <w:bCs/>
                <w:sz w:val="24"/>
                <w:lang w:val="en-US"/>
              </w:rPr>
              <w:t>充电桩业务属于重资产投入且市场竞争剧烈，公司在此生态位的技术壁垒或者竞争优势是什么？</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尊敬的投资者您好！</w:t>
            </w:r>
            <w:r>
              <w:rPr>
                <w:rFonts w:hint="default" w:ascii="宋体"/>
                <w:sz w:val="24"/>
                <w:lang w:val="en-US"/>
              </w:rPr>
              <w:t>公司充电桩业务聚焦新能源重卡充电桩方向持续迭代研发。目前兆瓦级2560kW充电机已实现市场投放，3200kW产品进入样机试制阶段；两款系列产品支持液冷、风冷超充、闪充、快充等多种充电终端配置，双枪最大输出电流可达1600A。依托智能柔性功率分配技术，可实现功率动态按需调度，提升充电运行效率。公司通过材料、技术与工艺升级，持续优化充电桩电能转换效率、降低能量损耗，在保障充电速率与运行稳定性的同时，提升电站电力资源利用效率与单位容量经济效益，能够为矿区、偏远运输线路等场景的大容量充电站提供高效可靠的充电解决方案，形成面向重卡大功率充电场景的差异化优势。</w:t>
            </w:r>
            <w:r>
              <w:rPr>
                <w:rFonts w:hint="eastAsia" w:ascii="宋体" w:hAnsi="宋体" w:eastAsia="宋体" w:cs="宋体"/>
                <w:sz w:val="24"/>
                <w:szCs w:val="24"/>
                <w:lang w:val="en-US" w:eastAsia="zh-CN"/>
              </w:rPr>
              <w:t>感谢您的关注。</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default" w:ascii="宋体" w:hAnsi="宋体" w:eastAsia="宋体" w:cs="宋体"/>
                <w:b/>
                <w:bCs/>
                <w:sz w:val="24"/>
                <w:szCs w:val="24"/>
                <w:lang w:val="en-US" w:eastAsia="zh-CN"/>
              </w:rPr>
            </w:pPr>
            <w:r>
              <w:rPr>
                <w:rFonts w:hint="eastAsia" w:ascii="宋体" w:hAnsi="宋体" w:cs="宋体"/>
                <w:b/>
                <w:bCs/>
                <w:sz w:val="24"/>
                <w:szCs w:val="24"/>
                <w:lang w:val="en-US" w:eastAsia="zh-CN"/>
              </w:rPr>
              <w:t>6.公司的避雷器业务当前在手订单有多少？27年预期还会有增长吗？</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尊敬的投资者您好！</w:t>
            </w:r>
            <w:r>
              <w:rPr>
                <w:rFonts w:hint="default" w:ascii="宋体"/>
                <w:sz w:val="24"/>
                <w:lang w:val="en-US"/>
              </w:rPr>
              <w:t>公司积极参与国家主干网架建设与升级改造，中标多个重点工程项目订单，避雷器业务订单储备较为充足，截至三季度，公司避雷器在手订单规模较上年同期增长近90%。在加快构建新型电力系统、推进能源绿色低碳转型背景下，国家电网“十五五”期间固定资产投资计划约4万亿元，较</w:t>
            </w:r>
            <w:r>
              <w:rPr>
                <w:rFonts w:hint="eastAsia" w:ascii="宋体"/>
                <w:sz w:val="24"/>
                <w:lang w:val="en-US" w:eastAsia="zh-CN"/>
              </w:rPr>
              <w:t>“</w:t>
            </w:r>
            <w:r>
              <w:rPr>
                <w:rFonts w:hint="default" w:ascii="宋体"/>
                <w:sz w:val="24"/>
                <w:lang w:val="en-US"/>
              </w:rPr>
              <w:t>十四五</w:t>
            </w:r>
            <w:r>
              <w:rPr>
                <w:rFonts w:hint="eastAsia" w:ascii="宋体"/>
                <w:sz w:val="24"/>
                <w:lang w:val="en-US" w:eastAsia="zh-CN"/>
              </w:rPr>
              <w:t>”</w:t>
            </w:r>
            <w:r>
              <w:rPr>
                <w:rFonts w:hint="default" w:ascii="宋体"/>
                <w:sz w:val="24"/>
                <w:lang w:val="en-US"/>
              </w:rPr>
              <w:t>增长约40%；南方电网投资规模亦保持增长，两网合计投资预计接近5万亿元，特高压、配网数字化改造、新能源配套送出工程持续落地，带动输配电设备需求稳步释放。</w:t>
            </w:r>
            <w:r>
              <w:rPr>
                <w:rFonts w:hint="eastAsia" w:ascii="宋体" w:hAnsi="宋体" w:eastAsia="宋体" w:cs="宋体"/>
                <w:sz w:val="24"/>
                <w:szCs w:val="24"/>
                <w:lang w:val="en-US" w:eastAsia="zh-CN"/>
              </w:rPr>
              <w:t>感谢您的关注。</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default" w:ascii="宋体"/>
                <w:b/>
                <w:bCs/>
                <w:sz w:val="24"/>
                <w:lang w:val="en-US" w:eastAsia="zh-CN"/>
              </w:rPr>
            </w:pPr>
            <w:r>
              <w:rPr>
                <w:rFonts w:hint="eastAsia" w:ascii="宋体"/>
                <w:b/>
                <w:bCs/>
                <w:sz w:val="24"/>
                <w:lang w:val="en-US" w:eastAsia="zh-CN"/>
              </w:rPr>
              <w:t>7.</w:t>
            </w:r>
            <w:r>
              <w:rPr>
                <w:rFonts w:hint="default" w:ascii="宋体"/>
                <w:b/>
                <w:bCs/>
                <w:sz w:val="24"/>
                <w:lang w:val="en-US"/>
              </w:rPr>
              <w:t>公司智能配网设备当前在手订单有多少？</w:t>
            </w:r>
          </w:p>
          <w:p>
            <w:pPr>
              <w:spacing w:line="480" w:lineRule="auto"/>
              <w:ind w:firstLine="480" w:firstLineChars="200"/>
              <w:rPr>
                <w:rFonts w:hint="default" w:ascii="宋体"/>
                <w:sz w:val="24"/>
                <w:lang w:val="en-US"/>
              </w:rPr>
            </w:pPr>
            <w:r>
              <w:rPr>
                <w:rFonts w:hint="eastAsia" w:ascii="宋体" w:hAnsi="宋体" w:eastAsia="宋体" w:cs="宋体"/>
                <w:sz w:val="24"/>
                <w:szCs w:val="24"/>
                <w:lang w:val="en-US" w:eastAsia="zh-CN"/>
              </w:rPr>
              <w:t>尊敬的投资者您好！</w:t>
            </w:r>
            <w:r>
              <w:rPr>
                <w:rFonts w:hint="default" w:ascii="宋体"/>
                <w:sz w:val="24"/>
                <w:lang w:val="en-US"/>
              </w:rPr>
              <w:t>公司在手订单情况请以公开披露信息为准。如相关合同达到披露标准或适用自愿披露，公司将及时履行信息披露义务</w:t>
            </w:r>
            <w:r>
              <w:rPr>
                <w:rFonts w:hint="eastAsia" w:ascii="宋体"/>
                <w:sz w:val="24"/>
                <w:lang w:val="en-US" w:eastAsia="zh-CN"/>
              </w:rPr>
              <w:t>。</w:t>
            </w:r>
            <w:r>
              <w:rPr>
                <w:rFonts w:hint="default" w:ascii="宋体"/>
                <w:sz w:val="24"/>
                <w:lang w:val="en-US"/>
              </w:rPr>
              <w:t>感谢您的关注！</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jc w:val="left"/>
              <w:textAlignment w:val="auto"/>
              <w:rPr>
                <w:rFonts w:hint="eastAsia" w:ascii="宋体" w:hAnsi="宋体" w:cs="宋体"/>
                <w:b/>
                <w:kern w:val="2"/>
                <w:sz w:val="24"/>
                <w:szCs w:val="24"/>
                <w:lang w:val="en-US" w:eastAsia="zh-CN" w:bidi="ar-SA"/>
              </w:rPr>
            </w:pPr>
            <w:r>
              <w:rPr>
                <w:rFonts w:hint="eastAsia" w:ascii="宋体" w:hAnsi="宋体" w:cs="宋体"/>
                <w:b/>
                <w:kern w:val="2"/>
                <w:sz w:val="24"/>
                <w:szCs w:val="24"/>
                <w:lang w:val="en-US" w:eastAsia="zh-CN" w:bidi="ar-SA"/>
              </w:rPr>
              <w:t>8.贵司半年报披露氮化铝、氮化硅陶瓷基板已进入送样验证阶段，DBC及AMB覆铜陶瓷基板也完成实验室验证。未来推动产品规模化应用，公司会更侧重自主完善工艺，还是加强与功率半导体封装企业的联合开发。</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尊敬的投资者您好！感谢您的建议。陶瓷基板规模化应用涉及材料制备与下游封装工艺的协同，公司后续会结合市场需求、客户验证及研发进度充分研判，统筹推进自主工艺完善与联合开发合作。感谢您的关注。</w:t>
            </w:r>
          </w:p>
          <w:p>
            <w:pPr>
              <w:spacing w:line="480" w:lineRule="auto"/>
              <w:ind w:firstLine="480" w:firstLineChars="200"/>
              <w:rPr>
                <w:rFonts w:hint="default" w:ascii="宋体"/>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1465" w:type="dxa"/>
            <w:tcBorders>
              <w:bottom w:val="single" w:color="auto" w:sz="4" w:space="0"/>
            </w:tcBorders>
            <w:vAlign w:val="center"/>
          </w:tcPr>
          <w:p>
            <w:pPr>
              <w:autoSpaceDE w:val="0"/>
              <w:autoSpaceDN w:val="0"/>
              <w:adjustRightInd w:val="0"/>
              <w:jc w:val="center"/>
              <w:rPr>
                <w:rFonts w:ascii="宋体" w:hAnsi="宋体" w:cs="宋体"/>
                <w:color w:val="000000"/>
                <w:kern w:val="0"/>
                <w:sz w:val="24"/>
              </w:rPr>
            </w:pPr>
            <w:r>
              <w:rPr>
                <w:rFonts w:hint="eastAsia" w:ascii="宋体" w:hAnsi="宋体" w:cs="宋体"/>
                <w:color w:val="000000"/>
                <w:kern w:val="0"/>
                <w:sz w:val="24"/>
              </w:rPr>
              <w:t>附件</w:t>
            </w:r>
          </w:p>
          <w:p>
            <w:pPr>
              <w:autoSpaceDE w:val="0"/>
              <w:autoSpaceDN w:val="0"/>
              <w:adjustRightInd w:val="0"/>
              <w:jc w:val="center"/>
              <w:rPr>
                <w:rFonts w:ascii="宋体" w:hAnsi="宋体" w:cs="宋体"/>
                <w:color w:val="000000"/>
                <w:kern w:val="0"/>
                <w:sz w:val="24"/>
              </w:rPr>
            </w:pPr>
            <w:r>
              <w:rPr>
                <w:rFonts w:hint="eastAsia" w:ascii="宋体" w:hAnsi="宋体" w:cs="宋体"/>
                <w:color w:val="000000"/>
                <w:kern w:val="0"/>
                <w:sz w:val="24"/>
              </w:rPr>
              <w:t>清单</w:t>
            </w:r>
          </w:p>
        </w:tc>
        <w:tc>
          <w:tcPr>
            <w:tcW w:w="7528" w:type="dxa"/>
            <w:tcBorders>
              <w:bottom w:val="single" w:color="auto" w:sz="4" w:space="0"/>
            </w:tcBorders>
            <w:vAlign w:val="center"/>
          </w:tcPr>
          <w:p>
            <w:pPr>
              <w:rPr>
                <w:rFonts w:ascii="宋体" w:hAnsi="宋体" w:cs="宋体"/>
                <w:color w:val="000000"/>
                <w:kern w:val="0"/>
                <w:sz w:val="24"/>
              </w:rPr>
            </w:pPr>
            <w:r>
              <w:rPr>
                <w:rFonts w:hint="eastAsia" w:ascii="宋体" w:hAnsi="宋体" w:cs="宋体"/>
                <w:color w:val="000000"/>
                <w:kern w:val="0"/>
                <w:sz w:val="24"/>
              </w:rPr>
              <w:t>无</w:t>
            </w:r>
          </w:p>
        </w:tc>
      </w:tr>
    </w:tbl>
    <w:p>
      <w:pPr>
        <w:rPr>
          <w:rFonts w:ascii="宋体" w:hAnsi="宋体" w:cs="宋体"/>
          <w:color w:val="000000"/>
          <w:kern w:val="0"/>
          <w:sz w:val="24"/>
        </w:rPr>
      </w:pPr>
    </w:p>
    <w:sectPr>
      <w:headerReference r:id="rId3" w:type="first"/>
      <w:footerReference r:id="rId5" w:type="first"/>
      <w:footerReference r:id="rId4" w:type="default"/>
      <w:pgSz w:w="11906" w:h="16838"/>
      <w:pgMar w:top="1304" w:right="1797" w:bottom="1304" w:left="1797"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Wingdings 2">
    <w:panose1 w:val="05020102010507070707"/>
    <w:charset w:val="00"/>
    <w:family w:val="auto"/>
    <w:pitch w:val="default"/>
    <w:sig w:usb0="00000000" w:usb1="00000000" w:usb2="00000000" w:usb3="00000000" w:csb0="8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w:t>
    </w:r>
    <w:r>
      <w:rPr>
        <w:b/>
        <w:sz w:val="24"/>
        <w:szCs w:val="24"/>
      </w:rPr>
      <w:fldChar w:fldCharType="begin"/>
    </w:r>
    <w:r>
      <w:rPr>
        <w:b/>
      </w:rPr>
      <w:instrText xml:space="preserve">NUMPAGES</w:instrText>
    </w:r>
    <w:r>
      <w:rPr>
        <w:b/>
        <w:sz w:val="24"/>
        <w:szCs w:val="24"/>
      </w:rPr>
      <w:fldChar w:fldCharType="separate"/>
    </w:r>
    <w:r>
      <w:rPr>
        <w:b/>
      </w:rPr>
      <w:t>2</w:t>
    </w:r>
    <w:r>
      <w:rPr>
        <w:b/>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t>-</w:t>
    </w:r>
    <w:r>
      <w:rPr>
        <w:rStyle w:val="13"/>
      </w:rPr>
      <w:fldChar w:fldCharType="begin"/>
    </w:r>
    <w:r>
      <w:rPr>
        <w:rStyle w:val="13"/>
      </w:rPr>
      <w:instrText xml:space="preserve"> PAGE </w:instrText>
    </w:r>
    <w:r>
      <w:rPr>
        <w:rStyle w:val="13"/>
      </w:rPr>
      <w:fldChar w:fldCharType="separate"/>
    </w:r>
    <w:r>
      <w:rPr>
        <w:rStyle w:val="13"/>
      </w:rPr>
      <w:t>1</w:t>
    </w:r>
    <w:r>
      <w:rPr>
        <w:rStyle w:val="13"/>
      </w:rPr>
      <w:fldChar w:fldCharType="end"/>
    </w:r>
    <w:r>
      <w:rPr>
        <w:rStyle w:val="13"/>
      </w:rPr>
      <w:t>-</w:t>
    </w:r>
  </w:p>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rawingGridHorizontalSpacing w:val="120"/>
  <w:drawingGridVerticalSpacing w:val="120"/>
  <w:displayHorizontalDrawingGridEvery w:val="1"/>
  <w:displayVerticalDrawingGridEvery w:val="1"/>
  <w:doNotUseMarginsForDrawingGridOrigin w:val="1"/>
  <w:drawingGridHorizontalOrigin w:val="1800"/>
  <w:drawingGridVerticalOrigin w:val="1440"/>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g0NDkzMTg3YTAzYWQxYWFjOGMzZDBkODA2M2IzMmUifQ=="/>
    <w:docVar w:name="KSO_WPS_MARK_KEY" w:val="4d4a2ea5-7e0d-46c6-be9f-b256dca1748d"/>
  </w:docVars>
  <w:rsids>
    <w:rsidRoot w:val="00172A27"/>
    <w:rsid w:val="00004ADB"/>
    <w:rsid w:val="00004F2F"/>
    <w:rsid w:val="00070C9B"/>
    <w:rsid w:val="00074F3D"/>
    <w:rsid w:val="00087DB6"/>
    <w:rsid w:val="00093E67"/>
    <w:rsid w:val="00096874"/>
    <w:rsid w:val="000B2347"/>
    <w:rsid w:val="000D3B07"/>
    <w:rsid w:val="000D799E"/>
    <w:rsid w:val="000E2ED3"/>
    <w:rsid w:val="000E30A9"/>
    <w:rsid w:val="00142518"/>
    <w:rsid w:val="00144061"/>
    <w:rsid w:val="00144672"/>
    <w:rsid w:val="00161351"/>
    <w:rsid w:val="00172A27"/>
    <w:rsid w:val="00176017"/>
    <w:rsid w:val="00187E2D"/>
    <w:rsid w:val="001957FC"/>
    <w:rsid w:val="001A13BD"/>
    <w:rsid w:val="001A5927"/>
    <w:rsid w:val="001A7356"/>
    <w:rsid w:val="00203129"/>
    <w:rsid w:val="0021285C"/>
    <w:rsid w:val="00213C9E"/>
    <w:rsid w:val="00234FC8"/>
    <w:rsid w:val="002448F3"/>
    <w:rsid w:val="002A0C59"/>
    <w:rsid w:val="002C10C4"/>
    <w:rsid w:val="002D122F"/>
    <w:rsid w:val="002E47B8"/>
    <w:rsid w:val="00304BDB"/>
    <w:rsid w:val="00315E48"/>
    <w:rsid w:val="00341506"/>
    <w:rsid w:val="003576D8"/>
    <w:rsid w:val="00367740"/>
    <w:rsid w:val="00370C8B"/>
    <w:rsid w:val="003903C0"/>
    <w:rsid w:val="00397E19"/>
    <w:rsid w:val="003D089D"/>
    <w:rsid w:val="003D6191"/>
    <w:rsid w:val="003E5DEA"/>
    <w:rsid w:val="003F0B2B"/>
    <w:rsid w:val="003F651B"/>
    <w:rsid w:val="00414F4D"/>
    <w:rsid w:val="00426F4A"/>
    <w:rsid w:val="00450B1D"/>
    <w:rsid w:val="00471FAC"/>
    <w:rsid w:val="00474BFD"/>
    <w:rsid w:val="0048081E"/>
    <w:rsid w:val="0049224F"/>
    <w:rsid w:val="00494A56"/>
    <w:rsid w:val="0049713B"/>
    <w:rsid w:val="004A1B88"/>
    <w:rsid w:val="004A2240"/>
    <w:rsid w:val="004D23EA"/>
    <w:rsid w:val="004E558E"/>
    <w:rsid w:val="005518C5"/>
    <w:rsid w:val="005642B9"/>
    <w:rsid w:val="00577071"/>
    <w:rsid w:val="00580352"/>
    <w:rsid w:val="00591C01"/>
    <w:rsid w:val="005A5B18"/>
    <w:rsid w:val="005C7E87"/>
    <w:rsid w:val="005D3532"/>
    <w:rsid w:val="005D6EF2"/>
    <w:rsid w:val="005D71EC"/>
    <w:rsid w:val="005F3D34"/>
    <w:rsid w:val="005F500A"/>
    <w:rsid w:val="006060BF"/>
    <w:rsid w:val="00606753"/>
    <w:rsid w:val="00624F16"/>
    <w:rsid w:val="006427F7"/>
    <w:rsid w:val="00647405"/>
    <w:rsid w:val="00652983"/>
    <w:rsid w:val="00657A82"/>
    <w:rsid w:val="006623CA"/>
    <w:rsid w:val="00675E41"/>
    <w:rsid w:val="006A28C7"/>
    <w:rsid w:val="006B1422"/>
    <w:rsid w:val="006C0103"/>
    <w:rsid w:val="006C0AFF"/>
    <w:rsid w:val="006C17FF"/>
    <w:rsid w:val="006D1871"/>
    <w:rsid w:val="006E33B7"/>
    <w:rsid w:val="0071220C"/>
    <w:rsid w:val="00715181"/>
    <w:rsid w:val="00722DCC"/>
    <w:rsid w:val="007264CB"/>
    <w:rsid w:val="00735E2E"/>
    <w:rsid w:val="00776728"/>
    <w:rsid w:val="007B384E"/>
    <w:rsid w:val="007B4A09"/>
    <w:rsid w:val="007D7222"/>
    <w:rsid w:val="007D7676"/>
    <w:rsid w:val="007E3DF4"/>
    <w:rsid w:val="007F5E30"/>
    <w:rsid w:val="008000BE"/>
    <w:rsid w:val="008050A0"/>
    <w:rsid w:val="00807B75"/>
    <w:rsid w:val="008307A2"/>
    <w:rsid w:val="008309D7"/>
    <w:rsid w:val="0083475A"/>
    <w:rsid w:val="00835E92"/>
    <w:rsid w:val="008411CB"/>
    <w:rsid w:val="008419A2"/>
    <w:rsid w:val="0084473D"/>
    <w:rsid w:val="00852B74"/>
    <w:rsid w:val="00877B59"/>
    <w:rsid w:val="00880DC8"/>
    <w:rsid w:val="008B3404"/>
    <w:rsid w:val="008B72A8"/>
    <w:rsid w:val="008E6C29"/>
    <w:rsid w:val="008E7D2F"/>
    <w:rsid w:val="00901472"/>
    <w:rsid w:val="0090559E"/>
    <w:rsid w:val="00905EB3"/>
    <w:rsid w:val="009063DE"/>
    <w:rsid w:val="00907C86"/>
    <w:rsid w:val="0091048F"/>
    <w:rsid w:val="00914A4E"/>
    <w:rsid w:val="00922CCC"/>
    <w:rsid w:val="00943376"/>
    <w:rsid w:val="00947011"/>
    <w:rsid w:val="00966CDC"/>
    <w:rsid w:val="00977B4E"/>
    <w:rsid w:val="00984DBF"/>
    <w:rsid w:val="009A5868"/>
    <w:rsid w:val="009B4482"/>
    <w:rsid w:val="009C778F"/>
    <w:rsid w:val="009E72F7"/>
    <w:rsid w:val="009F0322"/>
    <w:rsid w:val="00A12CFB"/>
    <w:rsid w:val="00A437EA"/>
    <w:rsid w:val="00A45BF1"/>
    <w:rsid w:val="00A5175C"/>
    <w:rsid w:val="00A552F3"/>
    <w:rsid w:val="00A57063"/>
    <w:rsid w:val="00A62D25"/>
    <w:rsid w:val="00A630D3"/>
    <w:rsid w:val="00A63E52"/>
    <w:rsid w:val="00A67EAD"/>
    <w:rsid w:val="00A77B3B"/>
    <w:rsid w:val="00A77DA5"/>
    <w:rsid w:val="00A81053"/>
    <w:rsid w:val="00AA53F6"/>
    <w:rsid w:val="00AF2564"/>
    <w:rsid w:val="00AF395D"/>
    <w:rsid w:val="00B14993"/>
    <w:rsid w:val="00B339BA"/>
    <w:rsid w:val="00B44347"/>
    <w:rsid w:val="00B446A5"/>
    <w:rsid w:val="00B51102"/>
    <w:rsid w:val="00B5127F"/>
    <w:rsid w:val="00B8491C"/>
    <w:rsid w:val="00BA1575"/>
    <w:rsid w:val="00BD2C2F"/>
    <w:rsid w:val="00BD2CF7"/>
    <w:rsid w:val="00BE0A85"/>
    <w:rsid w:val="00BF670B"/>
    <w:rsid w:val="00C17A94"/>
    <w:rsid w:val="00C25035"/>
    <w:rsid w:val="00C352F7"/>
    <w:rsid w:val="00C36519"/>
    <w:rsid w:val="00C43BC5"/>
    <w:rsid w:val="00C704BA"/>
    <w:rsid w:val="00C75529"/>
    <w:rsid w:val="00CA587D"/>
    <w:rsid w:val="00CA7142"/>
    <w:rsid w:val="00CB0B28"/>
    <w:rsid w:val="00CB11C4"/>
    <w:rsid w:val="00CC1D1E"/>
    <w:rsid w:val="00CD3967"/>
    <w:rsid w:val="00CF173A"/>
    <w:rsid w:val="00CF365D"/>
    <w:rsid w:val="00D022F3"/>
    <w:rsid w:val="00D32235"/>
    <w:rsid w:val="00D450C1"/>
    <w:rsid w:val="00D53E42"/>
    <w:rsid w:val="00DB1147"/>
    <w:rsid w:val="00DD291D"/>
    <w:rsid w:val="00DD6DF8"/>
    <w:rsid w:val="00DE2B8C"/>
    <w:rsid w:val="00DE7253"/>
    <w:rsid w:val="00E03494"/>
    <w:rsid w:val="00E04FD8"/>
    <w:rsid w:val="00E055E3"/>
    <w:rsid w:val="00E10267"/>
    <w:rsid w:val="00E2717F"/>
    <w:rsid w:val="00E44A97"/>
    <w:rsid w:val="00E71F08"/>
    <w:rsid w:val="00E9725F"/>
    <w:rsid w:val="00EA7FF3"/>
    <w:rsid w:val="00EB413C"/>
    <w:rsid w:val="00EC4071"/>
    <w:rsid w:val="00EC5341"/>
    <w:rsid w:val="00EE1A36"/>
    <w:rsid w:val="00F0689B"/>
    <w:rsid w:val="00F3216C"/>
    <w:rsid w:val="00F45C9D"/>
    <w:rsid w:val="00F462BA"/>
    <w:rsid w:val="00F63350"/>
    <w:rsid w:val="00F65ED7"/>
    <w:rsid w:val="00F7596E"/>
    <w:rsid w:val="00F775D2"/>
    <w:rsid w:val="00F92761"/>
    <w:rsid w:val="00FB0278"/>
    <w:rsid w:val="00FB4CB6"/>
    <w:rsid w:val="00FB7230"/>
    <w:rsid w:val="00FD4D02"/>
    <w:rsid w:val="00FF61C3"/>
    <w:rsid w:val="00FF635B"/>
    <w:rsid w:val="016D018B"/>
    <w:rsid w:val="023A1064"/>
    <w:rsid w:val="02CE1FD2"/>
    <w:rsid w:val="05F73ED5"/>
    <w:rsid w:val="075C5298"/>
    <w:rsid w:val="07DE0E81"/>
    <w:rsid w:val="0A274143"/>
    <w:rsid w:val="0C1237DB"/>
    <w:rsid w:val="0CEA71A1"/>
    <w:rsid w:val="0D1C7316"/>
    <w:rsid w:val="0DAE7F22"/>
    <w:rsid w:val="11FB53E6"/>
    <w:rsid w:val="138429B6"/>
    <w:rsid w:val="13937C48"/>
    <w:rsid w:val="13FD600E"/>
    <w:rsid w:val="1424171D"/>
    <w:rsid w:val="14DD558B"/>
    <w:rsid w:val="15D7537D"/>
    <w:rsid w:val="16046DB8"/>
    <w:rsid w:val="1729659A"/>
    <w:rsid w:val="1C352D76"/>
    <w:rsid w:val="1F736A33"/>
    <w:rsid w:val="1FA62463"/>
    <w:rsid w:val="20FB3719"/>
    <w:rsid w:val="225C5A11"/>
    <w:rsid w:val="23D02ABE"/>
    <w:rsid w:val="24A04566"/>
    <w:rsid w:val="24FD53FA"/>
    <w:rsid w:val="25B24CEA"/>
    <w:rsid w:val="26225532"/>
    <w:rsid w:val="27501099"/>
    <w:rsid w:val="28F01E8D"/>
    <w:rsid w:val="290119D9"/>
    <w:rsid w:val="29433843"/>
    <w:rsid w:val="29946E6A"/>
    <w:rsid w:val="2A6033D4"/>
    <w:rsid w:val="2CEB783B"/>
    <w:rsid w:val="2F4765BF"/>
    <w:rsid w:val="2F7A3D93"/>
    <w:rsid w:val="3119389F"/>
    <w:rsid w:val="3122462A"/>
    <w:rsid w:val="315F4133"/>
    <w:rsid w:val="32064FFD"/>
    <w:rsid w:val="338E0939"/>
    <w:rsid w:val="341F3B92"/>
    <w:rsid w:val="34AC5342"/>
    <w:rsid w:val="3642219F"/>
    <w:rsid w:val="373C0A82"/>
    <w:rsid w:val="37856537"/>
    <w:rsid w:val="3A5B0C83"/>
    <w:rsid w:val="3B1748CF"/>
    <w:rsid w:val="3CCA3379"/>
    <w:rsid w:val="3D4803A6"/>
    <w:rsid w:val="3D5B705F"/>
    <w:rsid w:val="3EEB2DBD"/>
    <w:rsid w:val="408F0186"/>
    <w:rsid w:val="44057262"/>
    <w:rsid w:val="44AD4E1A"/>
    <w:rsid w:val="45BE400C"/>
    <w:rsid w:val="49AE0E90"/>
    <w:rsid w:val="4DFD7181"/>
    <w:rsid w:val="50344D25"/>
    <w:rsid w:val="504E0C48"/>
    <w:rsid w:val="52D140B7"/>
    <w:rsid w:val="52D946DE"/>
    <w:rsid w:val="530F204F"/>
    <w:rsid w:val="534734E5"/>
    <w:rsid w:val="54EC6A5F"/>
    <w:rsid w:val="55DA4912"/>
    <w:rsid w:val="55E821FD"/>
    <w:rsid w:val="569E71AA"/>
    <w:rsid w:val="56A0411D"/>
    <w:rsid w:val="58FE53CC"/>
    <w:rsid w:val="592E1A58"/>
    <w:rsid w:val="592F04A1"/>
    <w:rsid w:val="5B591377"/>
    <w:rsid w:val="5C246ED3"/>
    <w:rsid w:val="5D6669BE"/>
    <w:rsid w:val="5E86208F"/>
    <w:rsid w:val="5E9847DA"/>
    <w:rsid w:val="5F2E0A9A"/>
    <w:rsid w:val="619E3075"/>
    <w:rsid w:val="62154E00"/>
    <w:rsid w:val="63436C5F"/>
    <w:rsid w:val="64A5771C"/>
    <w:rsid w:val="64E04D93"/>
    <w:rsid w:val="67C623D5"/>
    <w:rsid w:val="680F7AC7"/>
    <w:rsid w:val="68A021CE"/>
    <w:rsid w:val="68A21128"/>
    <w:rsid w:val="68D84919"/>
    <w:rsid w:val="6A313CAC"/>
    <w:rsid w:val="6AB46566"/>
    <w:rsid w:val="6B221811"/>
    <w:rsid w:val="6B3D3D8F"/>
    <w:rsid w:val="6BDE1E34"/>
    <w:rsid w:val="6EA34DFA"/>
    <w:rsid w:val="6F201DE1"/>
    <w:rsid w:val="711F20AE"/>
    <w:rsid w:val="71436953"/>
    <w:rsid w:val="718C1DBC"/>
    <w:rsid w:val="71DB27B2"/>
    <w:rsid w:val="727F24CD"/>
    <w:rsid w:val="72F93DB9"/>
    <w:rsid w:val="7779293F"/>
    <w:rsid w:val="7A536ACA"/>
    <w:rsid w:val="7EF1191F"/>
    <w:rsid w:val="7F7B49C1"/>
    <w:rsid w:val="7FC0335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unhideWhenUsed/>
    <w:qFormat/>
    <w:uiPriority w:val="99"/>
    <w:pPr>
      <w:widowControl w:val="0"/>
      <w:spacing w:after="120"/>
      <w:jc w:val="both"/>
    </w:pPr>
    <w:rPr>
      <w:rFonts w:ascii="Times New Roman" w:hAnsi="Times New Roman" w:cs="Times New Roman"/>
      <w:kern w:val="2"/>
      <w:szCs w:val="21"/>
    </w:rPr>
  </w:style>
  <w:style w:type="paragraph" w:styleId="3">
    <w:name w:val="Body Text Indent"/>
    <w:basedOn w:val="1"/>
    <w:unhideWhenUsed/>
    <w:qFormat/>
    <w:uiPriority w:val="99"/>
    <w:pPr>
      <w:spacing w:after="120"/>
      <w:ind w:left="420" w:leftChars="200"/>
    </w:pPr>
  </w:style>
  <w:style w:type="paragraph" w:styleId="4">
    <w:name w:val="footer"/>
    <w:basedOn w:val="1"/>
    <w:link w:val="17"/>
    <w:unhideWhenUsed/>
    <w:qFormat/>
    <w:uiPriority w:val="99"/>
    <w:pPr>
      <w:tabs>
        <w:tab w:val="center" w:pos="4153"/>
        <w:tab w:val="right" w:pos="8306"/>
      </w:tabs>
      <w:snapToGrid w:val="0"/>
      <w:jc w:val="left"/>
    </w:pPr>
    <w:rPr>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HTML Preformatted"/>
    <w:basedOn w:val="1"/>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Normal (Web)"/>
    <w:basedOn w:val="1"/>
    <w:semiHidden/>
    <w:unhideWhenUsed/>
    <w:qFormat/>
    <w:uiPriority w:val="99"/>
    <w:rPr>
      <w:sz w:val="24"/>
    </w:rPr>
  </w:style>
  <w:style w:type="paragraph" w:styleId="8">
    <w:name w:val="Title"/>
    <w:basedOn w:val="1"/>
    <w:next w:val="1"/>
    <w:qFormat/>
    <w:uiPriority w:val="10"/>
    <w:pPr>
      <w:spacing w:after="60"/>
      <w:jc w:val="left"/>
      <w:outlineLvl w:val="0"/>
    </w:pPr>
    <w:rPr>
      <w:rFonts w:asciiTheme="majorHAnsi" w:hAnsiTheme="majorHAnsi" w:cstheme="majorBidi"/>
      <w:b/>
      <w:bCs/>
      <w:sz w:val="32"/>
      <w:szCs w:val="32"/>
    </w:rPr>
  </w:style>
  <w:style w:type="paragraph" w:styleId="9">
    <w:name w:val="Body Text First Indent 2"/>
    <w:basedOn w:val="3"/>
    <w:unhideWhenUsed/>
    <w:qFormat/>
    <w:uiPriority w:val="99"/>
    <w:pPr>
      <w:ind w:firstLine="420" w:firstLineChars="200"/>
    </w:pPr>
  </w:style>
  <w:style w:type="table" w:styleId="11">
    <w:name w:val="Table Grid"/>
    <w:basedOn w:val="10"/>
    <w:qFormat/>
    <w:uiPriority w:val="0"/>
    <w:pPr>
      <w:widowControl w:val="0"/>
      <w:jc w:val="both"/>
    </w:pPr>
    <w:rPr>
      <w:rFonts w:ascii="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character" w:styleId="14">
    <w:name w:val="Emphasis"/>
    <w:basedOn w:val="12"/>
    <w:qFormat/>
    <w:uiPriority w:val="20"/>
    <w:rPr>
      <w:i/>
    </w:rPr>
  </w:style>
  <w:style w:type="character" w:styleId="15">
    <w:name w:val="Hyperlink"/>
    <w:basedOn w:val="12"/>
    <w:unhideWhenUsed/>
    <w:qFormat/>
    <w:uiPriority w:val="99"/>
    <w:rPr>
      <w:color w:val="0563C1"/>
      <w:u w:val="single"/>
    </w:rPr>
  </w:style>
  <w:style w:type="character" w:customStyle="1" w:styleId="16">
    <w:name w:val="页眉 字符"/>
    <w:link w:val="5"/>
    <w:qFormat/>
    <w:uiPriority w:val="99"/>
    <w:rPr>
      <w:sz w:val="18"/>
      <w:szCs w:val="18"/>
    </w:rPr>
  </w:style>
  <w:style w:type="character" w:customStyle="1" w:styleId="17">
    <w:name w:val="页脚 字符"/>
    <w:link w:val="4"/>
    <w:qFormat/>
    <w:uiPriority w:val="99"/>
    <w:rPr>
      <w:sz w:val="18"/>
      <w:szCs w:val="18"/>
    </w:rPr>
  </w:style>
  <w:style w:type="paragraph" w:customStyle="1" w:styleId="18">
    <w:name w:val="Default"/>
    <w:qFormat/>
    <w:uiPriority w:val="0"/>
    <w:pPr>
      <w:widowControl w:val="0"/>
      <w:autoSpaceDE w:val="0"/>
      <w:autoSpaceDN w:val="0"/>
      <w:adjustRightInd w:val="0"/>
    </w:pPr>
    <w:rPr>
      <w:rFonts w:ascii="黑体" w:hAnsi="Calibri" w:eastAsia="黑体" w:cs="黑体"/>
      <w:color w:val="000000"/>
      <w:sz w:val="24"/>
      <w:szCs w:val="24"/>
      <w:lang w:val="en-US" w:eastAsia="zh-CN" w:bidi="ar-SA"/>
    </w:rPr>
  </w:style>
  <w:style w:type="paragraph" w:styleId="19">
    <w:name w:val="List Paragraph"/>
    <w:basedOn w:val="1"/>
    <w:qFormat/>
    <w:uiPriority w:val="34"/>
    <w:pPr>
      <w:ind w:firstLine="420" w:firstLineChars="200"/>
    </w:pPr>
    <w:rPr>
      <w:rFonts w:ascii="等线" w:hAnsi="等线" w:eastAsia="等线"/>
      <w:szCs w:val="22"/>
    </w:rPr>
  </w:style>
  <w:style w:type="paragraph" w:customStyle="1" w:styleId="20">
    <w:name w:val="msolistparagraph"/>
    <w:basedOn w:val="1"/>
    <w:qFormat/>
    <w:uiPriority w:val="0"/>
    <w:pPr>
      <w:ind w:firstLine="420" w:firstLineChars="200"/>
    </w:pPr>
    <w:rPr>
      <w:rFonts w:hint="eastAsia" w:ascii="等线" w:hAnsi="等线" w:eastAsia="等线"/>
      <w:szCs w:val="22"/>
    </w:rPr>
  </w:style>
  <w:style w:type="paragraph" w:customStyle="1" w:styleId="21">
    <w:name w:val="005正文"/>
    <w:basedOn w:val="1"/>
    <w:link w:val="22"/>
    <w:qFormat/>
    <w:uiPriority w:val="0"/>
    <w:pPr>
      <w:spacing w:beforeLines="50"/>
    </w:pPr>
    <w:rPr>
      <w:szCs w:val="22"/>
    </w:rPr>
  </w:style>
  <w:style w:type="character" w:customStyle="1" w:styleId="22">
    <w:name w:val="005正文 Char"/>
    <w:link w:val="21"/>
    <w:qFormat/>
    <w:uiPriority w:val="0"/>
    <w:rPr>
      <w:rFonts w:hint="default" w:ascii="Times New Roman" w:hAnsi="Times New Roman" w:cs="Times New Roman"/>
      <w:kern w:val="2"/>
      <w:sz w:val="21"/>
      <w:szCs w:val="22"/>
    </w:rPr>
  </w:style>
  <w:style w:type="paragraph" w:customStyle="1" w:styleId="23">
    <w:name w:val="日常使用"/>
    <w:basedOn w:val="1"/>
    <w:link w:val="24"/>
    <w:qFormat/>
    <w:uiPriority w:val="0"/>
    <w:pPr>
      <w:spacing w:line="460" w:lineRule="exact"/>
      <w:ind w:firstLine="200" w:firstLineChars="200"/>
    </w:pPr>
    <w:rPr>
      <w:sz w:val="24"/>
      <w:szCs w:val="19"/>
      <w:shd w:val="clear" w:color="auto" w:fill="FFFFFF"/>
    </w:rPr>
  </w:style>
  <w:style w:type="character" w:customStyle="1" w:styleId="24">
    <w:name w:val="日常使用 字符"/>
    <w:link w:val="23"/>
    <w:qFormat/>
    <w:uiPriority w:val="0"/>
    <w:rPr>
      <w:rFonts w:ascii="Times New Roman" w:hAnsi="Times New Roman" w:cs="Times New Roman"/>
      <w:kern w:val="2"/>
      <w:sz w:val="24"/>
      <w:szCs w:val="19"/>
    </w:rPr>
  </w:style>
  <w:style w:type="paragraph" w:customStyle="1" w:styleId="25">
    <w:name w:val="Table Text"/>
    <w:basedOn w:val="1"/>
    <w:semiHidden/>
    <w:qFormat/>
    <w:uiPriority w:val="0"/>
    <w:rPr>
      <w:rFonts w:ascii="宋体" w:hAnsi="宋体" w:eastAsia="宋体" w:cs="宋体"/>
      <w:sz w:val="24"/>
      <w:szCs w:val="24"/>
      <w:lang w:val="en-US" w:eastAsia="en-US" w:bidi="ar-SA"/>
    </w:rPr>
  </w:style>
  <w:style w:type="table" w:customStyle="1" w:styleId="2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数字引用" Version="1987"/>
</file>

<file path=customXml/itemProps1.xml><?xml version="1.0" encoding="utf-8"?>
<ds:datastoreItem xmlns:ds="http://schemas.openxmlformats.org/officeDocument/2006/customXml" ds:itemID="{5CF8298C-0410-49CB-837A-9C2C6F535C88}">
  <ds:schemaRefs/>
</ds:datastoreItem>
</file>

<file path=docProps/app.xml><?xml version="1.0" encoding="utf-8"?>
<Properties xmlns="http://schemas.openxmlformats.org/officeDocument/2006/extended-properties" xmlns:vt="http://schemas.openxmlformats.org/officeDocument/2006/docPropsVTypes">
  <Template>Normal.dotm</Template>
  <Pages>4</Pages>
  <Words>1861</Words>
  <Characters>1987</Characters>
  <Lines>24</Lines>
  <Paragraphs>6</Paragraphs>
  <TotalTime>52</TotalTime>
  <ScaleCrop>false</ScaleCrop>
  <LinksUpToDate>false</LinksUpToDate>
  <CharactersWithSpaces>2045</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2023-06-29T08:51:00Z</dcterms:created>
  <dc:creator>LYH</dc:creator>
  <cp:lastModifiedBy>liu yanna</cp:lastModifiedBy>
  <cp:lastPrinted>2024-02-07T08:58:00Z</cp:lastPrinted>
  <dcterms:modified xsi:type="dcterms:W3CDTF">2026-11-05T07:11:11Z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350372BB585C483781B0F43DEC5D19C9_13</vt:lpwstr>
  </property>
  <property fmtid="{D5CDD505-2E9C-101B-9397-08002B2CF9AE}" pid="4" name="KSOTemplateDocerSaveRecord">
    <vt:lpwstr>eyJoZGlkIjoiMzQ5YTU1MzA4Y2UxOThkYjk2NjYwNWIzNmM5ODdkMTQiLCJ1c2VySWQiOiIxOTk2Mjk5NzcifQ==</vt:lpwstr>
  </property>
</Properties>
</file>