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01CE9">
      <w:pPr>
        <w:pStyle w:val="2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688191</w:t>
      </w: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智洋创新</w:t>
      </w:r>
    </w:p>
    <w:p w14:paraId="4DDB304F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5FE1AC16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智洋创新科技股份有限公司</w:t>
      </w:r>
    </w:p>
    <w:p w14:paraId="36758B6B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60250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3F6CF67B">
            <w:pPr>
              <w:pStyle w:val="12"/>
              <w:spacing w:before="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22BC4549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5DF4B925">
            <w:pPr>
              <w:pStyle w:val="12"/>
              <w:spacing w:before="7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702A67B6">
            <w:pPr>
              <w:pStyle w:val="12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 w14:paraId="6B16D603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16F6E6AB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 w14:paraId="150369A8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25500852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 w14:paraId="67F93E00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001EDD0E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 w14:paraId="74F32EE7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4C1C0193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其他（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</w:rPr>
              <w:t>请文字说明其他活动内容）</w:t>
            </w:r>
          </w:p>
        </w:tc>
      </w:tr>
      <w:tr w14:paraId="2D7EF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 w14:paraId="77621097">
            <w:pPr>
              <w:pStyle w:val="12"/>
              <w:spacing w:line="240" w:lineRule="auto"/>
              <w:ind w:right="96"/>
              <w:jc w:val="both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61B597C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240" w:lineRule="auto"/>
              <w:jc w:val="both"/>
              <w:textAlignment w:val="auto"/>
              <w:rPr>
                <w:rFonts w:hint="default" w:eastAsia="宋体" w:cs="宋体" w:asciiTheme="minorEastAsia" w:hAnsi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  <w:t>线上参与公司2026年第三季度业绩说明会的投资者</w:t>
            </w:r>
          </w:p>
        </w:tc>
      </w:tr>
      <w:tr w14:paraId="6B4DB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113C0A54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5173C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2026年11月05日 10:00-11:00</w:t>
            </w:r>
          </w:p>
        </w:tc>
      </w:tr>
      <w:tr w14:paraId="08AD9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7575FBBD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79BC0A0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cs="宋体" w:asciiTheme="minorEastAsia" w:hAnsiTheme="minorEastAsia" w:eastAsiaTheme="minorEastAsia"/>
                <w:sz w:val="20"/>
                <w:szCs w:val="20"/>
              </w:rPr>
            </w:pPr>
            <w:r>
              <w:rPr>
                <w:rFonts w:cs="宋体" w:asciiTheme="minorEastAsia" w:hAnsiTheme="minorEastAsia" w:eastAsiaTheme="minorEastAsia"/>
                <w:sz w:val="20"/>
                <w:szCs w:val="20"/>
              </w:rPr>
              <w:t>价值在线（https://www.ir-online.cn/）网络互动</w:t>
            </w:r>
          </w:p>
        </w:tc>
      </w:tr>
      <w:tr w14:paraId="546A6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51F294B4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27FA56A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董事长 刘国永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董事会秘书 吴馨竹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财务总监 胡学海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独立董事 谭博学</w:t>
            </w:r>
          </w:p>
        </w:tc>
      </w:tr>
      <w:tr w14:paraId="731F1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580" w:type="dxa"/>
          </w:tcPr>
          <w:p w14:paraId="3514A61D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4EE37286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32A9BDC6">
            <w:pPr>
              <w:pStyle w:val="12"/>
              <w:spacing w:before="5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3AE5A106">
            <w:pPr>
              <w:pStyle w:val="12"/>
              <w:spacing w:before="1" w:line="499" w:lineRule="auto"/>
              <w:ind w:left="107" w:right="96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240075F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line="360" w:lineRule="auto"/>
              <w:ind w:firstLine="401"/>
              <w:textAlignment w:val="auto"/>
              <w:rPr>
                <w:rFonts w:ascii="宋体" w:hAnsi="宋体" w:eastAsia="宋体" w:cs="宋体"/>
                <w:b w:val="0"/>
                <w:sz w:val="20"/>
              </w:rPr>
            </w:pPr>
            <w:r>
              <w:rPr>
                <w:rFonts w:ascii="宋体" w:hAnsi="宋体" w:eastAsia="宋体" w:cs="宋体"/>
                <w:b/>
                <w:sz w:val="20"/>
              </w:rPr>
              <w:t>1.目前公司水利、轨交等新业务都在逐步兑现，此外还计划向哪些下游应用领域拓展？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感谢您对公司的关注！公司长期坚持“人工智能+行业”发展战略，目前公司业务主要涵盖电力、水利、轨道交通等领域。其中，电力业务覆盖输电、变电、配电等场景；水利业务为流域防洪、水资源管理、水利工程运行管理、河湖长制与河湖管理等提供决策支撑；轨道交通业务面向线路安全环境智能运维，围绕行车外部环境、巡防运维、基础设施监测检测等需求提供解决方案。</w:t>
            </w:r>
          </w:p>
          <w:p w14:paraId="47E3A4D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line="360" w:lineRule="auto"/>
              <w:ind w:firstLine="401"/>
              <w:textAlignment w:val="auto"/>
              <w:rPr>
                <w:rFonts w:ascii="宋体" w:hAnsi="宋体" w:eastAsia="宋体" w:cs="宋体"/>
                <w:b w:val="0"/>
                <w:sz w:val="20"/>
              </w:rPr>
            </w:pPr>
            <w:r>
              <w:rPr>
                <w:rFonts w:ascii="宋体" w:hAnsi="宋体" w:eastAsia="宋体" w:cs="宋体"/>
                <w:b w:val="0"/>
                <w:sz w:val="20"/>
              </w:rPr>
              <w:t>同时，公司正积极拓展地质安全监测、无人机、新能源等新业务领域。相关领域目前处于业务拓展期，已陆续获得试点订单并实现少量收入。技术创新是公司发展的基石，公司将持续推进具身智能、智能感知终端等技术和产品研发，不断丰富人工智能软硬件产品体系，推动相关技术和产品在更多行业场景的商业化应用。谢谢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2.公司现阶段保持着比较高强度的研发投入，后续研发投入的主要方向是哪些？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感谢您对公司的关注！公司持续加大对人工智能技术的投入，重点包括工业大模型算法的应用、具身智能技术的突破和智能硬件水平的提升，并通过高端技术人才引进、研发资源投入及产学研合作研发等方式，强化核心技术平台能力。</w:t>
            </w:r>
          </w:p>
          <w:p w14:paraId="363717F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line="360" w:lineRule="auto"/>
              <w:ind w:firstLine="401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sz w:val="20"/>
              </w:rPr>
              <w:t>此外，公司已披露2026年度向特定对象发行A股股票方案，进一步明确了未来研发投入方向：一是多垂域具身智能及人工智能体研发，推进现有AI算法与大模型技术</w:t>
            </w:r>
            <w:bookmarkStart w:id="0" w:name="_GoBack"/>
            <w:bookmarkEnd w:id="0"/>
            <w:r>
              <w:rPr>
                <w:rFonts w:ascii="宋体" w:hAnsi="宋体" w:eastAsia="宋体" w:cs="宋体"/>
                <w:b w:val="0"/>
                <w:sz w:val="20"/>
              </w:rPr>
              <w:t>架构升级，打造覆盖空、地、水的具身智能硬件矩阵；二是智能感知终端及其分析管理平台研发，重点开展SPAD单光子探测、雷视融合、分布式光纤传感等技术的产品研发，并推进全域人工智能感知终端产业化升级，进一步强化公司“人工智能+行业”战略的技术和产品支撑。具体内容详见公司已披露的再融资相关公告。谢谢。</w:t>
            </w:r>
          </w:p>
        </w:tc>
      </w:tr>
      <w:tr w14:paraId="518A1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580" w:type="dxa"/>
            <w:vAlign w:val="center"/>
          </w:tcPr>
          <w:p w14:paraId="07843335">
            <w:pPr>
              <w:pStyle w:val="12"/>
              <w:spacing w:before="1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5EDA5674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6DE65C5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 w14:paraId="1D457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5A547D96">
            <w:pPr>
              <w:pStyle w:val="12"/>
              <w:spacing w:before="1"/>
              <w:ind w:left="107" w:leftChars="0"/>
              <w:rPr>
                <w:rFonts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65DE094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</w:p>
        </w:tc>
      </w:tr>
      <w:tr w14:paraId="7A874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70195A1B">
            <w:pPr>
              <w:pStyle w:val="12"/>
              <w:spacing w:before="1"/>
              <w:ind w:left="107" w:leftChars="0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29D974A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2026年11月05日</w:t>
            </w:r>
          </w:p>
        </w:tc>
      </w:tr>
    </w:tbl>
    <w:p w14:paraId="27BB995B"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27813C5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C51E3D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  <w:rsid w:val="7FC4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954</Words>
  <Characters>1010</Characters>
  <Lines>2</Lines>
  <Paragraphs>1</Paragraphs>
  <TotalTime>4</TotalTime>
  <ScaleCrop>false</ScaleCrop>
  <LinksUpToDate>false</LinksUpToDate>
  <CharactersWithSpaces>1085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han</cp:lastModifiedBy>
  <dcterms:modified xsi:type="dcterms:W3CDTF">2026-11-05T09:01:54Z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eyJoZGlkIjoiYTVkN2FiZTA1NjZlMGUxMjcxN2IwMWFhYzQ4NGIxN2YiLCJ1c2VySWQiOiIzODc5ODUwNjQifQ==</vt:lpwstr>
  </property>
</Properties>
</file>